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802F"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AAE7CD0"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2F72D6E" w14:textId="505E396B" w:rsidR="00F17B43" w:rsidRDefault="00E4103B" w:rsidP="00F17B43">
      <w:pPr>
        <w:autoSpaceDE w:val="0"/>
        <w:autoSpaceDN w:val="0"/>
        <w:adjustRightInd w:val="0"/>
        <w:spacing w:after="0" w:line="240" w:lineRule="auto"/>
        <w:rPr>
          <w:rFonts w:ascii="Calibri" w:hAnsi="Calibri" w:cs="Calibri"/>
        </w:rPr>
      </w:pPr>
      <w:r>
        <w:rPr>
          <w:rFonts w:ascii="Calibri" w:hAnsi="Calibri" w:cs="Calibri"/>
        </w:rPr>
        <w:t>June 10</w:t>
      </w:r>
      <w:r w:rsidR="000B29F4">
        <w:rPr>
          <w:rFonts w:ascii="Calibri" w:hAnsi="Calibri" w:cs="Calibri"/>
        </w:rPr>
        <w:t>, 2025</w:t>
      </w:r>
    </w:p>
    <w:p w14:paraId="2F967DCC" w14:textId="77777777" w:rsidR="00F17B43" w:rsidRDefault="00F17B43" w:rsidP="00F17B43">
      <w:pPr>
        <w:autoSpaceDE w:val="0"/>
        <w:autoSpaceDN w:val="0"/>
        <w:adjustRightInd w:val="0"/>
        <w:spacing w:after="0" w:line="240" w:lineRule="auto"/>
        <w:rPr>
          <w:rFonts w:ascii="Calibri" w:hAnsi="Calibri" w:cs="Calibri"/>
        </w:rPr>
      </w:pPr>
    </w:p>
    <w:p w14:paraId="3B64D4B9" w14:textId="7E95B56E"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E4103B">
        <w:rPr>
          <w:rFonts w:ascii="Calibri" w:hAnsi="Calibri" w:cs="Calibri"/>
        </w:rPr>
        <w:t>June 10</w:t>
      </w:r>
      <w:r w:rsidR="000B29F4">
        <w:rPr>
          <w:rFonts w:ascii="Calibri" w:hAnsi="Calibri" w:cs="Calibri"/>
        </w:rPr>
        <w:t>, 2025</w:t>
      </w:r>
      <w:r w:rsidR="00E777E6">
        <w:rPr>
          <w:rFonts w:ascii="Calibri" w:hAnsi="Calibri" w:cs="Calibri"/>
        </w:rPr>
        <w:t>, at 10</w:t>
      </w:r>
      <w:r>
        <w:rPr>
          <w:rFonts w:ascii="Calibri" w:hAnsi="Calibri" w:cs="Calibri"/>
        </w:rPr>
        <w:t xml:space="preserve">:00 a.m. for its regular Commission Meeting.   Attending </w:t>
      </w:r>
      <w:proofErr w:type="gramStart"/>
      <w:r>
        <w:rPr>
          <w:rFonts w:ascii="Calibri" w:hAnsi="Calibri" w:cs="Calibri"/>
        </w:rPr>
        <w:t>we</w:t>
      </w:r>
      <w:r w:rsidR="001E7AFB">
        <w:rPr>
          <w:rFonts w:ascii="Calibri" w:hAnsi="Calibri" w:cs="Calibri"/>
        </w:rPr>
        <w:t>re</w:t>
      </w:r>
      <w:proofErr w:type="gramEnd"/>
      <w:r w:rsidR="001E7AFB">
        <w:rPr>
          <w:rFonts w:ascii="Calibri" w:hAnsi="Calibri" w:cs="Calibri"/>
        </w:rPr>
        <w:t>: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proofErr w:type="spellStart"/>
      <w:r w:rsidR="00F22AA3">
        <w:rPr>
          <w:rFonts w:ascii="Calibri" w:hAnsi="Calibri" w:cs="Calibri"/>
        </w:rPr>
        <w:t>PresLee</w:t>
      </w:r>
      <w:proofErr w:type="spellEnd"/>
      <w:r w:rsidR="00F22AA3">
        <w:rPr>
          <w:rFonts w:ascii="Calibri" w:hAnsi="Calibri" w:cs="Calibri"/>
        </w:rPr>
        <w:t xml:space="preserve"> Jensen, Commission Secretary</w:t>
      </w:r>
      <w:r w:rsidR="00176A51">
        <w:rPr>
          <w:rFonts w:ascii="Calibri" w:hAnsi="Calibri" w:cs="Calibri"/>
        </w:rPr>
        <w:t xml:space="preserve"> </w:t>
      </w:r>
      <w:r>
        <w:rPr>
          <w:rFonts w:ascii="Calibri" w:hAnsi="Calibri" w:cs="Calibri"/>
        </w:rPr>
        <w:t>and Von Christiansen, County Attorney.</w:t>
      </w:r>
    </w:p>
    <w:p w14:paraId="2641A057" w14:textId="77777777" w:rsidR="00E278D9" w:rsidRDefault="00E278D9" w:rsidP="00F17B43">
      <w:pPr>
        <w:autoSpaceDE w:val="0"/>
        <w:autoSpaceDN w:val="0"/>
        <w:adjustRightInd w:val="0"/>
        <w:spacing w:after="0" w:line="240" w:lineRule="auto"/>
        <w:rPr>
          <w:rFonts w:ascii="Calibri" w:hAnsi="Calibri" w:cs="Calibri"/>
        </w:rPr>
      </w:pPr>
    </w:p>
    <w:p w14:paraId="3EB0E8FF" w14:textId="77777777" w:rsidR="00E278D9" w:rsidRDefault="00E278D9" w:rsidP="00F17B43">
      <w:pPr>
        <w:autoSpaceDE w:val="0"/>
        <w:autoSpaceDN w:val="0"/>
        <w:adjustRightInd w:val="0"/>
        <w:spacing w:after="0" w:line="240" w:lineRule="auto"/>
        <w:rPr>
          <w:rFonts w:ascii="Calibri" w:hAnsi="Calibri" w:cs="Calibri"/>
        </w:rPr>
      </w:pPr>
    </w:p>
    <w:p w14:paraId="23E74BBD"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7B5167F9" w14:textId="77777777" w:rsidR="00F17B43" w:rsidRDefault="00F17B43" w:rsidP="00F17B43">
      <w:pPr>
        <w:rPr>
          <w:rFonts w:ascii="Calibri" w:hAnsi="Calibri" w:cs="Calibri"/>
        </w:rPr>
      </w:pPr>
    </w:p>
    <w:p w14:paraId="7D0EC53F" w14:textId="2F686CCC"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E4103B">
        <w:rPr>
          <w:rFonts w:ascii="Calibri" w:hAnsi="Calibri" w:cs="Calibri"/>
        </w:rPr>
        <w:t xml:space="preserve"> Wade Hollingshead, Commission Chair</w:t>
      </w:r>
      <w:r>
        <w:rPr>
          <w:rFonts w:ascii="Calibri" w:hAnsi="Calibri" w:cs="Calibri"/>
        </w:rPr>
        <w:t>.</w:t>
      </w:r>
    </w:p>
    <w:p w14:paraId="3AB20397" w14:textId="23BD067D" w:rsidR="00F17B43" w:rsidRDefault="00F17B43" w:rsidP="00F17B43">
      <w:pPr>
        <w:rPr>
          <w:rFonts w:ascii="Calibri" w:hAnsi="Calibri" w:cs="Calibri"/>
        </w:rPr>
      </w:pPr>
      <w:r>
        <w:rPr>
          <w:rFonts w:ascii="Calibri" w:hAnsi="Calibri" w:cs="Calibri"/>
        </w:rPr>
        <w:t>Pledge of Allegiance</w:t>
      </w:r>
      <w:r w:rsidR="00E4103B">
        <w:rPr>
          <w:rFonts w:ascii="Calibri" w:hAnsi="Calibri" w:cs="Calibri"/>
        </w:rPr>
        <w:t xml:space="preserve"> was led by Beaver County Sheriff Color Guard.</w:t>
      </w:r>
    </w:p>
    <w:p w14:paraId="25AEA02F" w14:textId="35D51DDE" w:rsidR="00E4103B" w:rsidRDefault="00E4103B" w:rsidP="00F17B43">
      <w:pPr>
        <w:rPr>
          <w:rFonts w:ascii="Calibri" w:hAnsi="Calibri" w:cs="Calibri"/>
        </w:rPr>
      </w:pPr>
      <w:r>
        <w:rPr>
          <w:rFonts w:ascii="Calibri" w:hAnsi="Calibri" w:cs="Calibri"/>
        </w:rPr>
        <w:t>Recognize and honor Daughter of Utah Pioneer Members</w:t>
      </w:r>
    </w:p>
    <w:p w14:paraId="39E104AB" w14:textId="77777777" w:rsidR="00064694" w:rsidRDefault="00DE6298" w:rsidP="006B7482">
      <w:pPr>
        <w:spacing w:after="0"/>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 xml:space="preserve">s was made by Comm. </w:t>
      </w:r>
      <w:r w:rsidR="00064694">
        <w:rPr>
          <w:rFonts w:ascii="Calibri" w:hAnsi="Calibri" w:cs="Calibri"/>
        </w:rPr>
        <w:t xml:space="preserve">Pearson </w:t>
      </w:r>
    </w:p>
    <w:p w14:paraId="5A407B84" w14:textId="4F91AC61" w:rsidR="00DE6298" w:rsidRDefault="00064694" w:rsidP="006B7482">
      <w:pPr>
        <w:spacing w:after="0"/>
        <w:rPr>
          <w:rFonts w:ascii="Calibri" w:hAnsi="Calibri" w:cs="Calibri"/>
        </w:rPr>
      </w:pPr>
      <w:r>
        <w:rPr>
          <w:rFonts w:ascii="Calibri" w:hAnsi="Calibri" w:cs="Calibri"/>
        </w:rPr>
        <w:t>(aye)</w:t>
      </w:r>
      <w:r w:rsidR="00607711">
        <w:rPr>
          <w:rFonts w:ascii="Calibri" w:hAnsi="Calibri" w:cs="Calibri"/>
        </w:rPr>
        <w:t>, seconded by Comm. Pearson</w:t>
      </w:r>
      <w:r>
        <w:rPr>
          <w:rFonts w:ascii="Calibri" w:hAnsi="Calibri" w:cs="Calibri"/>
        </w:rPr>
        <w:t xml:space="preserve"> (aye)</w:t>
      </w:r>
      <w:r w:rsidR="00DE6298">
        <w:rPr>
          <w:rFonts w:ascii="Calibri" w:hAnsi="Calibri" w:cs="Calibri"/>
        </w:rPr>
        <w:t>, and the vote was made unanimous.</w:t>
      </w:r>
    </w:p>
    <w:p w14:paraId="228EF269" w14:textId="77777777" w:rsidR="006B7482" w:rsidRDefault="006B7482" w:rsidP="006B7482">
      <w:pPr>
        <w:spacing w:after="0"/>
        <w:rPr>
          <w:rFonts w:ascii="Calibri" w:hAnsi="Calibri" w:cs="Calibri"/>
        </w:rPr>
      </w:pPr>
    </w:p>
    <w:p w14:paraId="76CF519D" w14:textId="1B288EBA" w:rsidR="00F17B43" w:rsidRDefault="00F17B43" w:rsidP="00F17B43">
      <w:pPr>
        <w:tabs>
          <w:tab w:val="left" w:pos="7545"/>
        </w:tabs>
      </w:pPr>
      <w:r>
        <w:t xml:space="preserve">Previous minutes were presented by Ginger McMullin, Clerk/Auditor.  With minor adjustments and edits, motion to authorize minutes was made by Comm. </w:t>
      </w:r>
      <w:r w:rsidR="00064694">
        <w:t>Yardley (aye)</w:t>
      </w:r>
      <w:r w:rsidR="000D3DD3">
        <w:t xml:space="preserve">, seconded by Comm. </w:t>
      </w:r>
      <w:r w:rsidR="00064694">
        <w:t>Pearson (aye)</w:t>
      </w:r>
      <w:r>
        <w:t>, the vote was unanimous.</w:t>
      </w:r>
    </w:p>
    <w:p w14:paraId="1241EA60" w14:textId="3DB467B7" w:rsidR="00E4103B" w:rsidRDefault="00E4103B" w:rsidP="00F17B43">
      <w:pPr>
        <w:tabs>
          <w:tab w:val="left" w:pos="7545"/>
        </w:tabs>
      </w:pPr>
      <w:r>
        <w:t xml:space="preserve">Motion to adjourn as Beaver County Commission and convene as Beaver County RDA Board was made by Comm. </w:t>
      </w:r>
      <w:r w:rsidR="00F23065">
        <w:t>Pearson</w:t>
      </w:r>
      <w:r>
        <w:t xml:space="preserve"> (aye), seconded by Comm. </w:t>
      </w:r>
      <w:r w:rsidR="00F23065">
        <w:t>Yardley</w:t>
      </w:r>
      <w:r>
        <w:t xml:space="preserve"> (aye), the vote was made unanimous.  Roll call vote Comm. Pearson (aye), Comm. Hollingshead (aye) and Comm. Yardley (aye).</w:t>
      </w:r>
    </w:p>
    <w:p w14:paraId="31405121" w14:textId="77777777" w:rsidR="00E4103B" w:rsidRPr="00E4103B" w:rsidRDefault="00E4103B" w:rsidP="00E4103B">
      <w:pPr>
        <w:tabs>
          <w:tab w:val="left" w:pos="7545"/>
        </w:tabs>
      </w:pPr>
      <w:bookmarkStart w:id="0" w:name="_Hlk200444035"/>
      <w:r w:rsidRPr="00E4103B">
        <w:t>Comm. Pearson declared a conflict of interest.</w:t>
      </w:r>
    </w:p>
    <w:p w14:paraId="0B752546" w14:textId="70535545" w:rsidR="00E4103B" w:rsidRDefault="00E4103B" w:rsidP="00E4103B">
      <w:pPr>
        <w:tabs>
          <w:tab w:val="left" w:pos="7545"/>
        </w:tabs>
      </w:pPr>
      <w:r w:rsidRPr="00E4103B">
        <w:t>A standing motion was made by Comm. Yardley to accept the chair from Comm. Hollingshead for voting purposes.   Pursuant to the standing motion, the chair was passed back to Comm. Hollingshead throughout the voting process.</w:t>
      </w:r>
    </w:p>
    <w:bookmarkEnd w:id="0"/>
    <w:p w14:paraId="47FB1F8B" w14:textId="38B8463A" w:rsidR="00E4103B" w:rsidRDefault="00E4103B" w:rsidP="00E4103B">
      <w:pPr>
        <w:tabs>
          <w:tab w:val="left" w:pos="7545"/>
        </w:tabs>
      </w:pPr>
      <w:r>
        <w:t>Public Hearing for Milford Solar II (Expansion) Project Area Plan and Project Area Budget was declared open.</w:t>
      </w:r>
      <w:r w:rsidR="00F23065">
        <w:t xml:space="preserve">  Jason Burningham with LRB joined the meeting</w:t>
      </w:r>
      <w:r w:rsidR="00A34D51">
        <w:t xml:space="preserve"> via ZOOM,</w:t>
      </w:r>
      <w:r w:rsidR="00F23065">
        <w:t xml:space="preserve"> to discuss the purpose of the resolution.  Bryan Harris with Longroad Energy join</w:t>
      </w:r>
      <w:r w:rsidR="008152C7">
        <w:t>ed</w:t>
      </w:r>
      <w:r w:rsidR="00F23065">
        <w:t xml:space="preserve"> the public hearing and updated the RDA Board</w:t>
      </w:r>
      <w:r w:rsidR="00A34D51">
        <w:t xml:space="preserve"> on the Milford Solar II Project</w:t>
      </w:r>
      <w:r w:rsidR="00F23065">
        <w:t>.  Mr. Harris expressed the challenge with the current tariffs the nation is facing.  The project has moved from a battery project to a non-battery project, from 200 M</w:t>
      </w:r>
      <w:r w:rsidR="000B28FD">
        <w:t>W</w:t>
      </w:r>
      <w:r w:rsidR="00F23065">
        <w:t xml:space="preserve"> to a 300 MW</w:t>
      </w:r>
      <w:r w:rsidR="000B28FD">
        <w:t xml:space="preserve"> project.  Mr. Burningham discussed the project area and the proper notification that has been made prior to the public hearing.  No comment was heard from the public present for the hearing that day.  This document sets in motion the project plan.  Comm. Hollingshead declared the public hearing closed.</w:t>
      </w:r>
    </w:p>
    <w:p w14:paraId="12971194" w14:textId="01784849" w:rsidR="00E4103B" w:rsidRDefault="00E4103B" w:rsidP="00E4103B">
      <w:pPr>
        <w:tabs>
          <w:tab w:val="left" w:pos="7545"/>
        </w:tabs>
      </w:pPr>
      <w:r>
        <w:lastRenderedPageBreak/>
        <w:t>Motion to authorize Resolution 2025-09</w:t>
      </w:r>
      <w:r w:rsidR="000B28FD">
        <w:t>;</w:t>
      </w:r>
      <w:r w:rsidR="006B7482">
        <w:t xml:space="preserve"> </w:t>
      </w:r>
      <w:r>
        <w:t>A Resolution of the Board of the Beaver County Community Development and Renewal Agency Authorizing and Approving the Milford II (Expansion) CRA Project Area Plan was made by Comm. Yardley (aye), seconded by Comm. Hollingshead (aye).  Roll call vote Comm. Yardley (aye) and Comm. Hollingshead (aye).</w:t>
      </w:r>
    </w:p>
    <w:p w14:paraId="564CC5D8" w14:textId="5C99095C" w:rsidR="004F7297" w:rsidRDefault="004F7297" w:rsidP="00E4103B">
      <w:pPr>
        <w:tabs>
          <w:tab w:val="left" w:pos="7545"/>
        </w:tabs>
      </w:pPr>
      <w:r>
        <w:t>Motion to reconvene as Beaver County Commission was made by Comm. Yardley (aye), seconded by Comm. Pearson (aye), and the vote was made unanimous.  Roll call vote Comm. Pearson (aye); Comm. Hollingshead (aye); Comm. Yardley (aye).</w:t>
      </w:r>
    </w:p>
    <w:p w14:paraId="5C9150C4" w14:textId="77777777" w:rsidR="00E67297" w:rsidRPr="00E67297" w:rsidRDefault="00E67297" w:rsidP="00E67297">
      <w:pPr>
        <w:tabs>
          <w:tab w:val="left" w:pos="7545"/>
        </w:tabs>
      </w:pPr>
      <w:r w:rsidRPr="00E67297">
        <w:t>Comm. Pearson declared a conflict of interest.</w:t>
      </w:r>
    </w:p>
    <w:p w14:paraId="760907E1" w14:textId="66D1B9D4" w:rsidR="00E67297" w:rsidRDefault="00E67297" w:rsidP="00E4103B">
      <w:pPr>
        <w:tabs>
          <w:tab w:val="left" w:pos="7545"/>
        </w:tabs>
      </w:pPr>
      <w:r w:rsidRPr="00E67297">
        <w:t>A standing motion was made by Comm. Yardley to accept the chair from Comm. Hollingshead for voting purposes.   Pursuant to the standing motion, the chair was passed back to Comm. Hollingshead throughout the voting process.</w:t>
      </w:r>
    </w:p>
    <w:p w14:paraId="2937AE8A" w14:textId="2CC38351" w:rsidR="004F7297" w:rsidRDefault="004F7297" w:rsidP="00E4103B">
      <w:pPr>
        <w:tabs>
          <w:tab w:val="left" w:pos="7545"/>
        </w:tabs>
      </w:pPr>
      <w:r>
        <w:t>Motion to authorize signature on Ordinance 2025-04</w:t>
      </w:r>
      <w:r w:rsidR="00E67297">
        <w:t xml:space="preserve">; </w:t>
      </w:r>
      <w:r>
        <w:t>An Ordinance of the County Commission Authorizing and Approving the Milford II (Expansion) CRA Project Area Plan, as the “Official Plan” of the Milford II (Expansion) CRA Project Area; and related matters, was made by Comm. Yardley</w:t>
      </w:r>
      <w:r w:rsidR="00E67297">
        <w:t xml:space="preserve"> (aye)</w:t>
      </w:r>
      <w:r>
        <w:t>, seconded by Comm. Hollingshead</w:t>
      </w:r>
      <w:r w:rsidR="00E67297">
        <w:t xml:space="preserve"> (aye)</w:t>
      </w:r>
      <w:r>
        <w:t>, and the vote was unanimous.</w:t>
      </w:r>
      <w:r w:rsidR="00E67297">
        <w:t xml:space="preserve">  Roll call vote Comm. Yardley (aye), Comm. Hollingshead (aye).</w:t>
      </w:r>
    </w:p>
    <w:p w14:paraId="131AA7F9" w14:textId="70241756" w:rsidR="00091A76" w:rsidRPr="00091A76" w:rsidRDefault="00091A76" w:rsidP="00091A76">
      <w:pPr>
        <w:tabs>
          <w:tab w:val="num" w:pos="720"/>
          <w:tab w:val="left" w:pos="7545"/>
        </w:tabs>
      </w:pPr>
      <w:r w:rsidRPr="00091A76">
        <w:t>Consideration of Ordinance 2025-05 – Transient Room Tax Increase.</w:t>
      </w:r>
      <w:r>
        <w:t xml:space="preserve">  </w:t>
      </w:r>
      <w:r w:rsidRPr="00091A76">
        <w:t>The Commission considered Ordinance 2025-05, an ordinance of Beaver County, Utah, imposing a Transient Room Tax (TRT) not to exceed 4.5% on short-term rentals of accommodations and services, as authorized by Utah Code § 59-12-301(1)(a)(ii).</w:t>
      </w:r>
      <w:r>
        <w:t xml:space="preserve">  </w:t>
      </w:r>
      <w:r w:rsidRPr="00091A76">
        <w:t>Brandy Grace, CEO of the Utah Association of Counties (UAC), joined the meeting and provided background on the proposed ordinance. She discussed the need for tourism cost mitigation and explained that UAC has been a strong advocate for alleviating the impacts of tourism-related expenses on local governments.</w:t>
      </w:r>
      <w:r>
        <w:t xml:space="preserve">  </w:t>
      </w:r>
      <w:r w:rsidRPr="00091A76">
        <w:t>Ms. Grace noted that HB 456 introduced new requirements, prompting involvement from legislative leadership. Following collaborative discussions among stakeholders, there was consensus to move forward with implementing a 0.25% increase to the existing TRT rate.</w:t>
      </w:r>
      <w:r>
        <w:t xml:space="preserve">  </w:t>
      </w:r>
      <w:r w:rsidRPr="00091A76">
        <w:t>A motion to authorize the signature on Ordinance 2025-05 was made by Commissioner Pearson (aye), seconded by Commissioner Yardley (aye), and approved unanimously.</w:t>
      </w:r>
      <w:r>
        <w:t xml:space="preserve">  </w:t>
      </w:r>
      <w:r w:rsidRPr="00091A76">
        <w:t>Roll call vote:</w:t>
      </w:r>
      <w:r>
        <w:t xml:space="preserve">  Com</w:t>
      </w:r>
      <w:r w:rsidRPr="00091A76">
        <w:t>missioner Pearson</w:t>
      </w:r>
      <w:r>
        <w:t xml:space="preserve"> (aye) Commissioner</w:t>
      </w:r>
      <w:r w:rsidRPr="00091A76">
        <w:t xml:space="preserve"> Hollingshead </w:t>
      </w:r>
      <w:r>
        <w:t>(aye) and Commissioner Yardley (aye).  The motion passed</w:t>
      </w:r>
    </w:p>
    <w:p w14:paraId="67E61E42" w14:textId="7A5461B8" w:rsidR="00F628ED" w:rsidRPr="00F628ED" w:rsidRDefault="00213176" w:rsidP="00F628ED">
      <w:pPr>
        <w:tabs>
          <w:tab w:val="left" w:pos="7545"/>
        </w:tabs>
      </w:pPr>
      <w:r>
        <w:t>Public Defender Grant Update-</w:t>
      </w:r>
      <w:r w:rsidR="00F628ED" w:rsidRPr="00F628ED">
        <w:rPr>
          <w:rFonts w:ascii="Times New Roman" w:eastAsia="Times New Roman" w:hAnsi="Times New Roman" w:cs="Times New Roman"/>
          <w:b/>
          <w:bCs/>
          <w:sz w:val="24"/>
          <w:szCs w:val="24"/>
        </w:rPr>
        <w:t xml:space="preserve"> </w:t>
      </w:r>
      <w:r w:rsidR="00F628ED" w:rsidRPr="00F628ED">
        <w:t>Candace Reid, Grant Coordinator, provided the Commission with an update on the renewal of the Indigent Defense Council contract for indigent legal representation.</w:t>
      </w:r>
      <w:r w:rsidR="00F628ED">
        <w:t xml:space="preserve">  The Commission will review the contract</w:t>
      </w:r>
      <w:r w:rsidR="00F628ED" w:rsidRPr="00F628ED">
        <w:t>. Once the review is complete, the contract will be brought before the Commission for formal consideration and approval at the next scheduled meeting.</w:t>
      </w:r>
    </w:p>
    <w:p w14:paraId="5CDF295F" w14:textId="34D1EF80" w:rsidR="00F628ED" w:rsidRPr="00F628ED" w:rsidRDefault="00213176" w:rsidP="00F628ED">
      <w:pPr>
        <w:tabs>
          <w:tab w:val="left" w:pos="7545"/>
        </w:tabs>
      </w:pPr>
      <w:r>
        <w:t>Milford Power Line ROW Easement.</w:t>
      </w:r>
      <w:r w:rsidR="00997C7F">
        <w:t xml:space="preserve">  </w:t>
      </w:r>
      <w:r w:rsidR="00F628ED" w:rsidRPr="00F628ED">
        <w:t>The Commission considered an easement to relocate a power line at the new Milford Road Shed. As part of the process, an existing fence will need to be moved to allow for a clear and orderly installation.</w:t>
      </w:r>
      <w:r w:rsidR="00F628ED">
        <w:t xml:space="preserve">  </w:t>
      </w:r>
      <w:r w:rsidR="00F628ED" w:rsidRPr="00F628ED">
        <w:t>A motion to authorize the signature and recording of the right-of-way easement for the power line relocation was made by Commissioner Pearson (aye), seconded by Commissioner Yardley (aye), and approved unanimously.</w:t>
      </w:r>
    </w:p>
    <w:p w14:paraId="466F5A3A" w14:textId="7842FC2C" w:rsidR="00213176" w:rsidRDefault="00213176" w:rsidP="00E4103B">
      <w:pPr>
        <w:tabs>
          <w:tab w:val="left" w:pos="7545"/>
        </w:tabs>
      </w:pPr>
    </w:p>
    <w:p w14:paraId="49B46411" w14:textId="3F1352A5" w:rsidR="00213176" w:rsidRDefault="00213176" w:rsidP="00E4103B">
      <w:pPr>
        <w:tabs>
          <w:tab w:val="left" w:pos="7545"/>
        </w:tabs>
      </w:pPr>
      <w:r>
        <w:t xml:space="preserve">Declare Items as Surplus.  </w:t>
      </w:r>
      <w:r w:rsidR="00F628ED">
        <w:t xml:space="preserve">The </w:t>
      </w:r>
      <w:r>
        <w:t xml:space="preserve">Road Department </w:t>
      </w:r>
      <w:r w:rsidR="00F628ED">
        <w:t>requested to declare</w:t>
      </w:r>
      <w:r>
        <w:t xml:space="preserve"> two </w:t>
      </w:r>
      <w:r w:rsidR="00B21A88">
        <w:t>trucks</w:t>
      </w:r>
      <w:r>
        <w:t xml:space="preserve"> as surplus.  The vehicles have been in the fleet for several years.  </w:t>
      </w:r>
      <w:r w:rsidR="00F628ED">
        <w:t xml:space="preserve">The first is a </w:t>
      </w:r>
      <w:r>
        <w:t xml:space="preserve">1997 Ford </w:t>
      </w:r>
      <w:r w:rsidR="00F628ED">
        <w:t xml:space="preserve">F250 Regular Cab and the second is a </w:t>
      </w:r>
      <w:r>
        <w:t>200</w:t>
      </w:r>
      <w:r w:rsidR="00F628ED">
        <w:t>2</w:t>
      </w:r>
      <w:r>
        <w:t xml:space="preserve"> Chev</w:t>
      </w:r>
      <w:r w:rsidR="00F628ED">
        <w:t>rolet Silverado 2500 HD Regular Cab</w:t>
      </w:r>
      <w:r w:rsidR="00225235">
        <w:t>.</w:t>
      </w:r>
      <w:r>
        <w:t xml:space="preserve">  </w:t>
      </w:r>
      <w:r w:rsidR="00F628ED">
        <w:t xml:space="preserve">A </w:t>
      </w:r>
      <w:r>
        <w:t xml:space="preserve">Motion to declare </w:t>
      </w:r>
      <w:r w:rsidR="00B21A88">
        <w:t>the vehicles</w:t>
      </w:r>
      <w:r>
        <w:t xml:space="preserve"> as surplus, was made by Comm. Pearson (aye), seconded by Comm. Yardley (aye), and </w:t>
      </w:r>
      <w:r w:rsidR="00B21A88">
        <w:t>approved unanimously.</w:t>
      </w:r>
    </w:p>
    <w:p w14:paraId="45808D42" w14:textId="424ECC85" w:rsidR="007564EA" w:rsidRPr="007564EA" w:rsidRDefault="00213176" w:rsidP="007564EA">
      <w:pPr>
        <w:tabs>
          <w:tab w:val="left" w:pos="7545"/>
        </w:tabs>
      </w:pPr>
      <w:r>
        <w:t xml:space="preserve">Victim Advocate Update.  </w:t>
      </w:r>
      <w:r w:rsidR="007564EA" w:rsidRPr="007564EA">
        <w:t xml:space="preserve">Shanna Fails and </w:t>
      </w:r>
      <w:proofErr w:type="spellStart"/>
      <w:r w:rsidR="007564EA" w:rsidRPr="007564EA">
        <w:t>Kayzie</w:t>
      </w:r>
      <w:proofErr w:type="spellEnd"/>
      <w:r w:rsidR="007564EA" w:rsidRPr="007564EA">
        <w:t xml:space="preserve"> Hansen met with the Commission to provide an update on the Victim Advocate Program case load over the past six months. They reported that last year’s case load totaled 198 cases, and this year that number has increased to 205.</w:t>
      </w:r>
      <w:r w:rsidR="007564EA">
        <w:t xml:space="preserve">  </w:t>
      </w:r>
      <w:r w:rsidR="007564EA" w:rsidRPr="007564EA">
        <w:t>They expressed appreciation for the continued support received from the County.</w:t>
      </w:r>
    </w:p>
    <w:p w14:paraId="3265949A" w14:textId="5C6AF346" w:rsidR="007564EA" w:rsidRPr="007564EA" w:rsidRDefault="007564EA" w:rsidP="007564EA">
      <w:pPr>
        <w:tabs>
          <w:tab w:val="left" w:pos="7545"/>
        </w:tabs>
      </w:pPr>
      <w:r w:rsidRPr="007564EA">
        <w:t>UAC Updates – Brandy Grace, CEO, and Sherry Dearden, Chief Executive Operations Officer of the Utah Association of Counties (UAC), met with the Commission to provide updates on current UAC initiatives.</w:t>
      </w:r>
      <w:r>
        <w:t xml:space="preserve">  </w:t>
      </w:r>
      <w:r w:rsidRPr="007564EA">
        <w:t>Ms. Grace outlined several key items UAC is actively working on, including:</w:t>
      </w:r>
      <w:r>
        <w:t xml:space="preserve">  </w:t>
      </w:r>
      <w:r w:rsidRPr="007564EA">
        <w:t>SB 174 – Updates to land use ordinances</w:t>
      </w:r>
      <w:r>
        <w:t>; Public</w:t>
      </w:r>
      <w:r w:rsidRPr="007564EA">
        <w:t xml:space="preserve"> Asset Initiative – State-led efforts to identify locations for housing development</w:t>
      </w:r>
      <w:r>
        <w:t xml:space="preserve">;  </w:t>
      </w:r>
      <w:r w:rsidRPr="007564EA">
        <w:t>HB 434 – Data Privacy – Requirement to identify the County's Chief Administrative Officer and adopt an ordinance by year-end</w:t>
      </w:r>
      <w:r>
        <w:t xml:space="preserve">;  </w:t>
      </w:r>
      <w:r w:rsidRPr="007564EA">
        <w:t>MCAT and PUMA – Development and expansion of the Multi-County Appraisal Trust (MCAT) and the new PUMA system</w:t>
      </w:r>
      <w:r>
        <w:t xml:space="preserve">;  </w:t>
      </w:r>
      <w:r w:rsidRPr="007564EA">
        <w:t>Centrally Assessed Properties – Ongoing coordination and support</w:t>
      </w:r>
      <w:r>
        <w:t xml:space="preserve">;  </w:t>
      </w:r>
      <w:r w:rsidRPr="007564EA">
        <w:t>SB 202 – Implementation of an online system for Board of Equalization (BOE) appeals</w:t>
      </w:r>
      <w:r>
        <w:t xml:space="preserve">;   </w:t>
      </w:r>
      <w:r w:rsidRPr="007564EA">
        <w:t>Contract Legal Services – Resources for counties in need of legal support</w:t>
      </w:r>
      <w:r>
        <w:t xml:space="preserve">.  </w:t>
      </w:r>
      <w:r w:rsidRPr="007564EA">
        <w:t>These initiatives aim to strengthen county operations and enhance coordination with state efforts.</w:t>
      </w:r>
    </w:p>
    <w:p w14:paraId="613C4F66" w14:textId="64F35BE0" w:rsidR="007564EA" w:rsidRPr="007564EA" w:rsidRDefault="007564EA" w:rsidP="007564EA">
      <w:pPr>
        <w:tabs>
          <w:tab w:val="left" w:pos="7545"/>
        </w:tabs>
      </w:pPr>
      <w:r w:rsidRPr="007564EA">
        <w:t xml:space="preserve">Evelyn </w:t>
      </w:r>
      <w:proofErr w:type="spellStart"/>
      <w:r w:rsidRPr="007564EA">
        <w:t>Warnick</w:t>
      </w:r>
      <w:proofErr w:type="spellEnd"/>
      <w:r w:rsidRPr="007564EA">
        <w:t xml:space="preserve">, from Representative </w:t>
      </w:r>
      <w:proofErr w:type="spellStart"/>
      <w:r w:rsidRPr="007564EA">
        <w:t>Maloy’s</w:t>
      </w:r>
      <w:proofErr w:type="spellEnd"/>
      <w:r w:rsidRPr="007564EA">
        <w:t xml:space="preserve"> Office, provided a report to the Commission following the Town Hall held the previous evening. She discussed topics related to public lands and the disposal of property, as well as ongoing discussions surrounding the Radiation Exposure Compensation Act (RECA).</w:t>
      </w:r>
      <w:r>
        <w:t xml:space="preserve">  </w:t>
      </w:r>
      <w:r w:rsidRPr="007564EA">
        <w:t>She also mentioned the efforts of Congressional leaders to provide protections related to the USS Utah flag currently displayed at the Old Courthouse.</w:t>
      </w:r>
    </w:p>
    <w:p w14:paraId="36C95F0F" w14:textId="3DC9D058" w:rsidR="00213176" w:rsidRPr="00213176" w:rsidRDefault="00213176" w:rsidP="00213176">
      <w:pPr>
        <w:tabs>
          <w:tab w:val="left" w:pos="7545"/>
        </w:tabs>
      </w:pPr>
      <w:r w:rsidRPr="00213176">
        <w:t>Motion to enter into closed session for the purpose of discussing the character, professional competence, or physical or mental health of an individual; discuss strategy for pending or reasonably imminent litigation, real property negotiation, was made by Comm. Pearson</w:t>
      </w:r>
      <w:r w:rsidR="00863DE4">
        <w:t xml:space="preserve"> (aye)</w:t>
      </w:r>
      <w:r w:rsidRPr="00213176">
        <w:t>, seconded by Comm. Yardley</w:t>
      </w:r>
      <w:r w:rsidR="00863DE4">
        <w:t xml:space="preserve"> (aye)</w:t>
      </w:r>
      <w:r w:rsidRPr="00213176">
        <w:t>, and the vote was made unanimous.  Roll call vote Comm. Pearson (aye), Comm. Yardley (aye), and Comm. Hollingshead (aye).</w:t>
      </w:r>
    </w:p>
    <w:p w14:paraId="6650843C" w14:textId="233A511F" w:rsidR="00213176" w:rsidRDefault="00213176" w:rsidP="00213176">
      <w:pPr>
        <w:tabs>
          <w:tab w:val="left" w:pos="7545"/>
        </w:tabs>
      </w:pPr>
      <w:r w:rsidRPr="00213176">
        <w:t>Closed session declared closed by Comm. Hollingshead.</w:t>
      </w:r>
    </w:p>
    <w:p w14:paraId="3F1664AD" w14:textId="234D1224" w:rsidR="00213176" w:rsidRPr="00213176" w:rsidRDefault="00213176" w:rsidP="00213176">
      <w:pPr>
        <w:tabs>
          <w:tab w:val="left" w:pos="7545"/>
        </w:tabs>
      </w:pPr>
      <w:r>
        <w:t>Meeting adjourned.</w:t>
      </w:r>
    </w:p>
    <w:p w14:paraId="2CE88ECB" w14:textId="77777777" w:rsidR="00213176" w:rsidRDefault="00213176" w:rsidP="00E4103B">
      <w:pPr>
        <w:tabs>
          <w:tab w:val="left" w:pos="7545"/>
        </w:tabs>
      </w:pPr>
    </w:p>
    <w:p w14:paraId="34DAC16A" w14:textId="77777777" w:rsidR="00213176" w:rsidRDefault="00213176" w:rsidP="00E4103B">
      <w:pPr>
        <w:tabs>
          <w:tab w:val="left" w:pos="7545"/>
        </w:tabs>
      </w:pPr>
    </w:p>
    <w:p w14:paraId="1F6204B0" w14:textId="77777777" w:rsidR="005643A5" w:rsidRPr="00E4103B" w:rsidRDefault="005643A5" w:rsidP="00E4103B">
      <w:pPr>
        <w:tabs>
          <w:tab w:val="left" w:pos="7545"/>
        </w:tabs>
      </w:pPr>
    </w:p>
    <w:p w14:paraId="3462271C" w14:textId="77777777" w:rsidR="00E4103B" w:rsidRDefault="00E4103B" w:rsidP="00F17B43">
      <w:pPr>
        <w:tabs>
          <w:tab w:val="left" w:pos="7545"/>
        </w:tabs>
      </w:pPr>
    </w:p>
    <w:p w14:paraId="0A7AEC00"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D396A"/>
    <w:multiLevelType w:val="multilevel"/>
    <w:tmpl w:val="A55C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A57FB"/>
    <w:multiLevelType w:val="multilevel"/>
    <w:tmpl w:val="F3C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64694"/>
    <w:rsid w:val="00083682"/>
    <w:rsid w:val="00091A76"/>
    <w:rsid w:val="000A0BE8"/>
    <w:rsid w:val="000B28FD"/>
    <w:rsid w:val="000B29F4"/>
    <w:rsid w:val="000D3DD3"/>
    <w:rsid w:val="000E4C59"/>
    <w:rsid w:val="001340E0"/>
    <w:rsid w:val="00176A51"/>
    <w:rsid w:val="001A600E"/>
    <w:rsid w:val="001D1CC1"/>
    <w:rsid w:val="001E0076"/>
    <w:rsid w:val="001E7AFB"/>
    <w:rsid w:val="00213176"/>
    <w:rsid w:val="00225235"/>
    <w:rsid w:val="00244EDF"/>
    <w:rsid w:val="002A7072"/>
    <w:rsid w:val="003A3B6B"/>
    <w:rsid w:val="003B02E5"/>
    <w:rsid w:val="003F57FA"/>
    <w:rsid w:val="00405C7D"/>
    <w:rsid w:val="0046793E"/>
    <w:rsid w:val="004D1733"/>
    <w:rsid w:val="004F7297"/>
    <w:rsid w:val="00500DF2"/>
    <w:rsid w:val="00515295"/>
    <w:rsid w:val="00561D8F"/>
    <w:rsid w:val="005643A5"/>
    <w:rsid w:val="00564DE5"/>
    <w:rsid w:val="005A17CD"/>
    <w:rsid w:val="005D7C87"/>
    <w:rsid w:val="005E31AA"/>
    <w:rsid w:val="005E3BE5"/>
    <w:rsid w:val="00607711"/>
    <w:rsid w:val="00623630"/>
    <w:rsid w:val="006375D1"/>
    <w:rsid w:val="006A4784"/>
    <w:rsid w:val="006B7482"/>
    <w:rsid w:val="006D60D7"/>
    <w:rsid w:val="00706222"/>
    <w:rsid w:val="00731690"/>
    <w:rsid w:val="0073730B"/>
    <w:rsid w:val="007437F9"/>
    <w:rsid w:val="007564EA"/>
    <w:rsid w:val="008152C7"/>
    <w:rsid w:val="00863DE4"/>
    <w:rsid w:val="00896F81"/>
    <w:rsid w:val="008C17C3"/>
    <w:rsid w:val="0096032C"/>
    <w:rsid w:val="00997C7F"/>
    <w:rsid w:val="009C58B1"/>
    <w:rsid w:val="00A01BD5"/>
    <w:rsid w:val="00A34D51"/>
    <w:rsid w:val="00A448A0"/>
    <w:rsid w:val="00AA7E49"/>
    <w:rsid w:val="00AC10EC"/>
    <w:rsid w:val="00AE6A9B"/>
    <w:rsid w:val="00B2150E"/>
    <w:rsid w:val="00B21A88"/>
    <w:rsid w:val="00B23E67"/>
    <w:rsid w:val="00BB2851"/>
    <w:rsid w:val="00D24C04"/>
    <w:rsid w:val="00D74866"/>
    <w:rsid w:val="00D934E7"/>
    <w:rsid w:val="00DE6298"/>
    <w:rsid w:val="00E273AC"/>
    <w:rsid w:val="00E278D9"/>
    <w:rsid w:val="00E4103B"/>
    <w:rsid w:val="00E67297"/>
    <w:rsid w:val="00E777E6"/>
    <w:rsid w:val="00EB7882"/>
    <w:rsid w:val="00F15D0B"/>
    <w:rsid w:val="00F17B43"/>
    <w:rsid w:val="00F22AA3"/>
    <w:rsid w:val="00F23065"/>
    <w:rsid w:val="00F54739"/>
    <w:rsid w:val="00F628ED"/>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B9AA"/>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28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057">
      <w:bodyDiv w:val="1"/>
      <w:marLeft w:val="0"/>
      <w:marRight w:val="0"/>
      <w:marTop w:val="0"/>
      <w:marBottom w:val="0"/>
      <w:divBdr>
        <w:top w:val="none" w:sz="0" w:space="0" w:color="auto"/>
        <w:left w:val="none" w:sz="0" w:space="0" w:color="auto"/>
        <w:bottom w:val="none" w:sz="0" w:space="0" w:color="auto"/>
        <w:right w:val="none" w:sz="0" w:space="0" w:color="auto"/>
      </w:divBdr>
    </w:div>
    <w:div w:id="1007950412">
      <w:bodyDiv w:val="1"/>
      <w:marLeft w:val="0"/>
      <w:marRight w:val="0"/>
      <w:marTop w:val="0"/>
      <w:marBottom w:val="0"/>
      <w:divBdr>
        <w:top w:val="none" w:sz="0" w:space="0" w:color="auto"/>
        <w:left w:val="none" w:sz="0" w:space="0" w:color="auto"/>
        <w:bottom w:val="none" w:sz="0" w:space="0" w:color="auto"/>
        <w:right w:val="none" w:sz="0" w:space="0" w:color="auto"/>
      </w:divBdr>
    </w:div>
    <w:div w:id="1024675234">
      <w:bodyDiv w:val="1"/>
      <w:marLeft w:val="0"/>
      <w:marRight w:val="0"/>
      <w:marTop w:val="0"/>
      <w:marBottom w:val="0"/>
      <w:divBdr>
        <w:top w:val="none" w:sz="0" w:space="0" w:color="auto"/>
        <w:left w:val="none" w:sz="0" w:space="0" w:color="auto"/>
        <w:bottom w:val="none" w:sz="0" w:space="0" w:color="auto"/>
        <w:right w:val="none" w:sz="0" w:space="0" w:color="auto"/>
      </w:divBdr>
    </w:div>
    <w:div w:id="1455903787">
      <w:bodyDiv w:val="1"/>
      <w:marLeft w:val="0"/>
      <w:marRight w:val="0"/>
      <w:marTop w:val="0"/>
      <w:marBottom w:val="0"/>
      <w:divBdr>
        <w:top w:val="none" w:sz="0" w:space="0" w:color="auto"/>
        <w:left w:val="none" w:sz="0" w:space="0" w:color="auto"/>
        <w:bottom w:val="none" w:sz="0" w:space="0" w:color="auto"/>
        <w:right w:val="none" w:sz="0" w:space="0" w:color="auto"/>
      </w:divBdr>
    </w:div>
    <w:div w:id="1596862731">
      <w:bodyDiv w:val="1"/>
      <w:marLeft w:val="0"/>
      <w:marRight w:val="0"/>
      <w:marTop w:val="0"/>
      <w:marBottom w:val="0"/>
      <w:divBdr>
        <w:top w:val="none" w:sz="0" w:space="0" w:color="auto"/>
        <w:left w:val="none" w:sz="0" w:space="0" w:color="auto"/>
        <w:bottom w:val="none" w:sz="0" w:space="0" w:color="auto"/>
        <w:right w:val="none" w:sz="0" w:space="0" w:color="auto"/>
      </w:divBdr>
    </w:div>
    <w:div w:id="16711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12</cp:revision>
  <dcterms:created xsi:type="dcterms:W3CDTF">2025-06-06T18:02:00Z</dcterms:created>
  <dcterms:modified xsi:type="dcterms:W3CDTF">2025-07-01T17:35:00Z</dcterms:modified>
</cp:coreProperties>
</file>