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F14FC" w14:textId="77777777" w:rsidR="00E836E7" w:rsidRPr="00D81F5A" w:rsidRDefault="00E836E7"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timestamp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948"/>
      </w:tblGrid>
      <w:tr w:rsidR="00E836E7" w:rsidRPr="00D81F5A" w14:paraId="6BA87279" w14:textId="77777777" w:rsidTr="004F7FC9">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954BE3E" w14:textId="77777777" w:rsidR="00E836E7" w:rsidRPr="00D81F5A" w:rsidRDefault="00E836E7" w:rsidP="004F7FC9">
            <w:pPr>
              <w:jc w:val="both"/>
            </w:pPr>
            <w:r w:rsidRPr="00D81F5A">
              <w:br w:type="page"/>
            </w:r>
            <w:r w:rsidRPr="00D81F5A">
              <w:br w:type="page"/>
            </w:r>
            <w:r w:rsidRPr="00D81F5A">
              <w:br w:type="page"/>
            </w:r>
            <w:r w:rsidRPr="00D81F5A">
              <w:br w:type="page"/>
            </w:r>
            <w:r w:rsidRPr="00D81F5A">
              <w:rPr>
                <w:noProof/>
              </w:rPr>
              <w:drawing>
                <wp:inline distT="0" distB="0" distL="0" distR="0" wp14:anchorId="2F4E2E2C" wp14:editId="654E1D1B">
                  <wp:extent cx="1371666" cy="1379979"/>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32730" name="Picture 1550032730" descr="A logo of a mountain with sun and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313414A" w14:textId="77777777" w:rsidR="00E836E7" w:rsidRPr="00D81F5A" w:rsidRDefault="00E836E7" w:rsidP="004F7FC9">
            <w:pPr>
              <w:rPr>
                <w:b/>
                <w:bCs/>
                <w:sz w:val="36"/>
                <w:szCs w:val="36"/>
              </w:rPr>
            </w:pPr>
            <w:r w:rsidRPr="00D81F5A">
              <w:rPr>
                <w:b/>
                <w:bCs/>
                <w:sz w:val="36"/>
                <w:szCs w:val="36"/>
              </w:rPr>
              <w:t>PROVO MUNICIPAL COUNCIL</w:t>
            </w:r>
          </w:p>
          <w:p w14:paraId="44BC9BE2" w14:textId="77777777" w:rsidR="00E836E7" w:rsidRPr="00D81F5A" w:rsidRDefault="00E836E7" w:rsidP="004F7FC9">
            <w:pPr>
              <w:rPr>
                <w:b/>
                <w:bCs/>
                <w:sz w:val="28"/>
                <w:szCs w:val="28"/>
              </w:rPr>
            </w:pPr>
            <w:r w:rsidRPr="00D81F5A">
              <w:rPr>
                <w:b/>
                <w:bCs/>
                <w:sz w:val="28"/>
                <w:szCs w:val="28"/>
              </w:rPr>
              <w:t>Work Meeting Minutes</w:t>
            </w:r>
          </w:p>
          <w:p w14:paraId="0D1F0F9E" w14:textId="5265ACBD" w:rsidR="002B34D7" w:rsidRPr="00D81F5A" w:rsidRDefault="002B34D7" w:rsidP="004F7FC9">
            <w:r>
              <w:t>1:30 PM | June 3, 2025</w:t>
            </w:r>
          </w:p>
          <w:p w14:paraId="46849577" w14:textId="77777777" w:rsidR="00E836E7" w:rsidRPr="00D81F5A" w:rsidRDefault="00E836E7" w:rsidP="004F7FC9">
            <w:r w:rsidRPr="00D81F5A">
              <w:t>Provo Peak Room</w:t>
            </w:r>
          </w:p>
          <w:p w14:paraId="6766BE89" w14:textId="77777777" w:rsidR="00E836E7" w:rsidRPr="00D81F5A" w:rsidRDefault="00E836E7" w:rsidP="004F7FC9">
            <w:r w:rsidRPr="00D81F5A">
              <w:t xml:space="preserve">Hybrid meeting: 445 W. Center Street, Provo, UT 84601 or </w:t>
            </w:r>
            <w:hyperlink r:id="rId11" w:history="1">
              <w:r w:rsidRPr="00D81F5A">
                <w:rPr>
                  <w:rStyle w:val="Hyperlink"/>
                </w:rPr>
                <w:t>https://www.youtube.com/provocitycouncil</w:t>
              </w:r>
            </w:hyperlink>
            <w:r w:rsidRPr="00D81F5A">
              <w:t xml:space="preserve"> </w:t>
            </w:r>
          </w:p>
        </w:tc>
      </w:tr>
    </w:tbl>
    <w:bookmarkEnd w:id="0"/>
    <w:p w14:paraId="383C6A98" w14:textId="77777777" w:rsidR="00E836E7" w:rsidRPr="00D81F5A" w:rsidRDefault="00E836E7" w:rsidP="00E836E7">
      <w:pPr>
        <w:jc w:val="both"/>
        <w:rPr>
          <w:b/>
          <w:bCs/>
          <w:sz w:val="28"/>
          <w:szCs w:val="28"/>
        </w:rPr>
      </w:pPr>
      <w:r w:rsidRPr="00D81F5A">
        <w:rPr>
          <w:b/>
          <w:bCs/>
          <w:sz w:val="28"/>
          <w:szCs w:val="28"/>
        </w:rPr>
        <w:t xml:space="preserve">Agenda </w:t>
      </w:r>
    </w:p>
    <w:p w14:paraId="00D20C95" w14:textId="77777777" w:rsidR="00E836E7" w:rsidRPr="00D81F5A" w:rsidRDefault="00E836E7" w:rsidP="00E836E7">
      <w:pPr>
        <w:jc w:val="both"/>
      </w:pPr>
    </w:p>
    <w:p w14:paraId="15396EEC" w14:textId="77777777" w:rsidR="00E836E7" w:rsidRPr="00D81F5A" w:rsidRDefault="00E836E7" w:rsidP="00E836E7">
      <w:pPr>
        <w:jc w:val="both"/>
      </w:pPr>
      <w:r w:rsidRPr="00D81F5A">
        <w:rPr>
          <w:b/>
          <w:bCs/>
          <w:sz w:val="28"/>
          <w:szCs w:val="28"/>
        </w:rPr>
        <w:t xml:space="preserve">Roll Call </w:t>
      </w:r>
    </w:p>
    <w:p w14:paraId="57610F74" w14:textId="77777777" w:rsidR="00E836E7" w:rsidRPr="00D81F5A" w:rsidRDefault="00E836E7" w:rsidP="00E836E7">
      <w:pPr>
        <w:ind w:firstLine="720"/>
        <w:jc w:val="both"/>
      </w:pPr>
      <w:r w:rsidRPr="00D81F5A">
        <w:t xml:space="preserve">Council Chair </w:t>
      </w:r>
      <w:r w:rsidR="00807CEC">
        <w:t>Gary Garrett</w:t>
      </w:r>
      <w:r w:rsidRPr="00D81F5A">
        <w:t>, conducting</w:t>
      </w:r>
    </w:p>
    <w:p w14:paraId="419AB191" w14:textId="77777777" w:rsidR="00E836E7" w:rsidRDefault="00E836E7" w:rsidP="00E836E7">
      <w:pPr>
        <w:ind w:firstLine="720"/>
        <w:jc w:val="both"/>
      </w:pPr>
      <w:r w:rsidRPr="00D81F5A">
        <w:t>Council Vice-Chair Rachel Whipple</w:t>
      </w:r>
    </w:p>
    <w:p w14:paraId="669AD05B" w14:textId="444160A5" w:rsidR="00807CEC" w:rsidRDefault="00807CEC" w:rsidP="00E836E7">
      <w:pPr>
        <w:ind w:firstLine="720"/>
        <w:jc w:val="both"/>
      </w:pPr>
      <w:r>
        <w:t>Councilor Katrice MacKay</w:t>
      </w:r>
      <w:r w:rsidR="002B34D7">
        <w:t xml:space="preserve"> (Remote for Item 1 and excused for the rest)</w:t>
      </w:r>
    </w:p>
    <w:p w14:paraId="5C38143D" w14:textId="77777777" w:rsidR="00807CEC" w:rsidRDefault="00807CEC" w:rsidP="00E836E7">
      <w:pPr>
        <w:ind w:firstLine="720"/>
        <w:jc w:val="both"/>
      </w:pPr>
      <w:r>
        <w:t>Councilor Craig Christensen</w:t>
      </w:r>
    </w:p>
    <w:p w14:paraId="6E6D588D" w14:textId="77777777" w:rsidR="00807CEC" w:rsidRPr="00D81F5A" w:rsidRDefault="00807CEC" w:rsidP="00E836E7">
      <w:pPr>
        <w:ind w:firstLine="720"/>
        <w:jc w:val="both"/>
      </w:pPr>
      <w:r>
        <w:t>Councilor George Handley</w:t>
      </w:r>
    </w:p>
    <w:p w14:paraId="73EB04BE" w14:textId="77777777" w:rsidR="00807CEC" w:rsidRPr="00D81F5A" w:rsidRDefault="00E836E7" w:rsidP="00E836E7">
      <w:pPr>
        <w:jc w:val="both"/>
      </w:pPr>
      <w:r w:rsidRPr="00D81F5A">
        <w:tab/>
        <w:t>Councilor Becky Bogdin</w:t>
      </w:r>
    </w:p>
    <w:p w14:paraId="1A21E00A" w14:textId="3232B0F0" w:rsidR="00E836E7" w:rsidRPr="00D81F5A" w:rsidRDefault="00E836E7" w:rsidP="00E836E7">
      <w:pPr>
        <w:jc w:val="both"/>
      </w:pPr>
      <w:r w:rsidRPr="00D81F5A">
        <w:tab/>
        <w:t xml:space="preserve">Councilor </w:t>
      </w:r>
      <w:r w:rsidR="00807CEC">
        <w:t>Travis Hoban</w:t>
      </w:r>
      <w:r w:rsidR="002B34D7">
        <w:t xml:space="preserve"> (Remote)</w:t>
      </w:r>
    </w:p>
    <w:p w14:paraId="367BB487" w14:textId="607ABBFD" w:rsidR="00E836E7" w:rsidRPr="00D81F5A" w:rsidRDefault="00E836E7" w:rsidP="00E836E7">
      <w:pPr>
        <w:jc w:val="both"/>
      </w:pPr>
      <w:r w:rsidRPr="00D81F5A">
        <w:tab/>
      </w:r>
    </w:p>
    <w:p w14:paraId="42C973F0" w14:textId="77777777" w:rsidR="00807CEC" w:rsidRDefault="00807CEC" w:rsidP="00E836E7">
      <w:pPr>
        <w:jc w:val="both"/>
        <w:rPr>
          <w:b/>
          <w:bCs/>
          <w:sz w:val="28"/>
          <w:szCs w:val="28"/>
        </w:rPr>
      </w:pPr>
      <w:r>
        <w:rPr>
          <w:b/>
          <w:bCs/>
          <w:sz w:val="28"/>
          <w:szCs w:val="28"/>
        </w:rPr>
        <w:t>Approval of Minutes</w:t>
      </w:r>
    </w:p>
    <w:p w14:paraId="4571904F" w14:textId="3BAB425F" w:rsidR="00807CEC" w:rsidRPr="00AF7A81" w:rsidRDefault="00807CEC" w:rsidP="00AF7A81">
      <w:pPr>
        <w:jc w:val="both"/>
        <w:rPr>
          <w:b/>
          <w:bCs/>
          <w:sz w:val="28"/>
          <w:szCs w:val="28"/>
        </w:rPr>
      </w:pPr>
    </w:p>
    <w:p w14:paraId="30BA0389" w14:textId="302206F8" w:rsidR="00807CEC" w:rsidRPr="00AF7A81" w:rsidRDefault="00AF7A81" w:rsidP="00AF7A81">
      <w:pPr>
        <w:pStyle w:val="ListParagraph"/>
        <w:numPr>
          <w:ilvl w:val="0"/>
          <w:numId w:val="3"/>
        </w:numPr>
        <w:jc w:val="both"/>
        <w:rPr>
          <w:b/>
          <w:bCs/>
          <w:sz w:val="28"/>
          <w:szCs w:val="28"/>
        </w:rPr>
      </w:pPr>
      <w:r>
        <w:rPr>
          <w:sz w:val="28"/>
          <w:szCs w:val="28"/>
        </w:rPr>
        <w:t>May 6, 2025 Council Meeting</w:t>
      </w:r>
    </w:p>
    <w:p w14:paraId="47356612" w14:textId="0F57A2A1" w:rsidR="00AF7A81" w:rsidRPr="00AF7A81" w:rsidRDefault="00AF7A81" w:rsidP="00AF7A81">
      <w:pPr>
        <w:pStyle w:val="ListParagraph"/>
        <w:numPr>
          <w:ilvl w:val="0"/>
          <w:numId w:val="3"/>
        </w:numPr>
        <w:jc w:val="both"/>
        <w:rPr>
          <w:b/>
          <w:bCs/>
          <w:sz w:val="28"/>
          <w:szCs w:val="28"/>
        </w:rPr>
      </w:pPr>
      <w:r>
        <w:rPr>
          <w:sz w:val="28"/>
          <w:szCs w:val="28"/>
        </w:rPr>
        <w:t>May 20, 2025 Work Meeting</w:t>
      </w:r>
    </w:p>
    <w:p w14:paraId="0C4F62C4" w14:textId="4B38BDD3" w:rsidR="00AF7A81" w:rsidRPr="00AF7A81" w:rsidRDefault="00AF7A81" w:rsidP="00AF7A81">
      <w:pPr>
        <w:pStyle w:val="ListParagraph"/>
        <w:numPr>
          <w:ilvl w:val="0"/>
          <w:numId w:val="3"/>
        </w:numPr>
        <w:jc w:val="both"/>
        <w:rPr>
          <w:b/>
          <w:bCs/>
          <w:sz w:val="28"/>
          <w:szCs w:val="28"/>
        </w:rPr>
      </w:pPr>
      <w:r>
        <w:rPr>
          <w:sz w:val="28"/>
          <w:szCs w:val="28"/>
        </w:rPr>
        <w:t>May 20, 2025 Council Meeting</w:t>
      </w:r>
    </w:p>
    <w:p w14:paraId="0C7CD5CF" w14:textId="77777777" w:rsidR="00AF7A81" w:rsidRPr="00AF7A81" w:rsidRDefault="00AF7A81" w:rsidP="00AF7A81">
      <w:pPr>
        <w:jc w:val="both"/>
        <w:rPr>
          <w:b/>
          <w:bCs/>
          <w:sz w:val="28"/>
          <w:szCs w:val="28"/>
        </w:rPr>
      </w:pPr>
    </w:p>
    <w:p w14:paraId="6B267AA1" w14:textId="77777777" w:rsidR="00E836E7" w:rsidRPr="00D81F5A" w:rsidRDefault="00E836E7" w:rsidP="00E836E7">
      <w:pPr>
        <w:jc w:val="both"/>
        <w:rPr>
          <w:b/>
          <w:bCs/>
          <w:sz w:val="28"/>
          <w:szCs w:val="28"/>
        </w:rPr>
      </w:pPr>
      <w:r w:rsidRPr="00D81F5A">
        <w:rPr>
          <w:b/>
          <w:bCs/>
          <w:sz w:val="28"/>
          <w:szCs w:val="28"/>
        </w:rPr>
        <w:t>Business</w:t>
      </w:r>
    </w:p>
    <w:p w14:paraId="1559295D" w14:textId="0D4A82B9" w:rsidR="00AF7A81" w:rsidRDefault="00AF7A81" w:rsidP="00AF7A81">
      <w:pPr>
        <w:pStyle w:val="NormalWeb"/>
      </w:pPr>
      <w:r>
        <w:rPr>
          <w:rStyle w:val="Strong"/>
          <w:rFonts w:eastAsiaTheme="majorEastAsia"/>
        </w:rPr>
        <w:t>Item 1: A discussion regarding water rates (25-013)</w:t>
      </w:r>
      <w:r w:rsidR="005C1B35">
        <w:rPr>
          <w:rStyle w:val="Strong"/>
          <w:rFonts w:eastAsiaTheme="majorEastAsia"/>
        </w:rPr>
        <w:t xml:space="preserve"> </w:t>
      </w:r>
      <w:hyperlink r:id="rId12" w:history="1">
        <w:r w:rsidR="005C1B35" w:rsidRPr="005C1B35">
          <w:rPr>
            <w:rStyle w:val="Hyperlink"/>
            <w:rFonts w:eastAsiaTheme="majorEastAsia"/>
            <w:b/>
            <w:bCs/>
          </w:rPr>
          <w:t>0:07:17</w:t>
        </w:r>
      </w:hyperlink>
    </w:p>
    <w:p w14:paraId="1894A496" w14:textId="77777777" w:rsidR="00AF7A81" w:rsidRDefault="00AF7A81" w:rsidP="00AF7A81">
      <w:pPr>
        <w:pStyle w:val="NormalWeb"/>
      </w:pPr>
      <w:r>
        <w:t>Melia Dayley, Policy Analyst, presented four options for water rate increases for the upcoming fiscal year. Option 1, included in the current tentative budget, proposed a 2.5% revenue increase with three tier levels. Option 2, developed prior to the tentative budget, would generate a 5% revenue increase. Options 3 and 4 were created in response to recent Municipal Council discussions. Option 3 introduced equal dollar increases across all tiers, resulting in a 3.3% revenue increase. Option 4 maintained the tier proportions of Option 1 while achieving a 5% revenue increase.</w:t>
      </w:r>
    </w:p>
    <w:p w14:paraId="197AD321" w14:textId="77777777" w:rsidR="00AF7A81" w:rsidRDefault="00AF7A81" w:rsidP="00AF7A81">
      <w:pPr>
        <w:pStyle w:val="NormalWeb"/>
      </w:pPr>
      <w:r>
        <w:t>Ms. Dayley also provided projections for rate increases in future years under each option in order to meet recommended capital funding levels. Additionally, she presented data on the percentage of users who would experience annual bill increases under each option.</w:t>
      </w:r>
    </w:p>
    <w:p w14:paraId="18025B27" w14:textId="5E8B4246" w:rsidR="00AF7A81" w:rsidRDefault="00AF7A81" w:rsidP="00AF7A81">
      <w:pPr>
        <w:pStyle w:val="NormalWeb"/>
      </w:pPr>
      <w:r>
        <w:t xml:space="preserve">Keith Larson, Consultant from Bowen Collins &amp; Associates, participating via Zoom, offered insight from the American Water Works Association (AWWA) cost of service perspective. He </w:t>
      </w:r>
      <w:r>
        <w:lastRenderedPageBreak/>
        <w:t>noted that Option 2 most closely aligned with system impact costs and recommended a gradual shift toward its structure, emphasizing the evolving nature of cost of service due to changing water use patterns.</w:t>
      </w:r>
    </w:p>
    <w:p w14:paraId="2D6FA98E" w14:textId="5C5DDB38" w:rsidR="00AF7A81" w:rsidRDefault="00AF7A81" w:rsidP="00AF7A81">
      <w:pPr>
        <w:pStyle w:val="NormalWeb"/>
      </w:pPr>
      <w:r>
        <w:t>Councilor Handley voiced support for Option 2 but acknowledged it may not have sufficient support to pass. As a compromise, he recommended adopting Option 3, citing concerns about aligning rates more accurately with the cost of service and the importance of maintaining meaningful tier differentials.</w:t>
      </w:r>
    </w:p>
    <w:p w14:paraId="2FC883E1" w14:textId="77777777" w:rsidR="00AF7A81" w:rsidRDefault="00AF7A81" w:rsidP="00AF7A81">
      <w:pPr>
        <w:pStyle w:val="NormalWeb"/>
      </w:pPr>
      <w:r>
        <w:t>Councilor Handley moved to adopt Option 3 as the recommended rate increase and tiered rate structure for the fiscal year 2025-2026. Councilor Christensen seconded the motion.</w:t>
      </w:r>
    </w:p>
    <w:p w14:paraId="3A7819AB" w14:textId="77777777" w:rsidR="00AF7A81" w:rsidRDefault="00AF7A81" w:rsidP="00AF7A81">
      <w:pPr>
        <w:pStyle w:val="NormalWeb"/>
      </w:pPr>
      <w:r>
        <w:t>During the discussion, Councilor Bogdin raised concerns about the potential negative impact on orchards and urban farming operations. Councilor Whipple expressed preference for Option 2 but acknowledged its low likelihood of passage. She also warned that postponing a 5% increase would likely result in a 6.5% increase in the following fiscal year.</w:t>
      </w:r>
    </w:p>
    <w:p w14:paraId="2C7D812D" w14:textId="77777777" w:rsidR="00AF7A81" w:rsidRDefault="00AF7A81" w:rsidP="00AF7A81">
      <w:pPr>
        <w:pStyle w:val="NormalWeb"/>
      </w:pPr>
      <w:r>
        <w:t>The motion to support Option 3 passed by a vote of 5 to 2, with Councilors Bogdin, Garrett, Whipple, Handley, and Christensen voting in favor, and Councilors MacKay and Hoban voting against.</w:t>
      </w:r>
    </w:p>
    <w:p w14:paraId="65D15CD5" w14:textId="7EE5F8C4" w:rsidR="00AF7A81" w:rsidRDefault="00AF7A81" w:rsidP="00AF7A81">
      <w:pPr>
        <w:pStyle w:val="NormalWeb"/>
      </w:pPr>
      <w:r>
        <w:t>Following the vote, Councilor</w:t>
      </w:r>
      <w:r w:rsidR="003A63BF">
        <w:t>s</w:t>
      </w:r>
      <w:r>
        <w:t xml:space="preserve"> </w:t>
      </w:r>
      <w:r w:rsidR="003A63BF">
        <w:t>Bogdin and Whipple</w:t>
      </w:r>
      <w:r>
        <w:t xml:space="preserve"> inquired about the status of an exemption for urban farming or gardening. Gordon Haight, Public Works Director, confirmed that staff were actively working on the matter and intended to bring it forward for adoption after the budget process concludes.</w:t>
      </w:r>
    </w:p>
    <w:p w14:paraId="09E6F7CF" w14:textId="5E614DCD" w:rsidR="00241FA6" w:rsidRDefault="00241FA6" w:rsidP="00241FA6">
      <w:pPr>
        <w:pStyle w:val="NormalWeb"/>
      </w:pPr>
      <w:r>
        <w:rPr>
          <w:rStyle w:val="Strong"/>
          <w:rFonts w:eastAsiaTheme="majorEastAsia"/>
        </w:rPr>
        <w:t>Item 2: A presentation regarding FY26 tentative budget amendments (25-025)</w:t>
      </w:r>
      <w:r w:rsidR="005C1B35">
        <w:rPr>
          <w:rStyle w:val="Strong"/>
          <w:rFonts w:eastAsiaTheme="majorEastAsia"/>
        </w:rPr>
        <w:t xml:space="preserve"> </w:t>
      </w:r>
      <w:hyperlink r:id="rId13" w:history="1">
        <w:r w:rsidR="005C1B35" w:rsidRPr="005C1B35">
          <w:rPr>
            <w:rStyle w:val="Hyperlink"/>
            <w:rFonts w:eastAsiaTheme="majorEastAsia"/>
            <w:b/>
            <w:bCs/>
          </w:rPr>
          <w:t>0:28:04</w:t>
        </w:r>
      </w:hyperlink>
    </w:p>
    <w:p w14:paraId="7CBD64E9" w14:textId="77777777" w:rsidR="00241FA6" w:rsidRDefault="00241FA6" w:rsidP="00241FA6">
      <w:pPr>
        <w:pStyle w:val="NormalWeb"/>
      </w:pPr>
      <w:r>
        <w:t>Andrea Wright, Budget Analyst, presented proposed amendments to the Fiscal Year 2026 tentative budget. She explained that the updates were based on the latest corrections and financial data, with particular emphasis on the forthcoming release of the certified tax rate, scheduled for June 9th.</w:t>
      </w:r>
    </w:p>
    <w:p w14:paraId="08D53F00" w14:textId="77777777" w:rsidR="00241FA6" w:rsidRDefault="00241FA6" w:rsidP="00241FA6">
      <w:pPr>
        <w:pStyle w:val="NormalWeb"/>
      </w:pPr>
      <w:r>
        <w:t>Ms. Wright outlined specific changes to the budget, beginning with updates to rental rehabilitation, Community Development Block Grant (CDBG), and HOME funds. These allocations were revised to reflect the actual grant and funding amounts received, ensuring accuracy and alignment with confirmed financial awards.</w:t>
      </w:r>
    </w:p>
    <w:p w14:paraId="77DE9C51" w14:textId="77777777" w:rsidR="00241FA6" w:rsidRDefault="00241FA6" w:rsidP="00241FA6">
      <w:pPr>
        <w:pStyle w:val="NormalWeb"/>
      </w:pPr>
      <w:r>
        <w:t>Additional corrections were made in the following areas:</w:t>
      </w:r>
    </w:p>
    <w:p w14:paraId="321FCDE8" w14:textId="2A5E8959" w:rsidR="00241FA6" w:rsidRDefault="00241FA6" w:rsidP="00241FA6">
      <w:pPr>
        <w:pStyle w:val="NormalWeb"/>
        <w:numPr>
          <w:ilvl w:val="0"/>
          <w:numId w:val="4"/>
        </w:numPr>
      </w:pPr>
      <w:r>
        <w:rPr>
          <w:rStyle w:val="Strong"/>
          <w:rFonts w:eastAsiaTheme="majorEastAsia"/>
        </w:rPr>
        <w:t>Payroll</w:t>
      </w:r>
    </w:p>
    <w:p w14:paraId="092B0823" w14:textId="33336DC1" w:rsidR="00241FA6" w:rsidRDefault="00241FA6" w:rsidP="00241FA6">
      <w:pPr>
        <w:pStyle w:val="NormalWeb"/>
        <w:numPr>
          <w:ilvl w:val="0"/>
          <w:numId w:val="4"/>
        </w:numPr>
      </w:pPr>
      <w:r>
        <w:rPr>
          <w:rStyle w:val="Strong"/>
          <w:rFonts w:eastAsiaTheme="majorEastAsia"/>
        </w:rPr>
        <w:t>Facilities</w:t>
      </w:r>
    </w:p>
    <w:p w14:paraId="0983480C" w14:textId="558C99F8" w:rsidR="00241FA6" w:rsidRPr="00241FA6" w:rsidRDefault="00241FA6" w:rsidP="00241FA6">
      <w:pPr>
        <w:pStyle w:val="NormalWeb"/>
        <w:numPr>
          <w:ilvl w:val="0"/>
          <w:numId w:val="4"/>
        </w:numPr>
        <w:rPr>
          <w:rStyle w:val="Strong"/>
          <w:b w:val="0"/>
          <w:bCs w:val="0"/>
        </w:rPr>
      </w:pPr>
      <w:r>
        <w:rPr>
          <w:rStyle w:val="Strong"/>
          <w:rFonts w:eastAsiaTheme="majorEastAsia"/>
        </w:rPr>
        <w:t>Energy Capital Improvement Plan (CIP)</w:t>
      </w:r>
    </w:p>
    <w:p w14:paraId="7C67D12C" w14:textId="4804E873" w:rsidR="00241FA6" w:rsidRDefault="00241FA6" w:rsidP="00241FA6">
      <w:pPr>
        <w:pStyle w:val="NormalWeb"/>
      </w:pPr>
      <w:r>
        <w:rPr>
          <w:rStyle w:val="Strong"/>
          <w:rFonts w:eastAsiaTheme="majorEastAsia"/>
        </w:rPr>
        <w:t>Item 3: An ordinance adopting a budget for Provo City Corporation for the fiscal year beginning July 1, 2025 and ending June 30, 2026, in the amount of $323,326,393. (25-025)</w:t>
      </w:r>
      <w:r w:rsidR="005C1B35">
        <w:rPr>
          <w:rStyle w:val="Strong"/>
          <w:rFonts w:eastAsiaTheme="majorEastAsia"/>
        </w:rPr>
        <w:t xml:space="preserve"> </w:t>
      </w:r>
      <w:hyperlink r:id="rId14" w:history="1">
        <w:r w:rsidR="005C1B35">
          <w:rPr>
            <w:rStyle w:val="Hyperlink"/>
            <w:rFonts w:eastAsiaTheme="majorEastAsia"/>
            <w:b/>
            <w:bCs/>
          </w:rPr>
          <w:t>0:3</w:t>
        </w:r>
        <w:r w:rsidR="005C1B35" w:rsidRPr="005C1B35">
          <w:rPr>
            <w:rStyle w:val="Hyperlink"/>
            <w:rFonts w:eastAsiaTheme="majorEastAsia"/>
            <w:b/>
            <w:bCs/>
          </w:rPr>
          <w:t>0:12</w:t>
        </w:r>
      </w:hyperlink>
    </w:p>
    <w:p w14:paraId="35D08B68" w14:textId="77777777" w:rsidR="00241FA6" w:rsidRDefault="00241FA6" w:rsidP="00241FA6">
      <w:pPr>
        <w:pStyle w:val="NormalWeb"/>
      </w:pPr>
      <w:r>
        <w:t>John Borget, Administrative Services Director, presented the proposed budget ordinance for the fiscal year 2025–2026. He noted that the total budget amount of $323,326,393 may be subject to minor adjustments prior to final adoption. He highlighted that public hearings on the ordinance were scheduled for June 3rd and June 17th.</w:t>
      </w:r>
    </w:p>
    <w:p w14:paraId="1C80E987" w14:textId="77777777" w:rsidR="00241FA6" w:rsidRDefault="00241FA6" w:rsidP="00241FA6">
      <w:pPr>
        <w:pStyle w:val="NormalWeb"/>
      </w:pPr>
      <w:r>
        <w:t>Mr. Borget requested feedback on a provision within the ordinance related to the local government disaster fund. Specifically, the language would allow for the transfer of up to 20% of remaining General Fund budget savings to the disaster fund. The Council expressed general support for retaining this provision, with the understanding that the decision would be evaluated annually each September.</w:t>
      </w:r>
    </w:p>
    <w:p w14:paraId="188BA43B" w14:textId="77777777" w:rsidR="00241FA6" w:rsidRDefault="00241FA6" w:rsidP="00241FA6">
      <w:pPr>
        <w:pStyle w:val="NormalWeb"/>
      </w:pPr>
      <w:r>
        <w:t>Mr. Borget also reviewed the exhibits that would accompany the ordinance. These include references and links to the adopted budget, capital projects budget, the employee pay table range, and the consolidated fee schedule.</w:t>
      </w:r>
    </w:p>
    <w:p w14:paraId="4A288A8F" w14:textId="71E38337" w:rsidR="00643BA8" w:rsidRDefault="00643BA8" w:rsidP="00643BA8">
      <w:pPr>
        <w:pStyle w:val="NormalWeb"/>
      </w:pPr>
      <w:r>
        <w:rPr>
          <w:rStyle w:val="Strong"/>
          <w:rFonts w:eastAsiaTheme="majorEastAsia"/>
        </w:rPr>
        <w:t>Item 4: An ordinance amending Provo City Code regarding certain employee retirement programs (25-064)</w:t>
      </w:r>
      <w:r w:rsidR="005C1B35" w:rsidRPr="005C1B35">
        <w:t xml:space="preserve"> </w:t>
      </w:r>
      <w:hyperlink r:id="rId15" w:history="1">
        <w:r w:rsidR="005C1B35" w:rsidRPr="005C1B35">
          <w:rPr>
            <w:rStyle w:val="Hyperlink"/>
            <w:rFonts w:eastAsiaTheme="majorEastAsia"/>
            <w:b/>
            <w:bCs/>
          </w:rPr>
          <w:t>0:45:23</w:t>
        </w:r>
      </w:hyperlink>
    </w:p>
    <w:p w14:paraId="105864C5" w14:textId="77777777" w:rsidR="00643BA8" w:rsidRDefault="00643BA8" w:rsidP="00643BA8">
      <w:pPr>
        <w:pStyle w:val="NormalWeb"/>
      </w:pPr>
      <w:r>
        <w:t>Daniel Softley, Human Resources Director, presented a proposed ordinance amending Provo City Code to enhance supplemental retirement contributions for specific employee groups that do not participate in Social Security. Under the proposed change, sworn police officers and firefighters would be eligible for a 401(k) match of up to 4%, while the contribution for other employees would remain at 2%.</w:t>
      </w:r>
    </w:p>
    <w:p w14:paraId="2A1EA4B9" w14:textId="67596CA0" w:rsidR="00643BA8" w:rsidRDefault="00643BA8" w:rsidP="00643BA8">
      <w:pPr>
        <w:pStyle w:val="NormalWeb"/>
      </w:pPr>
      <w:r>
        <w:t xml:space="preserve">Mr. Softley provided historical context regarding Provo City's decision to opt out of Social Security for certain employee categories. He reviewed the various retirement plans currently available and explained that the recommended contribution increase was based on a comparison to the median contributions provided by other agencies that also do not participate in Social Security. He argued that approving this ordinance would help Provo City Police Department remain competitive in the job market. </w:t>
      </w:r>
    </w:p>
    <w:p w14:paraId="74A207CC" w14:textId="77777777" w:rsidR="00643BA8" w:rsidRDefault="00643BA8" w:rsidP="00643BA8">
      <w:pPr>
        <w:pStyle w:val="NormalWeb"/>
      </w:pPr>
      <w:r>
        <w:t>The estimated annual cost of the proposed change is approximately $282,000, and this amount has already been incorporated into the proposed budget.</w:t>
      </w:r>
    </w:p>
    <w:p w14:paraId="6817D663" w14:textId="1E467636" w:rsidR="00643BA8" w:rsidRDefault="00643BA8" w:rsidP="00643BA8">
      <w:pPr>
        <w:pStyle w:val="NormalWeb"/>
      </w:pPr>
      <w:r>
        <w:rPr>
          <w:rStyle w:val="Strong"/>
          <w:rFonts w:eastAsiaTheme="majorEastAsia"/>
        </w:rPr>
        <w:t>Item 5: An ordinance amending Provo City Code regarding public safety impact fees (25-065)</w:t>
      </w:r>
      <w:r w:rsidR="005C1B35">
        <w:rPr>
          <w:rStyle w:val="Strong"/>
          <w:rFonts w:eastAsiaTheme="majorEastAsia"/>
        </w:rPr>
        <w:t xml:space="preserve"> </w:t>
      </w:r>
      <w:hyperlink r:id="rId16" w:history="1">
        <w:r w:rsidR="005C1B35" w:rsidRPr="005C1B35">
          <w:rPr>
            <w:rStyle w:val="Hyperlink"/>
            <w:rFonts w:eastAsiaTheme="majorEastAsia"/>
            <w:b/>
            <w:bCs/>
          </w:rPr>
          <w:t>0:45:55</w:t>
        </w:r>
      </w:hyperlink>
    </w:p>
    <w:p w14:paraId="75888CBF" w14:textId="77777777" w:rsidR="00643BA8" w:rsidRDefault="00643BA8" w:rsidP="00643BA8">
      <w:pPr>
        <w:pStyle w:val="NormalWeb"/>
      </w:pPr>
      <w:r>
        <w:t>John Borget, Administrative Services Director, presented a proposed ordinance to amend Provo City Code by consolidating the fire and police impact fees into a single public safety impact fee. He displayed a table outlining the new combined fees applicable to various geographic areas within the city.</w:t>
      </w:r>
    </w:p>
    <w:p w14:paraId="128C7419" w14:textId="77777777" w:rsidR="00643BA8" w:rsidRDefault="00643BA8" w:rsidP="00643BA8">
      <w:pPr>
        <w:pStyle w:val="NormalWeb"/>
      </w:pPr>
      <w:r>
        <w:t>Mr. Borget recommended adopting an annual adjustment mechanism based on the supporting impact fee study, aligning the process with the recent updates made to water impact fees. The ordinance, if adopted, would take effect on July 1st, with annual adjustments incorporated into the consolidated fee schedule moving forward.</w:t>
      </w:r>
    </w:p>
    <w:p w14:paraId="314EAE89" w14:textId="50328BFC" w:rsidR="00643BA8" w:rsidRDefault="00643BA8" w:rsidP="00643BA8">
      <w:pPr>
        <w:pStyle w:val="NormalWeb"/>
      </w:pPr>
      <w:r>
        <w:t>Councilor Bogdin raised concerns regarding the adequacy of the current fee levels given inflation since the last impact fee study in 2018. In response, Susie Becker, Senior Vice President of Zions Public Finance, clarified that the updated fees primarily reflected reductions in bond credits rather than inflation-driven increases.</w:t>
      </w:r>
    </w:p>
    <w:p w14:paraId="328A943D" w14:textId="77777777" w:rsidR="00643BA8" w:rsidRDefault="00643BA8" w:rsidP="00643BA8">
      <w:pPr>
        <w:pStyle w:val="NormalWeb"/>
      </w:pPr>
      <w:r>
        <w:t>The Council engaged in discussion about the importance of conducting more frequent impact fee studies to ensure that fees remain reflective of current costs and economic conditions.</w:t>
      </w:r>
    </w:p>
    <w:p w14:paraId="5D60CA41" w14:textId="2C26D673" w:rsidR="00215FB2" w:rsidRDefault="00215FB2" w:rsidP="00215FB2">
      <w:pPr>
        <w:pStyle w:val="NormalWeb"/>
      </w:pPr>
      <w:r>
        <w:rPr>
          <w:rStyle w:val="Strong"/>
          <w:rFonts w:eastAsiaTheme="majorEastAsia"/>
        </w:rPr>
        <w:t>Item 6: A resolution appointing Danny Mitchell as Provo City Constable to serve a six-year term. (25-042)</w:t>
      </w:r>
      <w:r w:rsidR="005C1B35">
        <w:rPr>
          <w:rStyle w:val="Strong"/>
          <w:rFonts w:eastAsiaTheme="majorEastAsia"/>
        </w:rPr>
        <w:t xml:space="preserve"> </w:t>
      </w:r>
      <w:hyperlink r:id="rId17" w:history="1">
        <w:r w:rsidR="005C1B35" w:rsidRPr="005C1B35">
          <w:rPr>
            <w:rStyle w:val="Hyperlink"/>
            <w:rFonts w:eastAsiaTheme="majorEastAsia"/>
            <w:b/>
            <w:bCs/>
          </w:rPr>
          <w:t>1:12:28</w:t>
        </w:r>
      </w:hyperlink>
    </w:p>
    <w:p w14:paraId="653C00CB" w14:textId="77777777" w:rsidR="00215FB2" w:rsidRDefault="00215FB2" w:rsidP="00215FB2">
      <w:pPr>
        <w:pStyle w:val="NormalWeb"/>
      </w:pPr>
      <w:r>
        <w:t>John Borget, Administrative Services Director, presented a resolution to appoint Danny Mitchell as the Provo City Constable for a six-year term. He outlined the selection process, which involved a request for proposals (RFP) and review by a nominating commission. Mr. Mitchell, who is employed by the same company as the outgoing constable, was recommended for appointment by the commission.</w:t>
      </w:r>
    </w:p>
    <w:p w14:paraId="49F75C23" w14:textId="77777777" w:rsidR="00215FB2" w:rsidRDefault="00215FB2" w:rsidP="00215FB2">
      <w:pPr>
        <w:pStyle w:val="NormalWeb"/>
      </w:pPr>
      <w:r>
        <w:t>Councilor Whipple, a member of the nominating commission, spoke in support of the recommendation, noting that Mitchell had received positive references from those familiar with his work. City Attorney Brian Jones added that the Provo Police Department had been consulted about potentially assuming constable duties, but this alternative was determined to be more costly than the proposed contract.</w:t>
      </w:r>
    </w:p>
    <w:p w14:paraId="3196963D" w14:textId="77777777" w:rsidR="00215FB2" w:rsidRDefault="00215FB2" w:rsidP="00215FB2">
      <w:pPr>
        <w:pStyle w:val="NormalWeb"/>
      </w:pPr>
      <w:r>
        <w:t>Mr. Mitchell appeared before the Council to answer questions, during which he shared information about his professional background and his interest in serving as constable. Council members expressed support for his appointment, which was scheduled for a formal vote at the evening Council meeting.</w:t>
      </w:r>
    </w:p>
    <w:p w14:paraId="0C07A082" w14:textId="7C9D4140" w:rsidR="00215FB2" w:rsidRDefault="00215FB2" w:rsidP="00215FB2">
      <w:pPr>
        <w:pStyle w:val="NormalWeb"/>
      </w:pPr>
      <w:r>
        <w:rPr>
          <w:rStyle w:val="Strong"/>
          <w:rFonts w:eastAsiaTheme="majorEastAsia"/>
        </w:rPr>
        <w:t>Item 7: A presentation regarding Provo Police Victim Services (25-018)</w:t>
      </w:r>
      <w:r w:rsidR="005C1B35">
        <w:rPr>
          <w:rStyle w:val="Strong"/>
          <w:rFonts w:eastAsiaTheme="majorEastAsia"/>
        </w:rPr>
        <w:t xml:space="preserve"> </w:t>
      </w:r>
      <w:hyperlink r:id="rId18" w:history="1">
        <w:r w:rsidR="005C1B35" w:rsidRPr="005C1B35">
          <w:rPr>
            <w:rStyle w:val="Hyperlink"/>
            <w:rFonts w:eastAsiaTheme="majorEastAsia"/>
            <w:b/>
            <w:bCs/>
          </w:rPr>
          <w:t>1:25:27</w:t>
        </w:r>
      </w:hyperlink>
    </w:p>
    <w:p w14:paraId="1BA54FE8" w14:textId="44492903" w:rsidR="00215FB2" w:rsidRDefault="00215FB2" w:rsidP="00215FB2">
      <w:pPr>
        <w:pStyle w:val="NormalWeb"/>
      </w:pPr>
      <w:r>
        <w:t>Kim Tha</w:t>
      </w:r>
      <w:r w:rsidR="00A514A7">
        <w:t>y</w:t>
      </w:r>
      <w:r>
        <w:t>ne, the new Victim Services Coordinator, presented an overview of the Provo Police Victim Services program, accompanied by team members Estrella and Dennys. The presentation detailed the qualifications necessary for victim advocates, including relevant education, specialized training, and successful completion of background checks.</w:t>
      </w:r>
    </w:p>
    <w:p w14:paraId="2FF735FD" w14:textId="77777777" w:rsidR="00215FB2" w:rsidRDefault="00215FB2" w:rsidP="00215FB2">
      <w:pPr>
        <w:pStyle w:val="NormalWeb"/>
      </w:pPr>
      <w:r>
        <w:t>The team outlined the types of cases typically supported by Victim Services, such as domestic violence, harassment, and sexual assault. They explained that services are confidential within the Provo Police Department and offered free of charge to clients. Victim advocates also provide assistance with legal processes, including protective orders and accompanying clients to court proceedings.</w:t>
      </w:r>
    </w:p>
    <w:p w14:paraId="39DEF6C7" w14:textId="77777777" w:rsidR="00215FB2" w:rsidRDefault="00215FB2" w:rsidP="00215FB2">
      <w:pPr>
        <w:pStyle w:val="NormalWeb"/>
      </w:pPr>
      <w:r>
        <w:t>Councilors Christensen and Whipple expressed strong support for the Victim Services program, underscoring its critical role in public safety and its capacity to save lives. They noted concerns about the recent reduction in staffing from seven to four advocates and conveyed a willingness to consider funding additional positions should a request be submitted by the Police Department.</w:t>
      </w:r>
    </w:p>
    <w:p w14:paraId="14BCFBA7" w14:textId="08724059" w:rsidR="00215FB2" w:rsidRDefault="00215FB2" w:rsidP="00215FB2">
      <w:pPr>
        <w:pStyle w:val="NormalWeb"/>
      </w:pPr>
      <w:r>
        <w:rPr>
          <w:rStyle w:val="Strong"/>
          <w:rFonts w:eastAsiaTheme="majorEastAsia"/>
        </w:rPr>
        <w:t>Item 8: A resolution approving a lease agreement with PNC Bank for 80 electric golf carts over 5 years. (25-066)</w:t>
      </w:r>
      <w:r w:rsidR="005C1B35">
        <w:rPr>
          <w:rStyle w:val="Strong"/>
          <w:rFonts w:eastAsiaTheme="majorEastAsia"/>
        </w:rPr>
        <w:t xml:space="preserve"> </w:t>
      </w:r>
      <w:hyperlink r:id="rId19" w:history="1">
        <w:r w:rsidR="005C1B35" w:rsidRPr="005C1B35">
          <w:rPr>
            <w:rStyle w:val="Hyperlink"/>
            <w:rFonts w:eastAsiaTheme="majorEastAsia"/>
            <w:b/>
            <w:bCs/>
          </w:rPr>
          <w:t>2:07:32</w:t>
        </w:r>
      </w:hyperlink>
    </w:p>
    <w:p w14:paraId="310EFFEC" w14:textId="77777777" w:rsidR="00215FB2" w:rsidRDefault="00215FB2" w:rsidP="00215FB2">
      <w:pPr>
        <w:pStyle w:val="NormalWeb"/>
      </w:pPr>
      <w:r>
        <w:t>Brett Watson, Golf Manager, presented a resolution to approve a five-year lease agreement with PNC Bank for 80 electric golf carts. He explained that the golf course aims to refresh its fleet every five years, and this lease supports that objective.</w:t>
      </w:r>
    </w:p>
    <w:p w14:paraId="277CDACD" w14:textId="77777777" w:rsidR="00215FB2" w:rsidRDefault="00215FB2" w:rsidP="00215FB2">
      <w:pPr>
        <w:pStyle w:val="NormalWeb"/>
      </w:pPr>
      <w:r>
        <w:t>Mr. Watson highlighted the operational benefits of transitioning to electric carts, including improved efficiency and environmental considerations. He noted that the lease payments would be fully funded by Golf Course Revenue, without requiring general fund support.</w:t>
      </w:r>
    </w:p>
    <w:p w14:paraId="7BE2AAAF" w14:textId="77777777" w:rsidR="00215FB2" w:rsidRDefault="00215FB2" w:rsidP="00215FB2">
      <w:pPr>
        <w:pStyle w:val="NormalWeb"/>
      </w:pPr>
      <w:r>
        <w:t>The Council discussed the pros and cons of leasing versus purchasing such equipment. Daniel Follett, Division Director of Finance, provided additional insight into the financial implications of the lease structure, supporting the cost-effectiveness of the proposal.</w:t>
      </w:r>
    </w:p>
    <w:p w14:paraId="7DE72572" w14:textId="19D31393" w:rsidR="00215FB2" w:rsidRDefault="00215FB2" w:rsidP="00215FB2">
      <w:pPr>
        <w:pStyle w:val="NormalWeb"/>
      </w:pPr>
      <w:r>
        <w:rPr>
          <w:rStyle w:val="Strong"/>
          <w:rFonts w:eastAsiaTheme="majorEastAsia"/>
        </w:rPr>
        <w:t>Item 9: A resolution approving a lease agreement with Zion's Bank for golf course maintenance equipment over 5 years. (25-067)</w:t>
      </w:r>
      <w:r w:rsidR="005C1B35">
        <w:rPr>
          <w:rStyle w:val="Strong"/>
          <w:rFonts w:eastAsiaTheme="majorEastAsia"/>
        </w:rPr>
        <w:t xml:space="preserve"> </w:t>
      </w:r>
      <w:hyperlink r:id="rId20" w:history="1">
        <w:r w:rsidR="005C1B35" w:rsidRPr="005C1B35">
          <w:rPr>
            <w:rStyle w:val="Hyperlink"/>
            <w:rFonts w:eastAsiaTheme="majorEastAsia"/>
            <w:b/>
            <w:bCs/>
          </w:rPr>
          <w:t>2:08:25</w:t>
        </w:r>
      </w:hyperlink>
    </w:p>
    <w:p w14:paraId="279492E8" w14:textId="77777777" w:rsidR="00215FB2" w:rsidRDefault="00215FB2" w:rsidP="00215FB2">
      <w:pPr>
        <w:pStyle w:val="NormalWeb"/>
      </w:pPr>
      <w:r>
        <w:t>Brett Watson, Golf Manager, presented a resolution to approve a five-year lease agreement with Zion's Bank for the procurement of golf course maintenance equipment. He explained that this lease is part of the golf course's regular practice of renewing its maintenance fleet every five years to ensure reliable and up-to-date equipment.</w:t>
      </w:r>
    </w:p>
    <w:p w14:paraId="09D497F0" w14:textId="77777777" w:rsidR="00215FB2" w:rsidRDefault="00215FB2" w:rsidP="00215FB2">
      <w:pPr>
        <w:pStyle w:val="NormalWeb"/>
      </w:pPr>
      <w:r>
        <w:t>Mr. Watson confirmed that all lease payments would be funded through Golf Course Revenue, requiring no subsidy from the general fund.</w:t>
      </w:r>
    </w:p>
    <w:p w14:paraId="60285CDE" w14:textId="69DB937C" w:rsidR="00816253" w:rsidRDefault="00816253" w:rsidP="00816253">
      <w:pPr>
        <w:pStyle w:val="NormalWeb"/>
      </w:pPr>
      <w:r>
        <w:rPr>
          <w:rStyle w:val="Strong"/>
          <w:rFonts w:eastAsiaTheme="majorEastAsia"/>
        </w:rPr>
        <w:t>Item 10: An update regarding Re-Imagining Code Enforcement (25-053)</w:t>
      </w:r>
      <w:r w:rsidR="005C1B35">
        <w:rPr>
          <w:rStyle w:val="Strong"/>
          <w:rFonts w:eastAsiaTheme="majorEastAsia"/>
        </w:rPr>
        <w:t xml:space="preserve"> </w:t>
      </w:r>
      <w:hyperlink r:id="rId21" w:history="1">
        <w:r w:rsidR="005C1B35" w:rsidRPr="005C1B35">
          <w:rPr>
            <w:rStyle w:val="Hyperlink"/>
            <w:rFonts w:eastAsiaTheme="majorEastAsia"/>
            <w:b/>
            <w:bCs/>
          </w:rPr>
          <w:t>2:19:42</w:t>
        </w:r>
      </w:hyperlink>
    </w:p>
    <w:p w14:paraId="077F943B" w14:textId="77777777" w:rsidR="00816253" w:rsidRDefault="00816253" w:rsidP="00816253">
      <w:pPr>
        <w:pStyle w:val="NormalWeb"/>
      </w:pPr>
      <w:r>
        <w:t>Scott Johnson, Zoning Administrator, provided an update on the City's ongoing efforts to reimagine code enforcement. He reported that data comparison between Utah County and Provo City revealed approximately 12,000 properties potentially operating as rentals without the required licenses. Johnson indicated that letters to these property owners would be mailed within the week.</w:t>
      </w:r>
    </w:p>
    <w:p w14:paraId="44665E45" w14:textId="77777777" w:rsidR="00816253" w:rsidRDefault="00816253" w:rsidP="00816253">
      <w:pPr>
        <w:pStyle w:val="NormalWeb"/>
      </w:pPr>
      <w:r>
        <w:t>He discussed ongoing collaboration with other City departments and agencies to address particularly challenging enforcement areas, such as hotels and motels. The Council deliberated on the importance of utilizing the newly obtained data to create meaningful and measurable enforcement outcomes. Councilor Christensen emphasized the need for this effort to yield tangible impacts rather than isolated enforcement instances. Councilor Whipple proposed implementing system reminders for officers to follow up on properties with a history of non-compliance, such as repeated weed violations, to reduce reliance on citizen complaints. Johnson agreed, noting that automated system reminders could support sustained compliance and address chronic violators.</w:t>
      </w:r>
    </w:p>
    <w:p w14:paraId="263B57CE" w14:textId="77777777" w:rsidR="00816253" w:rsidRDefault="00816253" w:rsidP="00816253">
      <w:pPr>
        <w:pStyle w:val="NormalWeb"/>
      </w:pPr>
      <w:r>
        <w:t>Johnson also reported progress on the implementation of body-worn cameras for code enforcement officers and enhancements to public education through neighborhood meetings and digital outreach. He stated he would monitor responses to the license-related letters and track whether they result in new license applications or further enforcement actions.</w:t>
      </w:r>
    </w:p>
    <w:p w14:paraId="64D6EB1A" w14:textId="72BB5DE7" w:rsidR="00731843" w:rsidRDefault="00731843" w:rsidP="00731843">
      <w:pPr>
        <w:pStyle w:val="NormalWeb"/>
      </w:pPr>
      <w:r>
        <w:rPr>
          <w:rStyle w:val="Strong"/>
          <w:rFonts w:eastAsiaTheme="majorEastAsia"/>
        </w:rPr>
        <w:t>Item 11: An ordinance amending Provo City Code to enact the Chronic Nuisance Chapter. (25-068)</w:t>
      </w:r>
      <w:r w:rsidR="005C1B35">
        <w:rPr>
          <w:rStyle w:val="Strong"/>
          <w:rFonts w:eastAsiaTheme="majorEastAsia"/>
        </w:rPr>
        <w:t xml:space="preserve"> </w:t>
      </w:r>
      <w:hyperlink r:id="rId22" w:history="1">
        <w:r w:rsidR="005C1B35" w:rsidRPr="005C1B35">
          <w:rPr>
            <w:rStyle w:val="Hyperlink"/>
            <w:rFonts w:eastAsiaTheme="majorEastAsia"/>
            <w:b/>
            <w:bCs/>
          </w:rPr>
          <w:t>2:33:34</w:t>
        </w:r>
      </w:hyperlink>
    </w:p>
    <w:p w14:paraId="240626E7" w14:textId="77777777" w:rsidR="00731843" w:rsidRDefault="00731843" w:rsidP="00731843">
      <w:pPr>
        <w:pStyle w:val="NormalWeb"/>
      </w:pPr>
      <w:r>
        <w:t>Sergeant Bryce Lewis and City Attorney Brian Jones introduced a proposed ordinance targeting chronic nuisance properties. This initiative aims to mitigate the growing issues posed by such properties and the current inability to sufficiently compel property owner accountability.</w:t>
      </w:r>
    </w:p>
    <w:p w14:paraId="1B0F3952" w14:textId="77777777" w:rsidR="00731843" w:rsidRDefault="00731843" w:rsidP="00731843">
      <w:pPr>
        <w:pStyle w:val="NormalWeb"/>
      </w:pPr>
      <w:r>
        <w:t>The ordinance stipulates that any property with five emergency service calls within 90 days or ten calls within a 12-month timeframe can be designated as a "chronic nuisance." This categorization applies to calls involving problematic activities such as drug-related incidents, disturbances of the peace, or any acts connected with violence or alcohol. Sergeant Lewis illustrated these conditions by sharing past examples of chronic nuisance cases the city has been striving to address, emphasizing how prolific some problem properties have become.</w:t>
      </w:r>
    </w:p>
    <w:p w14:paraId="3216CA9E" w14:textId="77777777" w:rsidR="00731843" w:rsidRDefault="00731843" w:rsidP="00731843">
      <w:pPr>
        <w:pStyle w:val="NormalWeb"/>
      </w:pPr>
      <w:r>
        <w:t>He also cited a hotel and a private residence previously engulfed with troubles as cases where such a regulation would have provided added leverage in urging owners to take rectifying actions more swiftly. Conversely, the law doesn't automatically penalize properties if cooperative efforts are already underway, and acts occurring independent of the property owner are considered. Fair exemptions were included, notably for incidents involving domestic violence victims, who often require increased call activity for their protection.</w:t>
      </w:r>
    </w:p>
    <w:p w14:paraId="2F67E258" w14:textId="77777777" w:rsidR="00731843" w:rsidRDefault="00731843" w:rsidP="00731843">
      <w:pPr>
        <w:pStyle w:val="NormalWeb"/>
      </w:pPr>
      <w:r>
        <w:t>While the ordinance is heralded as a useful tool, Jones counseled that it’s not a comprehensive solution. Its success will depend on accurately diagnosing the precise problems within each property and enforcing necessary solutions by property owners. Properties qualifying as chronic nuisances will be issued a letter outlining necessary remedial actions, and owners will have ten days to respond and cooperate in addressing the cited issues. Non-compliance would incur penalties up to $500 per day.</w:t>
      </w:r>
    </w:p>
    <w:p w14:paraId="3F6326BB" w14:textId="3C909B97" w:rsidR="00731843" w:rsidRDefault="00731843" w:rsidP="00731843">
      <w:pPr>
        <w:pStyle w:val="NormalWeb"/>
      </w:pPr>
      <w:r>
        <w:t>The council engaged in discussions on the ordinance's purposes, acknowledging its potential benefits and recognizing the significant challenges that the execution of these regulations still poses. The ordinance is crafted to supplement existing enforcement measures, providing another mechanism through which Provo can seek relief from properties driving local complaint statistics.</w:t>
      </w:r>
    </w:p>
    <w:p w14:paraId="12ADD430" w14:textId="77777777" w:rsidR="00731843" w:rsidRDefault="00731843">
      <w:pPr>
        <w:spacing w:after="160" w:line="278" w:lineRule="auto"/>
      </w:pPr>
      <w:r>
        <w:br w:type="page"/>
      </w:r>
    </w:p>
    <w:p w14:paraId="683D3A96" w14:textId="788A427E" w:rsidR="00731843" w:rsidRDefault="00731843" w:rsidP="00731843">
      <w:pPr>
        <w:pStyle w:val="NormalWeb"/>
      </w:pPr>
      <w:r>
        <w:rPr>
          <w:rStyle w:val="Strong"/>
          <w:rFonts w:eastAsiaTheme="majorEastAsia"/>
        </w:rPr>
        <w:t>Item 12: A resolution allowing Provo to participate in the Utah Valley HOME Consortium (25-069)</w:t>
      </w:r>
      <w:r w:rsidR="005C1B35">
        <w:rPr>
          <w:rStyle w:val="Strong"/>
          <w:rFonts w:eastAsiaTheme="majorEastAsia"/>
        </w:rPr>
        <w:t xml:space="preserve"> </w:t>
      </w:r>
      <w:hyperlink r:id="rId23" w:history="1">
        <w:r w:rsidR="005C1B35" w:rsidRPr="005C1B35">
          <w:rPr>
            <w:rStyle w:val="Hyperlink"/>
            <w:rFonts w:eastAsiaTheme="majorEastAsia"/>
            <w:b/>
            <w:bCs/>
          </w:rPr>
          <w:t>2:59:59</w:t>
        </w:r>
      </w:hyperlink>
    </w:p>
    <w:p w14:paraId="0FFD8C8C" w14:textId="77777777" w:rsidR="00731843" w:rsidRDefault="00731843" w:rsidP="00731843">
      <w:pPr>
        <w:pStyle w:val="NormalWeb"/>
      </w:pPr>
      <w:r>
        <w:t>Melissa McNally, Redevelopment Agency (RDA) Director, presented a resolution for Provo City to participate in the Utah Valley HOME Consortium. She explained that the consortium agreement is renewed every three years in partnership with the U.S. Department of Housing and Urban Development (HUD) and several entities within Utah County. Participating members of the consortium include Provo City, Utah County, Lehi City, Orem City, and, for the first time, Eagle Mountain City. All these jurisdictions are recipients of HUD entitlement funds through the Community Development Block Grant (CDBG) program.</w:t>
      </w:r>
    </w:p>
    <w:p w14:paraId="0D059A99" w14:textId="77777777" w:rsidR="00731843" w:rsidRDefault="00731843" w:rsidP="00731843">
      <w:pPr>
        <w:pStyle w:val="NormalWeb"/>
      </w:pPr>
      <w:r>
        <w:t>Ms. McNally provided background on the origin and purpose of the consortium. Initially, Provo City was the only entity in Utah County that received CDBG funds directly from HUD. Other cities and the county accessed similar funding through the State of Utah. By forming cooperative agreements, these jurisdictions increased their access to HOME funds—resources specifically dedicated to supporting affordable housing initiatives throughout the region.</w:t>
      </w:r>
    </w:p>
    <w:p w14:paraId="2B089ADA" w14:textId="77777777" w:rsidR="00731843" w:rsidRDefault="00731843" w:rsidP="00731843">
      <w:pPr>
        <w:pStyle w:val="NormalWeb"/>
      </w:pPr>
      <w:r>
        <w:t>Provo City serves as the “lead entity” in the consortium, assuming responsibility for all operational aspects of funding administration. This includes managing the application process, contracting, project vetting, and ensuring compliance with HUD’s detailed reporting requirements. Ms. McNally emphasized that all HOME funding allocated through the consortium is restricted to affordable housing efforts within the participating cities.</w:t>
      </w:r>
    </w:p>
    <w:p w14:paraId="04296AAD" w14:textId="77777777" w:rsidR="00731843" w:rsidRDefault="00731843" w:rsidP="00731843">
      <w:pPr>
        <w:pStyle w:val="NormalWeb"/>
      </w:pPr>
      <w:r>
        <w:t>She noted that the resolution would be formally considered during an upcoming council meeting and offered to answer additional questions from the Council as needed.</w:t>
      </w:r>
    </w:p>
    <w:p w14:paraId="4F347911" w14:textId="77777777" w:rsidR="00731843" w:rsidRDefault="00731843" w:rsidP="00731843">
      <w:pPr>
        <w:pStyle w:val="NormalWeb"/>
      </w:pPr>
      <w:r>
        <w:rPr>
          <w:rStyle w:val="Strong"/>
          <w:rFonts w:eastAsiaTheme="majorEastAsia"/>
        </w:rPr>
        <w:t>Closed Meeting</w:t>
      </w:r>
    </w:p>
    <w:p w14:paraId="2B155339" w14:textId="77777777" w:rsidR="00731843" w:rsidRDefault="00731843" w:rsidP="00731843">
      <w:pPr>
        <w:pStyle w:val="NormalWeb"/>
      </w:pPr>
      <w:r>
        <w:t>Councilor Bogdin moved to close the meeting for the purpose of discussing the character and professional competence of an individual or individuals, in accordance with Utah Code Sections 52-4-204 and 52-4-205. Councilor Christensen seconded the motion.</w:t>
      </w:r>
    </w:p>
    <w:p w14:paraId="6C268793" w14:textId="1354F103" w:rsidR="00731843" w:rsidRDefault="00731843" w:rsidP="00731843">
      <w:pPr>
        <w:pStyle w:val="NormalWeb"/>
      </w:pPr>
      <w:r>
        <w:t>The motion passed 6-0 (Councilor MacKay excused).</w:t>
      </w:r>
    </w:p>
    <w:p w14:paraId="0DCACBFF" w14:textId="77777777" w:rsidR="00E836E7" w:rsidRPr="00807CEC" w:rsidRDefault="00E836E7" w:rsidP="00E836E7">
      <w:pPr>
        <w:jc w:val="both"/>
        <w:rPr>
          <w:b/>
          <w:bCs/>
          <w:sz w:val="28"/>
          <w:szCs w:val="28"/>
        </w:rPr>
      </w:pPr>
      <w:bookmarkStart w:id="1" w:name="S8151"/>
      <w:r w:rsidRPr="00807CEC">
        <w:rPr>
          <w:b/>
          <w:bCs/>
          <w:sz w:val="28"/>
          <w:szCs w:val="28"/>
        </w:rPr>
        <w:t>Adjournment</w:t>
      </w:r>
      <w:bookmarkEnd w:id="1"/>
    </w:p>
    <w:p w14:paraId="3800AAE9" w14:textId="77777777" w:rsidR="00E836E7" w:rsidRPr="00D81F5A" w:rsidRDefault="00E836E7" w:rsidP="00E836E7">
      <w:pPr>
        <w:jc w:val="both"/>
      </w:pPr>
    </w:p>
    <w:p w14:paraId="0CA98C1B" w14:textId="77777777" w:rsidR="00E836E7" w:rsidRPr="00D81F5A" w:rsidRDefault="00E836E7" w:rsidP="00E836E7">
      <w:pPr>
        <w:jc w:val="both"/>
      </w:pPr>
    </w:p>
    <w:p w14:paraId="5F70AB05" w14:textId="77777777" w:rsidR="00E836E7" w:rsidRPr="00D81F5A" w:rsidRDefault="00E836E7" w:rsidP="00E836E7">
      <w:pPr>
        <w:jc w:val="both"/>
      </w:pPr>
    </w:p>
    <w:p w14:paraId="005DB60A" w14:textId="77777777" w:rsidR="00E836E7" w:rsidRPr="00D81F5A" w:rsidRDefault="00E836E7" w:rsidP="00E836E7">
      <w:pPr>
        <w:jc w:val="both"/>
      </w:pPr>
    </w:p>
    <w:p w14:paraId="261D3B3B" w14:textId="77777777" w:rsidR="00E836E7" w:rsidRPr="00D81F5A" w:rsidRDefault="00E836E7" w:rsidP="00E836E7">
      <w:pPr>
        <w:jc w:val="both"/>
      </w:pPr>
    </w:p>
    <w:p w14:paraId="4A76169C" w14:textId="77777777" w:rsidR="00CE006A" w:rsidRDefault="00CE006A"/>
    <w:sectPr w:rsidR="00CE006A" w:rsidSect="00E836E7">
      <w:headerReference w:type="even" r:id="rId24"/>
      <w:headerReference w:type="default" r:id="rId25"/>
      <w:footerReference w:type="default" r:id="rId26"/>
      <w:headerReference w:type="first" r:id="rId27"/>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4F0A" w14:textId="77777777" w:rsidR="00AF7A81" w:rsidRDefault="00AF7A81">
      <w:r>
        <w:separator/>
      </w:r>
    </w:p>
  </w:endnote>
  <w:endnote w:type="continuationSeparator" w:id="0">
    <w:p w14:paraId="5563327D" w14:textId="77777777" w:rsidR="00AF7A81" w:rsidRDefault="00AF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5116" w14:textId="70EBDDA1" w:rsidR="0097638C" w:rsidRPr="007916E6" w:rsidRDefault="0097638C" w:rsidP="00D80BB5">
    <w:pPr>
      <w:pStyle w:val="Footer"/>
      <w:tabs>
        <w:tab w:val="clear" w:pos="8640"/>
        <w:tab w:val="left" w:pos="7860"/>
        <w:tab w:val="right" w:pos="9360"/>
      </w:tabs>
      <w:jc w:val="both"/>
      <w:rPr>
        <w:sz w:val="20"/>
        <w:szCs w:val="20"/>
      </w:rPr>
    </w:pPr>
    <w:r>
      <w:rPr>
        <w:sz w:val="20"/>
        <w:szCs w:val="20"/>
      </w:rPr>
      <w:t>Provo City Municipal Council Work Meeting –</w:t>
    </w:r>
    <w:r w:rsidR="002B34D7">
      <w:rPr>
        <w:sz w:val="20"/>
        <w:szCs w:val="20"/>
      </w:rPr>
      <w:t xml:space="preserve"> June 3, 2025</w:t>
    </w:r>
    <w:r>
      <w:rPr>
        <w:sz w:val="20"/>
        <w:szCs w:val="20"/>
      </w:rPr>
      <w:tab/>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722D" w14:textId="77777777" w:rsidR="00AF7A81" w:rsidRDefault="00AF7A81">
      <w:r>
        <w:separator/>
      </w:r>
    </w:p>
  </w:footnote>
  <w:footnote w:type="continuationSeparator" w:id="0">
    <w:p w14:paraId="3F3074A8" w14:textId="77777777" w:rsidR="00AF7A81" w:rsidRDefault="00AF7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0922" w14:textId="146D91CB" w:rsidR="00D63B52" w:rsidRDefault="00D63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3E64" w14:textId="4A7EE253" w:rsidR="00D63B52" w:rsidRDefault="00D6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51F8" w14:textId="1C200BB3" w:rsidR="00D63B52" w:rsidRDefault="00D6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15F"/>
    <w:multiLevelType w:val="multilevel"/>
    <w:tmpl w:val="A6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5C71D5"/>
    <w:multiLevelType w:val="hybridMultilevel"/>
    <w:tmpl w:val="4C968D4A"/>
    <w:lvl w:ilvl="0" w:tplc="6E702DA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492B39D0"/>
    <w:multiLevelType w:val="hybridMultilevel"/>
    <w:tmpl w:val="FF748D7A"/>
    <w:lvl w:ilvl="0" w:tplc="EAF09F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05781">
    <w:abstractNumId w:val="1"/>
  </w:num>
  <w:num w:numId="2" w16cid:durableId="1296184467">
    <w:abstractNumId w:val="2"/>
  </w:num>
  <w:num w:numId="3" w16cid:durableId="592320766">
    <w:abstractNumId w:val="3"/>
  </w:num>
  <w:num w:numId="4" w16cid:durableId="39682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81"/>
    <w:rsid w:val="00030E90"/>
    <w:rsid w:val="00215FB2"/>
    <w:rsid w:val="00233C0A"/>
    <w:rsid w:val="00241FA6"/>
    <w:rsid w:val="002B34D7"/>
    <w:rsid w:val="003A63BF"/>
    <w:rsid w:val="00483148"/>
    <w:rsid w:val="004D7986"/>
    <w:rsid w:val="00532CE7"/>
    <w:rsid w:val="005C1B35"/>
    <w:rsid w:val="006275FB"/>
    <w:rsid w:val="00643BA8"/>
    <w:rsid w:val="006C48AD"/>
    <w:rsid w:val="00730B9A"/>
    <w:rsid w:val="00731843"/>
    <w:rsid w:val="00780EE6"/>
    <w:rsid w:val="00807CEC"/>
    <w:rsid w:val="00816253"/>
    <w:rsid w:val="008F47D2"/>
    <w:rsid w:val="0097638C"/>
    <w:rsid w:val="00A24DBD"/>
    <w:rsid w:val="00A514A7"/>
    <w:rsid w:val="00A73E3F"/>
    <w:rsid w:val="00AC2A8E"/>
    <w:rsid w:val="00AF7A81"/>
    <w:rsid w:val="00BD4046"/>
    <w:rsid w:val="00CB18F5"/>
    <w:rsid w:val="00CE006A"/>
    <w:rsid w:val="00D064BE"/>
    <w:rsid w:val="00D63B52"/>
    <w:rsid w:val="00E8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E595"/>
  <w15:chartTrackingRefBased/>
  <w15:docId w15:val="{EADC28E6-CF2B-4C34-9333-113C696F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paragraph" w:styleId="NormalWeb">
    <w:name w:val="Normal (Web)"/>
    <w:basedOn w:val="Normal"/>
    <w:uiPriority w:val="99"/>
    <w:unhideWhenUsed/>
    <w:rsid w:val="00AF7A81"/>
    <w:pPr>
      <w:spacing w:before="100" w:beforeAutospacing="1" w:after="100" w:afterAutospacing="1"/>
    </w:pPr>
  </w:style>
  <w:style w:type="character" w:styleId="Strong">
    <w:name w:val="Strong"/>
    <w:basedOn w:val="DefaultParagraphFont"/>
    <w:uiPriority w:val="22"/>
    <w:qFormat/>
    <w:rsid w:val="00AF7A81"/>
    <w:rPr>
      <w:b/>
      <w:bCs/>
    </w:rPr>
  </w:style>
  <w:style w:type="character" w:styleId="UnresolvedMention">
    <w:name w:val="Unresolved Mention"/>
    <w:basedOn w:val="DefaultParagraphFont"/>
    <w:uiPriority w:val="99"/>
    <w:semiHidden/>
    <w:unhideWhenUsed/>
    <w:rsid w:val="005C1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579">
      <w:bodyDiv w:val="1"/>
      <w:marLeft w:val="0"/>
      <w:marRight w:val="0"/>
      <w:marTop w:val="0"/>
      <w:marBottom w:val="0"/>
      <w:divBdr>
        <w:top w:val="none" w:sz="0" w:space="0" w:color="auto"/>
        <w:left w:val="none" w:sz="0" w:space="0" w:color="auto"/>
        <w:bottom w:val="none" w:sz="0" w:space="0" w:color="auto"/>
        <w:right w:val="none" w:sz="0" w:space="0" w:color="auto"/>
      </w:divBdr>
    </w:div>
    <w:div w:id="515922723">
      <w:bodyDiv w:val="1"/>
      <w:marLeft w:val="0"/>
      <w:marRight w:val="0"/>
      <w:marTop w:val="0"/>
      <w:marBottom w:val="0"/>
      <w:divBdr>
        <w:top w:val="none" w:sz="0" w:space="0" w:color="auto"/>
        <w:left w:val="none" w:sz="0" w:space="0" w:color="auto"/>
        <w:bottom w:val="none" w:sz="0" w:space="0" w:color="auto"/>
        <w:right w:val="none" w:sz="0" w:space="0" w:color="auto"/>
      </w:divBdr>
    </w:div>
    <w:div w:id="579678821">
      <w:bodyDiv w:val="1"/>
      <w:marLeft w:val="0"/>
      <w:marRight w:val="0"/>
      <w:marTop w:val="0"/>
      <w:marBottom w:val="0"/>
      <w:divBdr>
        <w:top w:val="none" w:sz="0" w:space="0" w:color="auto"/>
        <w:left w:val="none" w:sz="0" w:space="0" w:color="auto"/>
        <w:bottom w:val="none" w:sz="0" w:space="0" w:color="auto"/>
        <w:right w:val="none" w:sz="0" w:space="0" w:color="auto"/>
      </w:divBdr>
    </w:div>
    <w:div w:id="809514152">
      <w:bodyDiv w:val="1"/>
      <w:marLeft w:val="0"/>
      <w:marRight w:val="0"/>
      <w:marTop w:val="0"/>
      <w:marBottom w:val="0"/>
      <w:divBdr>
        <w:top w:val="none" w:sz="0" w:space="0" w:color="auto"/>
        <w:left w:val="none" w:sz="0" w:space="0" w:color="auto"/>
        <w:bottom w:val="none" w:sz="0" w:space="0" w:color="auto"/>
        <w:right w:val="none" w:sz="0" w:space="0" w:color="auto"/>
      </w:divBdr>
    </w:div>
    <w:div w:id="854155807">
      <w:bodyDiv w:val="1"/>
      <w:marLeft w:val="0"/>
      <w:marRight w:val="0"/>
      <w:marTop w:val="0"/>
      <w:marBottom w:val="0"/>
      <w:divBdr>
        <w:top w:val="none" w:sz="0" w:space="0" w:color="auto"/>
        <w:left w:val="none" w:sz="0" w:space="0" w:color="auto"/>
        <w:bottom w:val="none" w:sz="0" w:space="0" w:color="auto"/>
        <w:right w:val="none" w:sz="0" w:space="0" w:color="auto"/>
      </w:divBdr>
    </w:div>
    <w:div w:id="860244396">
      <w:bodyDiv w:val="1"/>
      <w:marLeft w:val="0"/>
      <w:marRight w:val="0"/>
      <w:marTop w:val="0"/>
      <w:marBottom w:val="0"/>
      <w:divBdr>
        <w:top w:val="none" w:sz="0" w:space="0" w:color="auto"/>
        <w:left w:val="none" w:sz="0" w:space="0" w:color="auto"/>
        <w:bottom w:val="none" w:sz="0" w:space="0" w:color="auto"/>
        <w:right w:val="none" w:sz="0" w:space="0" w:color="auto"/>
      </w:divBdr>
    </w:div>
    <w:div w:id="955864725">
      <w:bodyDiv w:val="1"/>
      <w:marLeft w:val="0"/>
      <w:marRight w:val="0"/>
      <w:marTop w:val="0"/>
      <w:marBottom w:val="0"/>
      <w:divBdr>
        <w:top w:val="none" w:sz="0" w:space="0" w:color="auto"/>
        <w:left w:val="none" w:sz="0" w:space="0" w:color="auto"/>
        <w:bottom w:val="none" w:sz="0" w:space="0" w:color="auto"/>
        <w:right w:val="none" w:sz="0" w:space="0" w:color="auto"/>
      </w:divBdr>
    </w:div>
    <w:div w:id="1050228634">
      <w:bodyDiv w:val="1"/>
      <w:marLeft w:val="0"/>
      <w:marRight w:val="0"/>
      <w:marTop w:val="0"/>
      <w:marBottom w:val="0"/>
      <w:divBdr>
        <w:top w:val="none" w:sz="0" w:space="0" w:color="auto"/>
        <w:left w:val="none" w:sz="0" w:space="0" w:color="auto"/>
        <w:bottom w:val="none" w:sz="0" w:space="0" w:color="auto"/>
        <w:right w:val="none" w:sz="0" w:space="0" w:color="auto"/>
      </w:divBdr>
    </w:div>
    <w:div w:id="1073621857">
      <w:bodyDiv w:val="1"/>
      <w:marLeft w:val="0"/>
      <w:marRight w:val="0"/>
      <w:marTop w:val="0"/>
      <w:marBottom w:val="0"/>
      <w:divBdr>
        <w:top w:val="none" w:sz="0" w:space="0" w:color="auto"/>
        <w:left w:val="none" w:sz="0" w:space="0" w:color="auto"/>
        <w:bottom w:val="none" w:sz="0" w:space="0" w:color="auto"/>
        <w:right w:val="none" w:sz="0" w:space="0" w:color="auto"/>
      </w:divBdr>
    </w:div>
    <w:div w:id="1152789062">
      <w:bodyDiv w:val="1"/>
      <w:marLeft w:val="0"/>
      <w:marRight w:val="0"/>
      <w:marTop w:val="0"/>
      <w:marBottom w:val="0"/>
      <w:divBdr>
        <w:top w:val="none" w:sz="0" w:space="0" w:color="auto"/>
        <w:left w:val="none" w:sz="0" w:space="0" w:color="auto"/>
        <w:bottom w:val="none" w:sz="0" w:space="0" w:color="auto"/>
        <w:right w:val="none" w:sz="0" w:space="0" w:color="auto"/>
      </w:divBdr>
    </w:div>
    <w:div w:id="1349336467">
      <w:bodyDiv w:val="1"/>
      <w:marLeft w:val="0"/>
      <w:marRight w:val="0"/>
      <w:marTop w:val="0"/>
      <w:marBottom w:val="0"/>
      <w:divBdr>
        <w:top w:val="none" w:sz="0" w:space="0" w:color="auto"/>
        <w:left w:val="none" w:sz="0" w:space="0" w:color="auto"/>
        <w:bottom w:val="none" w:sz="0" w:space="0" w:color="auto"/>
        <w:right w:val="none" w:sz="0" w:space="0" w:color="auto"/>
      </w:divBdr>
    </w:div>
    <w:div w:id="1406219452">
      <w:bodyDiv w:val="1"/>
      <w:marLeft w:val="0"/>
      <w:marRight w:val="0"/>
      <w:marTop w:val="0"/>
      <w:marBottom w:val="0"/>
      <w:divBdr>
        <w:top w:val="none" w:sz="0" w:space="0" w:color="auto"/>
        <w:left w:val="none" w:sz="0" w:space="0" w:color="auto"/>
        <w:bottom w:val="none" w:sz="0" w:space="0" w:color="auto"/>
        <w:right w:val="none" w:sz="0" w:space="0" w:color="auto"/>
      </w:divBdr>
    </w:div>
    <w:div w:id="1553345427">
      <w:bodyDiv w:val="1"/>
      <w:marLeft w:val="0"/>
      <w:marRight w:val="0"/>
      <w:marTop w:val="0"/>
      <w:marBottom w:val="0"/>
      <w:divBdr>
        <w:top w:val="none" w:sz="0" w:space="0" w:color="auto"/>
        <w:left w:val="none" w:sz="0" w:space="0" w:color="auto"/>
        <w:bottom w:val="none" w:sz="0" w:space="0" w:color="auto"/>
        <w:right w:val="none" w:sz="0" w:space="0" w:color="auto"/>
      </w:divBdr>
    </w:div>
    <w:div w:id="1656030613">
      <w:bodyDiv w:val="1"/>
      <w:marLeft w:val="0"/>
      <w:marRight w:val="0"/>
      <w:marTop w:val="0"/>
      <w:marBottom w:val="0"/>
      <w:divBdr>
        <w:top w:val="none" w:sz="0" w:space="0" w:color="auto"/>
        <w:left w:val="none" w:sz="0" w:space="0" w:color="auto"/>
        <w:bottom w:val="none" w:sz="0" w:space="0" w:color="auto"/>
        <w:right w:val="none" w:sz="0" w:space="0" w:color="auto"/>
      </w:divBdr>
    </w:div>
    <w:div w:id="1743411790">
      <w:bodyDiv w:val="1"/>
      <w:marLeft w:val="0"/>
      <w:marRight w:val="0"/>
      <w:marTop w:val="0"/>
      <w:marBottom w:val="0"/>
      <w:divBdr>
        <w:top w:val="none" w:sz="0" w:space="0" w:color="auto"/>
        <w:left w:val="none" w:sz="0" w:space="0" w:color="auto"/>
        <w:bottom w:val="none" w:sz="0" w:space="0" w:color="auto"/>
        <w:right w:val="none" w:sz="0" w:space="0" w:color="auto"/>
      </w:divBdr>
    </w:div>
    <w:div w:id="21235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live/JW87JMO0ljI?t=1684s" TargetMode="External"/><Relationship Id="rId18" Type="http://schemas.openxmlformats.org/officeDocument/2006/relationships/hyperlink" Target="https://www.youtube.com/live/JW87JMO0ljI?t=5127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youtube.com/live/JW87JMO0ljI?t=8382s" TargetMode="External"/><Relationship Id="rId7" Type="http://schemas.openxmlformats.org/officeDocument/2006/relationships/webSettings" Target="webSettings.xml"/><Relationship Id="rId12" Type="http://schemas.openxmlformats.org/officeDocument/2006/relationships/hyperlink" Target="https://www.youtube.com/live/JW87JMO0ljI?si=w1am_NsObNxqJxnn&amp;t=437" TargetMode="External"/><Relationship Id="rId17" Type="http://schemas.openxmlformats.org/officeDocument/2006/relationships/hyperlink" Target="https://www.youtube.com/live/JW87JMO0ljI?t=4348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youtube.com/live/JW87JMO0ljI?t=2755s" TargetMode="External"/><Relationship Id="rId20" Type="http://schemas.openxmlformats.org/officeDocument/2006/relationships/hyperlink" Target="https://www.youtube.com/live/JW87JMO0ljI?t=7705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rovocitycouncil"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youtube.com/live/JW87JMO0ljI?t=2723s" TargetMode="External"/><Relationship Id="rId23" Type="http://schemas.openxmlformats.org/officeDocument/2006/relationships/hyperlink" Target="https://www.youtube.com/live/JW87JMO0ljI?t=10799s"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youtube.com/live/JW87JMO0ljI?t=7652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live/JW87JMO0ljI?t=1812s" TargetMode="External"/><Relationship Id="rId22" Type="http://schemas.openxmlformats.org/officeDocument/2006/relationships/hyperlink" Target="https://www.youtube.com/live/JW87JMO0ljI?t=9214s" TargetMode="External"/><Relationship Id="rId27"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rtins\OneDrive%20-%20City%20of%20Provo\Documents\Templates\Work%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FAA95-A725-4C54-AC67-D49B131AE94C}">
  <ds:schemaRefs>
    <ds:schemaRef ds:uri="http://schemas.microsoft.com/office/2006/metadata/properties"/>
    <ds:schemaRef ds:uri="http://schemas.microsoft.com/office/infopath/2007/PartnerControls"/>
    <ds:schemaRef ds:uri="cf06d1eb-9af4-44f7-92ee-90826b05862e"/>
  </ds:schemaRefs>
</ds:datastoreItem>
</file>

<file path=customXml/itemProps3.xml><?xml version="1.0" encoding="utf-8"?>
<ds:datastoreItem xmlns:ds="http://schemas.openxmlformats.org/officeDocument/2006/customXml" ds:itemID="{073671C3-4741-4A0C-986D-917184E54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 Meeting Minutes Template.dotx</Template>
  <TotalTime>193</TotalTime>
  <Pages>7</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Martins</dc:creator>
  <cp:keywords/>
  <dc:description/>
  <cp:lastModifiedBy>Kevin Martins</cp:lastModifiedBy>
  <cp:revision>4</cp:revision>
  <dcterms:created xsi:type="dcterms:W3CDTF">2025-06-05T14:42:00Z</dcterms:created>
  <dcterms:modified xsi:type="dcterms:W3CDTF">2025-06-18T15:44:00Z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ies>
</file>