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6"/>
          <w:szCs w:val="26"/>
        </w:rPr>
      </w:pPr>
      <w:r w:rsidDel="00000000" w:rsidR="00000000" w:rsidRPr="00000000">
        <w:rPr>
          <w:b w:val="1"/>
          <w:sz w:val="26"/>
          <w:szCs w:val="26"/>
          <w:rtl w:val="0"/>
        </w:rPr>
        <w:t xml:space="preserve">LEA Relationship to Activities Involving Educators Policy</w:t>
      </w:r>
    </w:p>
    <w:p w:rsidR="00000000" w:rsidDel="00000000" w:rsidP="00000000" w:rsidRDefault="00000000" w:rsidRPr="00000000" w14:paraId="00000002">
      <w:pPr>
        <w:jc w:val="center"/>
        <w:rPr>
          <w:b w:val="1"/>
          <w:sz w:val="26"/>
          <w:szCs w:val="26"/>
        </w:rPr>
      </w:pPr>
      <w:r w:rsidDel="00000000" w:rsidR="00000000" w:rsidRPr="00000000">
        <w:rPr>
          <w:rtl w:val="0"/>
        </w:rPr>
      </w:r>
    </w:p>
    <w:p w:rsidR="00000000" w:rsidDel="00000000" w:rsidP="00000000" w:rsidRDefault="00000000" w:rsidRPr="00000000" w14:paraId="00000003">
      <w:pPr>
        <w:pStyle w:val="Heading2"/>
        <w:keepNext w:val="0"/>
        <w:numPr>
          <w:ilvl w:val="0"/>
          <w:numId w:val="1"/>
        </w:numPr>
        <w:spacing w:after="80" w:before="360" w:lineRule="auto"/>
        <w:ind w:left="720" w:hanging="360"/>
        <w:rPr>
          <w:rFonts w:ascii="Calibri" w:cs="Calibri" w:eastAsia="Calibri" w:hAnsi="Calibri"/>
          <w:i w:val="0"/>
          <w:sz w:val="24"/>
          <w:szCs w:val="24"/>
        </w:rPr>
      </w:pPr>
      <w:bookmarkStart w:colFirst="0" w:colLast="0" w:name="_yu82pwljsrwa" w:id="0"/>
      <w:bookmarkEnd w:id="0"/>
      <w:r w:rsidDel="00000000" w:rsidR="00000000" w:rsidRPr="00000000">
        <w:rPr>
          <w:rFonts w:ascii="Calibri" w:cs="Calibri" w:eastAsia="Calibri" w:hAnsi="Calibri"/>
          <w:i w:val="0"/>
          <w:sz w:val="24"/>
          <w:szCs w:val="24"/>
          <w:rtl w:val="0"/>
        </w:rPr>
        <w:t xml:space="preserve"> Purpose</w:t>
      </w:r>
    </w:p>
    <w:p w:rsidR="00000000" w:rsidDel="00000000" w:rsidP="00000000" w:rsidRDefault="00000000" w:rsidRPr="00000000" w14:paraId="00000004">
      <w:pPr>
        <w:numPr>
          <w:ilvl w:val="1"/>
          <w:numId w:val="1"/>
        </w:numPr>
        <w:spacing w:after="240" w:before="240" w:lineRule="auto"/>
        <w:ind w:left="1440" w:hanging="360"/>
      </w:pPr>
      <w:r w:rsidDel="00000000" w:rsidR="00000000" w:rsidRPr="00000000">
        <w:rPr>
          <w:rtl w:val="0"/>
        </w:rPr>
        <w:t xml:space="preserve">This policy outlines Gateway Preparatory Academy’s expectations and procedures for governing the relationship between the Local Education Agency (LEA) and activities involving educators that fall outside of their contractual employment. It ensures ethical boundaries, transparency, and safeguards against conflicts of interest in alignment with Utah Administrative Code </w:t>
      </w:r>
      <w:hyperlink r:id="rId6">
        <w:r w:rsidDel="00000000" w:rsidR="00000000" w:rsidRPr="00000000">
          <w:rPr>
            <w:color w:val="1155cc"/>
            <w:u w:val="single"/>
            <w:rtl w:val="0"/>
          </w:rPr>
          <w:t xml:space="preserve">R277-107-3</w:t>
        </w:r>
      </w:hyperlink>
      <w:r w:rsidDel="00000000" w:rsidR="00000000" w:rsidRPr="00000000">
        <w:rPr>
          <w:rtl w:val="0"/>
        </w:rPr>
        <w:t xml:space="preserve">(3) through (6).</w:t>
      </w:r>
    </w:p>
    <w:p w:rsidR="00000000" w:rsidDel="00000000" w:rsidP="00000000" w:rsidRDefault="00000000" w:rsidRPr="00000000" w14:paraId="00000005">
      <w:pPr>
        <w:keepNext w:val="0"/>
        <w:numPr>
          <w:ilvl w:val="0"/>
          <w:numId w:val="1"/>
        </w:numPr>
        <w:spacing w:after="80" w:before="360" w:lineRule="auto"/>
        <w:ind w:left="720" w:hanging="360"/>
        <w:rPr>
          <w:b w:val="1"/>
        </w:rPr>
      </w:pPr>
      <w:r w:rsidDel="00000000" w:rsidR="00000000" w:rsidRPr="00000000">
        <w:rPr>
          <w:b w:val="1"/>
          <w:rtl w:val="0"/>
        </w:rPr>
        <w:t xml:space="preserve">Definitions</w:t>
      </w:r>
    </w:p>
    <w:p w:rsidR="00000000" w:rsidDel="00000000" w:rsidP="00000000" w:rsidRDefault="00000000" w:rsidRPr="00000000" w14:paraId="00000006">
      <w:pPr>
        <w:numPr>
          <w:ilvl w:val="1"/>
          <w:numId w:val="1"/>
        </w:numPr>
        <w:spacing w:after="0" w:before="0" w:lineRule="auto"/>
        <w:ind w:left="1440" w:hanging="360"/>
      </w:pPr>
      <w:r w:rsidDel="00000000" w:rsidR="00000000" w:rsidRPr="00000000">
        <w:rPr>
          <w:rtl w:val="0"/>
        </w:rPr>
        <w:t xml:space="preserve">Educator: An individual licensed or required to hold a license under Title 53E, Chapter 6, including paraprofessionals, teachers, and administrators.</w:t>
      </w:r>
    </w:p>
    <w:p w:rsidR="00000000" w:rsidDel="00000000" w:rsidP="00000000" w:rsidRDefault="00000000" w:rsidRPr="00000000" w14:paraId="00000007">
      <w:pPr>
        <w:numPr>
          <w:ilvl w:val="1"/>
          <w:numId w:val="1"/>
        </w:numPr>
        <w:spacing w:after="0" w:before="0" w:lineRule="auto"/>
        <w:ind w:left="1440" w:hanging="360"/>
      </w:pPr>
      <w:r w:rsidDel="00000000" w:rsidR="00000000" w:rsidRPr="00000000">
        <w:rPr>
          <w:rtl w:val="0"/>
        </w:rPr>
        <w:t xml:space="preserve">LEA: Local Education Agency, in this case, Gateway Preparatory Academy.</w:t>
      </w:r>
    </w:p>
    <w:p w:rsidR="00000000" w:rsidDel="00000000" w:rsidP="00000000" w:rsidRDefault="00000000" w:rsidRPr="00000000" w14:paraId="00000008">
      <w:pPr>
        <w:numPr>
          <w:ilvl w:val="1"/>
          <w:numId w:val="1"/>
        </w:numPr>
        <w:spacing w:after="0" w:before="0" w:lineRule="auto"/>
        <w:ind w:left="1440" w:hanging="360"/>
      </w:pPr>
      <w:r w:rsidDel="00000000" w:rsidR="00000000" w:rsidRPr="00000000">
        <w:rPr>
          <w:rtl w:val="0"/>
        </w:rPr>
        <w:t xml:space="preserve">Outside Employment or Activity: Any professional service or business endeavor unrelated to the educator's duties for Gateway Preparatory Academy.</w:t>
      </w:r>
    </w:p>
    <w:p w:rsidR="00000000" w:rsidDel="00000000" w:rsidP="00000000" w:rsidRDefault="00000000" w:rsidRPr="00000000" w14:paraId="00000009">
      <w:pPr>
        <w:keepNext w:val="0"/>
        <w:numPr>
          <w:ilvl w:val="0"/>
          <w:numId w:val="1"/>
        </w:numPr>
        <w:spacing w:after="80" w:afterAutospacing="0" w:before="360" w:lineRule="auto"/>
        <w:ind w:left="720" w:hanging="360"/>
        <w:rPr>
          <w:b w:val="1"/>
        </w:rPr>
      </w:pPr>
      <w:r w:rsidDel="00000000" w:rsidR="00000000" w:rsidRPr="00000000">
        <w:rPr>
          <w:b w:val="1"/>
          <w:rtl w:val="0"/>
        </w:rPr>
        <w:t xml:space="preserve">Guidelines for Participation in Outside Activities </w:t>
      </w:r>
      <w:hyperlink r:id="rId7">
        <w:r w:rsidDel="00000000" w:rsidR="00000000" w:rsidRPr="00000000">
          <w:rPr>
            <w:b w:val="1"/>
            <w:color w:val="1155cc"/>
            <w:u w:val="single"/>
            <w:rtl w:val="0"/>
          </w:rPr>
          <w:t xml:space="preserve">(R277-107-3(3))</w:t>
        </w:r>
      </w:hyperlink>
      <w:r w:rsidDel="00000000" w:rsidR="00000000" w:rsidRPr="00000000">
        <w:rPr>
          <w:rtl w:val="0"/>
        </w:rPr>
      </w:r>
    </w:p>
    <w:p w:rsidR="00000000" w:rsidDel="00000000" w:rsidP="00000000" w:rsidRDefault="00000000" w:rsidRPr="00000000" w14:paraId="0000000A">
      <w:pPr>
        <w:numPr>
          <w:ilvl w:val="1"/>
          <w:numId w:val="1"/>
        </w:numPr>
        <w:spacing w:after="0" w:afterAutospacing="0" w:before="80" w:beforeAutospacing="0" w:lineRule="auto"/>
        <w:ind w:left="1440" w:hanging="360"/>
      </w:pPr>
      <w:r w:rsidDel="00000000" w:rsidR="00000000" w:rsidRPr="00000000">
        <w:rPr>
          <w:rtl w:val="0"/>
        </w:rPr>
        <w:t xml:space="preserve">Educators may participate in outside employment, including providing paid services, tutoring, or consulting, provided the following:</w:t>
      </w:r>
    </w:p>
    <w:p w:rsidR="00000000" w:rsidDel="00000000" w:rsidP="00000000" w:rsidRDefault="00000000" w:rsidRPr="00000000" w14:paraId="0000000B">
      <w:pPr>
        <w:numPr>
          <w:ilvl w:val="2"/>
          <w:numId w:val="1"/>
        </w:numPr>
        <w:spacing w:after="0" w:afterAutospacing="0" w:before="0" w:beforeAutospacing="0" w:lineRule="auto"/>
        <w:ind w:left="2160" w:hanging="360"/>
      </w:pPr>
      <w:r w:rsidDel="00000000" w:rsidR="00000000" w:rsidRPr="00000000">
        <w:rPr>
          <w:rtl w:val="0"/>
        </w:rPr>
        <w:t xml:space="preserve">The activity does not interfere with the educator’s contracted responsibilities.</w:t>
      </w:r>
    </w:p>
    <w:p w:rsidR="00000000" w:rsidDel="00000000" w:rsidP="00000000" w:rsidRDefault="00000000" w:rsidRPr="00000000" w14:paraId="0000000C">
      <w:pPr>
        <w:numPr>
          <w:ilvl w:val="2"/>
          <w:numId w:val="1"/>
        </w:numPr>
        <w:spacing w:after="0" w:afterAutospacing="0" w:before="0" w:beforeAutospacing="0" w:lineRule="auto"/>
        <w:ind w:left="2160" w:hanging="360"/>
      </w:pPr>
      <w:r w:rsidDel="00000000" w:rsidR="00000000" w:rsidRPr="00000000">
        <w:rPr>
          <w:rtl w:val="0"/>
        </w:rPr>
        <w:t xml:space="preserve">The activity does not occur during contract hours unless approved leave is taken.</w:t>
      </w:r>
    </w:p>
    <w:p w:rsidR="00000000" w:rsidDel="00000000" w:rsidP="00000000" w:rsidRDefault="00000000" w:rsidRPr="00000000" w14:paraId="0000000D">
      <w:pPr>
        <w:numPr>
          <w:ilvl w:val="2"/>
          <w:numId w:val="1"/>
        </w:numPr>
        <w:spacing w:after="0" w:afterAutospacing="0" w:before="0" w:beforeAutospacing="0" w:lineRule="auto"/>
        <w:ind w:left="2160" w:hanging="360"/>
      </w:pPr>
      <w:r w:rsidDel="00000000" w:rsidR="00000000" w:rsidRPr="00000000">
        <w:rPr>
          <w:rtl w:val="0"/>
        </w:rPr>
        <w:t xml:space="preserve">No LEA resources (including space, supplies, data, student information, or technology) are used.</w:t>
      </w:r>
    </w:p>
    <w:p w:rsidR="00000000" w:rsidDel="00000000" w:rsidP="00000000" w:rsidRDefault="00000000" w:rsidRPr="00000000" w14:paraId="0000000E">
      <w:pPr>
        <w:numPr>
          <w:ilvl w:val="2"/>
          <w:numId w:val="1"/>
        </w:numPr>
        <w:spacing w:after="240" w:before="0" w:beforeAutospacing="0" w:lineRule="auto"/>
        <w:ind w:left="2160" w:hanging="360"/>
      </w:pPr>
      <w:r w:rsidDel="00000000" w:rsidR="00000000" w:rsidRPr="00000000">
        <w:rPr>
          <w:rtl w:val="0"/>
        </w:rPr>
        <w:t xml:space="preserve">The educator shall make clear that such services are not affiliated with Gateway Preparatory Academy.</w:t>
      </w:r>
    </w:p>
    <w:p w:rsidR="00000000" w:rsidDel="00000000" w:rsidP="00000000" w:rsidRDefault="00000000" w:rsidRPr="00000000" w14:paraId="0000000F">
      <w:pPr>
        <w:keepNext w:val="0"/>
        <w:numPr>
          <w:ilvl w:val="0"/>
          <w:numId w:val="1"/>
        </w:numPr>
        <w:spacing w:after="80" w:before="360" w:lineRule="auto"/>
        <w:ind w:left="720" w:hanging="360"/>
        <w:rPr>
          <w:b w:val="1"/>
        </w:rPr>
      </w:pPr>
      <w:r w:rsidDel="00000000" w:rsidR="00000000" w:rsidRPr="00000000">
        <w:rPr>
          <w:b w:val="1"/>
          <w:rtl w:val="0"/>
        </w:rPr>
        <w:t xml:space="preserve">Use of LEA Name and Relationships </w:t>
      </w:r>
      <w:hyperlink r:id="rId8">
        <w:r w:rsidDel="00000000" w:rsidR="00000000" w:rsidRPr="00000000">
          <w:rPr>
            <w:b w:val="1"/>
            <w:color w:val="1155cc"/>
            <w:u w:val="single"/>
            <w:rtl w:val="0"/>
          </w:rPr>
          <w:t xml:space="preserve">(R277-107-3(4))</w:t>
        </w:r>
      </w:hyperlink>
      <w:r w:rsidDel="00000000" w:rsidR="00000000" w:rsidRPr="00000000">
        <w:rPr>
          <w:rtl w:val="0"/>
        </w:rPr>
      </w:r>
    </w:p>
    <w:p w:rsidR="00000000" w:rsidDel="00000000" w:rsidP="00000000" w:rsidRDefault="00000000" w:rsidRPr="00000000" w14:paraId="00000010">
      <w:pPr>
        <w:numPr>
          <w:ilvl w:val="1"/>
          <w:numId w:val="1"/>
        </w:numPr>
        <w:spacing w:after="240" w:before="240" w:lineRule="auto"/>
        <w:ind w:left="1440" w:hanging="360"/>
      </w:pPr>
      <w:r w:rsidDel="00000000" w:rsidR="00000000" w:rsidRPr="00000000">
        <w:rPr>
          <w:rtl w:val="0"/>
        </w:rPr>
        <w:t xml:space="preserve">Educators shall not:</w:t>
      </w:r>
    </w:p>
    <w:p w:rsidR="00000000" w:rsidDel="00000000" w:rsidP="00000000" w:rsidRDefault="00000000" w:rsidRPr="00000000" w14:paraId="00000011">
      <w:pPr>
        <w:numPr>
          <w:ilvl w:val="2"/>
          <w:numId w:val="1"/>
        </w:numPr>
        <w:spacing w:after="0" w:afterAutospacing="0" w:before="240" w:lineRule="auto"/>
        <w:ind w:left="2160" w:hanging="360"/>
      </w:pPr>
      <w:r w:rsidDel="00000000" w:rsidR="00000000" w:rsidRPr="00000000">
        <w:rPr>
          <w:rtl w:val="0"/>
        </w:rPr>
        <w:t xml:space="preserve">Use the name or logo of Gateway Preparatory Academy in promoting external services or activities.</w:t>
      </w:r>
    </w:p>
    <w:p w:rsidR="00000000" w:rsidDel="00000000" w:rsidP="00000000" w:rsidRDefault="00000000" w:rsidRPr="00000000" w14:paraId="00000012">
      <w:pPr>
        <w:numPr>
          <w:ilvl w:val="2"/>
          <w:numId w:val="1"/>
        </w:numPr>
        <w:spacing w:after="0" w:afterAutospacing="0" w:before="0" w:beforeAutospacing="0" w:lineRule="auto"/>
        <w:ind w:left="2160" w:hanging="360"/>
      </w:pPr>
      <w:r w:rsidDel="00000000" w:rsidR="00000000" w:rsidRPr="00000000">
        <w:rPr>
          <w:rtl w:val="0"/>
        </w:rPr>
        <w:t xml:space="preserve">Imply or represent that the LEA endorses any outside services.</w:t>
      </w:r>
    </w:p>
    <w:p w:rsidR="00000000" w:rsidDel="00000000" w:rsidP="00000000" w:rsidRDefault="00000000" w:rsidRPr="00000000" w14:paraId="00000013">
      <w:pPr>
        <w:numPr>
          <w:ilvl w:val="2"/>
          <w:numId w:val="1"/>
        </w:numPr>
        <w:spacing w:after="240" w:before="0" w:beforeAutospacing="0" w:lineRule="auto"/>
        <w:ind w:left="2160" w:hanging="360"/>
      </w:pPr>
      <w:r w:rsidDel="00000000" w:rsidR="00000000" w:rsidRPr="00000000">
        <w:rPr>
          <w:rtl w:val="0"/>
        </w:rPr>
        <w:t xml:space="preserve">Leverage their LEA role to gain clients or an advantage in a non-LEA activity.</w:t>
      </w:r>
    </w:p>
    <w:p w:rsidR="00000000" w:rsidDel="00000000" w:rsidP="00000000" w:rsidRDefault="00000000" w:rsidRPr="00000000" w14:paraId="00000014">
      <w:pPr>
        <w:keepNext w:val="0"/>
        <w:numPr>
          <w:ilvl w:val="0"/>
          <w:numId w:val="1"/>
        </w:numPr>
        <w:spacing w:after="80" w:afterAutospacing="0" w:before="360" w:lineRule="auto"/>
        <w:ind w:left="720" w:hanging="360"/>
        <w:rPr>
          <w:b w:val="1"/>
        </w:rPr>
      </w:pPr>
      <w:r w:rsidDel="00000000" w:rsidR="00000000" w:rsidRPr="00000000">
        <w:rPr>
          <w:b w:val="1"/>
          <w:rtl w:val="0"/>
        </w:rPr>
        <w:t xml:space="preserve">Conditions for Participation in Compensation-based Activities </w:t>
      </w:r>
      <w:hyperlink r:id="rId9">
        <w:r w:rsidDel="00000000" w:rsidR="00000000" w:rsidRPr="00000000">
          <w:rPr>
            <w:b w:val="1"/>
            <w:color w:val="1155cc"/>
            <w:u w:val="single"/>
            <w:rtl w:val="0"/>
          </w:rPr>
          <w:t xml:space="preserve">(R277-107-3(5))</w:t>
        </w:r>
      </w:hyperlink>
      <w:r w:rsidDel="00000000" w:rsidR="00000000" w:rsidRPr="00000000">
        <w:rPr>
          <w:rtl w:val="0"/>
        </w:rPr>
      </w:r>
    </w:p>
    <w:p w:rsidR="00000000" w:rsidDel="00000000" w:rsidP="00000000" w:rsidRDefault="00000000" w:rsidRPr="00000000" w14:paraId="00000015">
      <w:pPr>
        <w:numPr>
          <w:ilvl w:val="1"/>
          <w:numId w:val="1"/>
        </w:numPr>
        <w:spacing w:after="0" w:afterAutospacing="0" w:before="80" w:beforeAutospacing="0" w:lineRule="auto"/>
        <w:ind w:left="1440" w:hanging="360"/>
      </w:pPr>
      <w:r w:rsidDel="00000000" w:rsidR="00000000" w:rsidRPr="00000000">
        <w:rPr>
          <w:rtl w:val="0"/>
        </w:rPr>
        <w:t xml:space="preserve">Prior written approval from the Executive  Director is required for any compensated activity with organizations or vendors that:</w:t>
      </w:r>
    </w:p>
    <w:p w:rsidR="00000000" w:rsidDel="00000000" w:rsidP="00000000" w:rsidRDefault="00000000" w:rsidRPr="00000000" w14:paraId="00000016">
      <w:pPr>
        <w:numPr>
          <w:ilvl w:val="2"/>
          <w:numId w:val="1"/>
        </w:numPr>
        <w:spacing w:after="0" w:afterAutospacing="0" w:before="0" w:beforeAutospacing="0" w:lineRule="auto"/>
        <w:ind w:left="2160" w:hanging="360"/>
      </w:pPr>
      <w:r w:rsidDel="00000000" w:rsidR="00000000" w:rsidRPr="00000000">
        <w:rPr>
          <w:rtl w:val="0"/>
        </w:rPr>
        <w:t xml:space="preserve">Have or are seeking contracts or business relationships with the school.</w:t>
      </w:r>
    </w:p>
    <w:p w:rsidR="00000000" w:rsidDel="00000000" w:rsidP="00000000" w:rsidRDefault="00000000" w:rsidRPr="00000000" w14:paraId="00000017">
      <w:pPr>
        <w:numPr>
          <w:ilvl w:val="2"/>
          <w:numId w:val="1"/>
        </w:numPr>
        <w:spacing w:after="0" w:afterAutospacing="0" w:before="0" w:beforeAutospacing="0" w:lineRule="auto"/>
        <w:ind w:left="2160" w:hanging="360"/>
      </w:pPr>
      <w:r w:rsidDel="00000000" w:rsidR="00000000" w:rsidRPr="00000000">
        <w:rPr>
          <w:rtl w:val="0"/>
        </w:rPr>
        <w:t xml:space="preserve">Provide professional development, curriculum, or services to Gateway educators.</w:t>
      </w:r>
    </w:p>
    <w:p w:rsidR="00000000" w:rsidDel="00000000" w:rsidP="00000000" w:rsidRDefault="00000000" w:rsidRPr="00000000" w14:paraId="00000018">
      <w:pPr>
        <w:numPr>
          <w:ilvl w:val="1"/>
          <w:numId w:val="1"/>
        </w:numPr>
        <w:spacing w:after="240" w:before="0" w:beforeAutospacing="0" w:lineRule="auto"/>
        <w:ind w:left="1440" w:hanging="360"/>
      </w:pPr>
      <w:r w:rsidDel="00000000" w:rsidR="00000000" w:rsidRPr="00000000">
        <w:rPr>
          <w:rtl w:val="0"/>
        </w:rPr>
        <w:t xml:space="preserve">A written disclosure of potential conflicts must be submitted and reviewed annually or upon a change of outside employment status.</w:t>
      </w:r>
    </w:p>
    <w:p w:rsidR="00000000" w:rsidDel="00000000" w:rsidP="00000000" w:rsidRDefault="00000000" w:rsidRPr="00000000" w14:paraId="00000019">
      <w:pPr>
        <w:keepNext w:val="0"/>
        <w:numPr>
          <w:ilvl w:val="0"/>
          <w:numId w:val="1"/>
        </w:numPr>
        <w:spacing w:after="80" w:afterAutospacing="0" w:before="360" w:lineRule="auto"/>
        <w:ind w:left="720" w:hanging="360"/>
        <w:rPr>
          <w:b w:val="1"/>
        </w:rPr>
      </w:pPr>
      <w:r w:rsidDel="00000000" w:rsidR="00000000" w:rsidRPr="00000000">
        <w:rPr>
          <w:b w:val="1"/>
          <w:rtl w:val="0"/>
        </w:rPr>
        <w:t xml:space="preserve">Employment by an External Entity Under LEA Contract </w:t>
      </w:r>
      <w:hyperlink r:id="rId10">
        <w:r w:rsidDel="00000000" w:rsidR="00000000" w:rsidRPr="00000000">
          <w:rPr>
            <w:b w:val="1"/>
            <w:color w:val="1155cc"/>
            <w:u w:val="single"/>
            <w:rtl w:val="0"/>
          </w:rPr>
          <w:t xml:space="preserve">(R277-107-3(6))</w:t>
        </w:r>
      </w:hyperlink>
      <w:r w:rsidDel="00000000" w:rsidR="00000000" w:rsidRPr="00000000">
        <w:rPr>
          <w:rtl w:val="0"/>
        </w:rPr>
      </w:r>
    </w:p>
    <w:p w:rsidR="00000000" w:rsidDel="00000000" w:rsidP="00000000" w:rsidRDefault="00000000" w:rsidRPr="00000000" w14:paraId="0000001A">
      <w:pPr>
        <w:numPr>
          <w:ilvl w:val="1"/>
          <w:numId w:val="1"/>
        </w:numPr>
        <w:spacing w:after="0" w:afterAutospacing="0" w:before="80" w:beforeAutospacing="0" w:lineRule="auto"/>
        <w:ind w:left="1440" w:hanging="360"/>
      </w:pPr>
      <w:r w:rsidDel="00000000" w:rsidR="00000000" w:rsidRPr="00000000">
        <w:rPr>
          <w:rtl w:val="0"/>
        </w:rPr>
        <w:t xml:space="preserve">The LEA must maintain oversight of the services rendered.</w:t>
      </w:r>
    </w:p>
    <w:p w:rsidR="00000000" w:rsidDel="00000000" w:rsidP="00000000" w:rsidRDefault="00000000" w:rsidRPr="00000000" w14:paraId="0000001B">
      <w:pPr>
        <w:numPr>
          <w:ilvl w:val="1"/>
          <w:numId w:val="1"/>
        </w:numPr>
        <w:spacing w:after="0" w:afterAutospacing="0" w:before="0" w:beforeAutospacing="0" w:lineRule="auto"/>
        <w:ind w:left="1440" w:hanging="360"/>
      </w:pPr>
      <w:r w:rsidDel="00000000" w:rsidR="00000000" w:rsidRPr="00000000">
        <w:rPr>
          <w:rtl w:val="0"/>
        </w:rPr>
        <w:t xml:space="preserve">The educator must remain compliant with FERPA and school confidentiality policies.</w:t>
      </w:r>
    </w:p>
    <w:p w:rsidR="00000000" w:rsidDel="00000000" w:rsidP="00000000" w:rsidRDefault="00000000" w:rsidRPr="00000000" w14:paraId="0000001C">
      <w:pPr>
        <w:numPr>
          <w:ilvl w:val="1"/>
          <w:numId w:val="1"/>
        </w:numPr>
        <w:spacing w:after="240" w:before="0" w:beforeAutospacing="0" w:lineRule="auto"/>
        <w:ind w:left="1440" w:hanging="360"/>
      </w:pPr>
      <w:r w:rsidDel="00000000" w:rsidR="00000000" w:rsidRPr="00000000">
        <w:rPr>
          <w:rtl w:val="0"/>
        </w:rPr>
        <w:t xml:space="preserve">Gateway Preparatory Academy reserves the right to review contracts and require training or reporting to prevent conflicts of interest or policy violations.</w:t>
      </w:r>
      <w:r w:rsidDel="00000000" w:rsidR="00000000" w:rsidRPr="00000000">
        <w:rPr>
          <w:rtl w:val="0"/>
        </w:rPr>
      </w:r>
    </w:p>
    <w:p w:rsidR="00000000" w:rsidDel="00000000" w:rsidP="00000000" w:rsidRDefault="00000000" w:rsidRPr="00000000" w14:paraId="0000001D">
      <w:pPr>
        <w:keepNext w:val="0"/>
        <w:numPr>
          <w:ilvl w:val="0"/>
          <w:numId w:val="1"/>
        </w:numPr>
        <w:spacing w:after="80" w:afterAutospacing="0" w:before="360" w:lineRule="auto"/>
        <w:ind w:left="720" w:hanging="360"/>
        <w:rPr>
          <w:b w:val="1"/>
        </w:rPr>
      </w:pPr>
      <w:r w:rsidDel="00000000" w:rsidR="00000000" w:rsidRPr="00000000">
        <w:rPr>
          <w:b w:val="1"/>
          <w:rtl w:val="0"/>
        </w:rPr>
        <w:t xml:space="preserve">Enforcement and Violations</w:t>
      </w:r>
    </w:p>
    <w:p w:rsidR="00000000" w:rsidDel="00000000" w:rsidP="00000000" w:rsidRDefault="00000000" w:rsidRPr="00000000" w14:paraId="0000001E">
      <w:pPr>
        <w:numPr>
          <w:ilvl w:val="1"/>
          <w:numId w:val="1"/>
        </w:numPr>
        <w:spacing w:after="0" w:afterAutospacing="0" w:before="80" w:beforeAutospacing="0" w:lineRule="auto"/>
        <w:ind w:left="1440" w:hanging="360"/>
        <w:rPr>
          <w:b w:val="1"/>
        </w:rPr>
      </w:pPr>
      <w:r w:rsidDel="00000000" w:rsidR="00000000" w:rsidRPr="00000000">
        <w:rPr>
          <w:rtl w:val="0"/>
        </w:rPr>
        <w:t xml:space="preserve">Violations of this policy may result in:</w:t>
      </w:r>
    </w:p>
    <w:p w:rsidR="00000000" w:rsidDel="00000000" w:rsidP="00000000" w:rsidRDefault="00000000" w:rsidRPr="00000000" w14:paraId="0000001F">
      <w:pPr>
        <w:numPr>
          <w:ilvl w:val="2"/>
          <w:numId w:val="1"/>
        </w:numPr>
        <w:spacing w:after="0" w:afterAutospacing="0" w:before="0" w:beforeAutospacing="0" w:lineRule="auto"/>
        <w:ind w:left="2160" w:hanging="360"/>
      </w:pPr>
      <w:r w:rsidDel="00000000" w:rsidR="00000000" w:rsidRPr="00000000">
        <w:rPr>
          <w:rtl w:val="0"/>
        </w:rPr>
        <w:t xml:space="preserve">Disciplinary action, up to and including termination.</w:t>
      </w:r>
    </w:p>
    <w:p w:rsidR="00000000" w:rsidDel="00000000" w:rsidP="00000000" w:rsidRDefault="00000000" w:rsidRPr="00000000" w14:paraId="00000020">
      <w:pPr>
        <w:numPr>
          <w:ilvl w:val="2"/>
          <w:numId w:val="1"/>
        </w:numPr>
        <w:spacing w:after="0" w:afterAutospacing="0" w:before="0" w:beforeAutospacing="0" w:lineRule="auto"/>
        <w:ind w:left="2160" w:hanging="360"/>
        <w:rPr/>
      </w:pPr>
      <w:r w:rsidDel="00000000" w:rsidR="00000000" w:rsidRPr="00000000">
        <w:rPr>
          <w:rtl w:val="0"/>
        </w:rPr>
        <w:t xml:space="preserve">Reporting to the Utah State Board of Education for potential licensing review.</w:t>
      </w:r>
    </w:p>
    <w:p w:rsidR="00000000" w:rsidDel="00000000" w:rsidP="00000000" w:rsidRDefault="00000000" w:rsidRPr="00000000" w14:paraId="00000021">
      <w:pPr>
        <w:numPr>
          <w:ilvl w:val="1"/>
          <w:numId w:val="1"/>
        </w:numPr>
        <w:spacing w:after="240" w:before="0" w:beforeAutospacing="0" w:lineRule="auto"/>
        <w:ind w:left="1440" w:hanging="360"/>
      </w:pPr>
      <w:r w:rsidDel="00000000" w:rsidR="00000000" w:rsidRPr="00000000">
        <w:rPr>
          <w:rtl w:val="0"/>
        </w:rPr>
        <w:t xml:space="preserve">Any suspected violations should be reported to the Director for immediate review.</w:t>
      </w:r>
    </w:p>
    <w:p w:rsidR="00000000" w:rsidDel="00000000" w:rsidP="00000000" w:rsidRDefault="00000000" w:rsidRPr="00000000" w14:paraId="00000022">
      <w:pPr>
        <w:spacing w:after="0" w:before="200" w:lineRule="auto"/>
        <w:ind w:left="1440" w:firstLine="0"/>
        <w:rPr/>
      </w:pPr>
      <w:r w:rsidDel="00000000" w:rsidR="00000000" w:rsidRPr="00000000">
        <w:rPr>
          <w:rtl w:val="0"/>
        </w:rPr>
      </w:r>
    </w:p>
    <w:p w:rsidR="00000000" w:rsidDel="00000000" w:rsidP="00000000" w:rsidRDefault="00000000" w:rsidRPr="00000000" w14:paraId="00000023">
      <w:pPr>
        <w:keepNext w:val="0"/>
        <w:numPr>
          <w:ilvl w:val="0"/>
          <w:numId w:val="1"/>
        </w:numPr>
        <w:spacing w:after="80" w:afterAutospacing="0" w:before="200" w:lineRule="auto"/>
        <w:ind w:left="720" w:hanging="360"/>
        <w:rPr>
          <w:b w:val="1"/>
        </w:rPr>
      </w:pPr>
      <w:r w:rsidDel="00000000" w:rsidR="00000000" w:rsidRPr="00000000">
        <w:rPr>
          <w:b w:val="1"/>
          <w:rtl w:val="0"/>
        </w:rPr>
        <w:t xml:space="preserve">Review and Amendments</w:t>
      </w:r>
    </w:p>
    <w:p w:rsidR="00000000" w:rsidDel="00000000" w:rsidP="00000000" w:rsidRDefault="00000000" w:rsidRPr="00000000" w14:paraId="00000024">
      <w:pPr>
        <w:numPr>
          <w:ilvl w:val="1"/>
          <w:numId w:val="1"/>
        </w:numPr>
        <w:spacing w:after="240" w:before="80" w:beforeAutospacing="0" w:lineRule="auto"/>
        <w:ind w:left="1440" w:hanging="360"/>
        <w:rPr>
          <w:b w:val="1"/>
        </w:rPr>
      </w:pPr>
      <w:r w:rsidDel="00000000" w:rsidR="00000000" w:rsidRPr="00000000">
        <w:rPr>
          <w:rtl w:val="0"/>
        </w:rPr>
        <w:t xml:space="preserve">This policy shall be reviewed annually by the Board and updated to maintain alignment with Utah Administrative Code and State Board guidelines</w:t>
      </w:r>
      <w:r w:rsidDel="00000000" w:rsidR="00000000" w:rsidRPr="00000000">
        <w:rPr>
          <w:rtl w:val="0"/>
        </w:rPr>
      </w:r>
    </w:p>
    <w:sectPr>
      <w:headerReference r:id="rId11"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Arial"/>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rPr/>
    </w:pPr>
    <w:r w:rsidDel="00000000" w:rsidR="00000000" w:rsidRPr="00000000">
      <w:rPr/>
      <w:drawing>
        <wp:inline distB="114300" distT="114300" distL="114300" distR="114300">
          <wp:extent cx="5943600" cy="1244600"/>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943600" cy="12446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Cambria" w:cs="Cambria" w:eastAsia="Cambria" w:hAnsi="Cambria"/>
      <w:b w:val="1"/>
      <w:sz w:val="32"/>
      <w:szCs w:val="32"/>
      <w:vertAlign w:val="baseline"/>
    </w:rPr>
  </w:style>
  <w:style w:type="paragraph" w:styleId="Heading2">
    <w:name w:val="heading 2"/>
    <w:basedOn w:val="Normal"/>
    <w:next w:val="Normal"/>
    <w:pPr>
      <w:keepNext w:val="1"/>
      <w:spacing w:after="60" w:before="240" w:lineRule="auto"/>
    </w:pPr>
    <w:rPr>
      <w:rFonts w:ascii="Arial" w:cs="Arial" w:eastAsia="Arial" w:hAnsi="Arial"/>
      <w:b w:val="1"/>
      <w:i w:val="1"/>
      <w:sz w:val="28"/>
      <w:szCs w:val="28"/>
      <w:vertAlign w:val="baseline"/>
    </w:rPr>
  </w:style>
  <w:style w:type="paragraph" w:styleId="Heading3">
    <w:name w:val="heading 3"/>
    <w:basedOn w:val="Normal"/>
    <w:next w:val="Normal"/>
    <w:pPr>
      <w:keepNext w:val="1"/>
      <w:spacing w:after="60" w:before="240" w:lineRule="auto"/>
    </w:pPr>
    <w:rPr>
      <w:rFonts w:ascii="Cambria" w:cs="Cambria" w:eastAsia="Cambria" w:hAnsi="Cambria"/>
      <w:b w:val="1"/>
      <w:sz w:val="26"/>
      <w:szCs w:val="26"/>
      <w:vertAlign w:val="baseline"/>
    </w:rPr>
  </w:style>
  <w:style w:type="paragraph" w:styleId="Heading4">
    <w:name w:val="heading 4"/>
    <w:basedOn w:val="Normal"/>
    <w:next w:val="Normal"/>
    <w:pPr>
      <w:keepNext w:val="1"/>
      <w:spacing w:after="60" w:before="240" w:lineRule="auto"/>
    </w:pPr>
    <w:rPr>
      <w:rFonts w:ascii="Arial" w:cs="Arial" w:eastAsia="Arial" w:hAnsi="Arial"/>
      <w:b w:val="1"/>
      <w:sz w:val="28"/>
      <w:szCs w:val="28"/>
      <w:vertAlign w:val="baseline"/>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schools.utah.gov/adminrules/R277-107" TargetMode="External"/><Relationship Id="rId9" Type="http://schemas.openxmlformats.org/officeDocument/2006/relationships/hyperlink" Target="https://schools.utah.gov/adminrules/R277-107" TargetMode="External"/><Relationship Id="rId5" Type="http://schemas.openxmlformats.org/officeDocument/2006/relationships/styles" Target="styles.xml"/><Relationship Id="rId6" Type="http://schemas.openxmlformats.org/officeDocument/2006/relationships/hyperlink" Target="https://schools.utah.gov/adminrules/R277-107" TargetMode="External"/><Relationship Id="rId7" Type="http://schemas.openxmlformats.org/officeDocument/2006/relationships/hyperlink" Target="https://schools.utah.gov/adminrules/R277-107" TargetMode="External"/><Relationship Id="rId8" Type="http://schemas.openxmlformats.org/officeDocument/2006/relationships/hyperlink" Target="https://schools.utah.gov/adminrules/R277-10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