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217F" w14:textId="3E6436F5" w:rsidR="00F21DFB" w:rsidRPr="00523D3D" w:rsidRDefault="00E96A9E" w:rsidP="00B81CBD">
      <w:pPr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</w:pPr>
      <w:r w:rsidRPr="00AA2514">
        <w:rPr>
          <w:rFonts w:ascii="Constantia" w:hAnsi="Constantia" w:cs="Times New Roman"/>
          <w:b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784938" wp14:editId="489DC129">
            <wp:simplePos x="0" y="0"/>
            <wp:positionH relativeFrom="column">
              <wp:posOffset>4764405</wp:posOffset>
            </wp:positionH>
            <wp:positionV relativeFrom="paragraph">
              <wp:posOffset>0</wp:posOffset>
            </wp:positionV>
            <wp:extent cx="941705" cy="1092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%20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514" w:rsidRPr="00AA2514">
        <w:rPr>
          <w:rFonts w:ascii="Constantia" w:hAnsi="Constantia" w:cs="Times New Roman"/>
          <w:b/>
          <w:i/>
          <w:color w:val="0070C0"/>
          <w:sz w:val="48"/>
          <w:szCs w:val="48"/>
        </w:rPr>
        <w:t xml:space="preserve">      </w:t>
      </w:r>
      <w:r w:rsidR="00F21DFB" w:rsidRPr="00523D3D"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  <w:t>Moroni City Corporation</w:t>
      </w:r>
      <w:r w:rsidR="00AA2514"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  <w:t xml:space="preserve"> </w:t>
      </w:r>
    </w:p>
    <w:p w14:paraId="35C7E9D8" w14:textId="7D33EA8B" w:rsidR="00F21DFB" w:rsidRPr="00523D3D" w:rsidRDefault="00AA2514" w:rsidP="00523D3D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</w:t>
      </w:r>
      <w:r w:rsid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F21DFB" w:rsidRP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Phone (435)436-8359   </w:t>
      </w:r>
      <w:r w:rsid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F21DFB" w:rsidRP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Fax (435)436-8178  </w:t>
      </w:r>
    </w:p>
    <w:p w14:paraId="5162D2BE" w14:textId="425178D6" w:rsidR="00523D3D" w:rsidRPr="00523D3D" w:rsidRDefault="00AA2514" w:rsidP="00F21DFB">
      <w:pPr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</w:t>
      </w:r>
      <w:r w:rsid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523D3D" w:rsidRPr="00F21DFB">
        <w:rPr>
          <w:rFonts w:ascii="Times New Roman" w:hAnsi="Times New Roman" w:cs="Times New Roman"/>
          <w:b/>
          <w:i/>
          <w:color w:val="0070C0"/>
          <w:sz w:val="28"/>
          <w:szCs w:val="28"/>
        </w:rPr>
        <w:t>Po Box 870 Moroni,</w:t>
      </w:r>
      <w:r w:rsid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Utah 84646</w:t>
      </w:r>
    </w:p>
    <w:p w14:paraId="573BA39B" w14:textId="5EFF483C" w:rsidR="00F21DFB" w:rsidRDefault="00523D3D" w:rsidP="00DA6B38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Mayor Paul Bailey</w:t>
      </w:r>
      <w:r w:rsidR="00F21DFB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_________________________________</w:t>
      </w:r>
    </w:p>
    <w:p w14:paraId="48022838" w14:textId="77777777" w:rsidR="00367E2A" w:rsidRDefault="00367E2A" w:rsidP="00933087">
      <w:pPr>
        <w:pStyle w:val="NoSpacing"/>
      </w:pPr>
    </w:p>
    <w:p w14:paraId="15EDBF00" w14:textId="5C6BAC09" w:rsidR="00933087" w:rsidRDefault="0008167F" w:rsidP="00933087">
      <w:pPr>
        <w:pStyle w:val="NoSpacing"/>
      </w:pPr>
      <w:r>
        <w:t>June 1, 202</w:t>
      </w:r>
      <w:r w:rsidR="00CD4FAE">
        <w:t>5</w:t>
      </w:r>
    </w:p>
    <w:p w14:paraId="017E8E04" w14:textId="77777777" w:rsidR="00367E2A" w:rsidRDefault="00367E2A" w:rsidP="00933087">
      <w:pPr>
        <w:pStyle w:val="NoSpacing"/>
      </w:pPr>
    </w:p>
    <w:p w14:paraId="799BB4C1" w14:textId="77777777" w:rsidR="00933087" w:rsidRDefault="00933087" w:rsidP="00933087">
      <w:pPr>
        <w:pStyle w:val="NoSpacing"/>
      </w:pPr>
      <w:r>
        <w:t>Residents,</w:t>
      </w:r>
    </w:p>
    <w:p w14:paraId="65724D9E" w14:textId="77777777" w:rsidR="00933087" w:rsidRDefault="00933087" w:rsidP="00933087">
      <w:pPr>
        <w:pStyle w:val="NoSpacing"/>
      </w:pPr>
    </w:p>
    <w:p w14:paraId="1BCB4240" w14:textId="4951966C" w:rsidR="004C720E" w:rsidRDefault="00933087" w:rsidP="00933087">
      <w:pPr>
        <w:pStyle w:val="NoSpacing"/>
      </w:pPr>
      <w:bookmarkStart w:id="0" w:name="_Hlk10790506"/>
      <w:r>
        <w:t>This notice is hereby given of public hearings</w:t>
      </w:r>
      <w:r w:rsidR="001D55D7">
        <w:t xml:space="preserve"> to receive public comment</w:t>
      </w:r>
      <w:r>
        <w:t xml:space="preserve"> to adopt the Moroni City proposed fiscal year </w:t>
      </w:r>
      <w:r w:rsidR="004415EF">
        <w:t>20</w:t>
      </w:r>
      <w:r w:rsidR="008F20B4">
        <w:t>2</w:t>
      </w:r>
      <w:r w:rsidR="00E346BD">
        <w:t>5</w:t>
      </w:r>
      <w:r w:rsidR="0008167F">
        <w:t>-202</w:t>
      </w:r>
      <w:r w:rsidR="00E346BD">
        <w:t>6</w:t>
      </w:r>
      <w:r>
        <w:t xml:space="preserve"> operating budget</w:t>
      </w:r>
      <w:r w:rsidR="00172B84">
        <w:t xml:space="preserve"> along with adopting the certified-tax rate proposed by Sanpete County</w:t>
      </w:r>
      <w:r>
        <w:t xml:space="preserve"> and to reopen and amend the 20</w:t>
      </w:r>
      <w:r w:rsidR="0008167F">
        <w:t>2</w:t>
      </w:r>
      <w:r w:rsidR="00E346BD">
        <w:t>4</w:t>
      </w:r>
      <w:r w:rsidR="0008167F">
        <w:t>-202</w:t>
      </w:r>
      <w:r w:rsidR="00E346BD">
        <w:t>5</w:t>
      </w:r>
      <w:r>
        <w:t xml:space="preserve"> budget. </w:t>
      </w:r>
    </w:p>
    <w:p w14:paraId="63D8CADC" w14:textId="77777777" w:rsidR="004C720E" w:rsidRDefault="004C720E" w:rsidP="00933087">
      <w:pPr>
        <w:pStyle w:val="NoSpacing"/>
      </w:pPr>
    </w:p>
    <w:p w14:paraId="7DA7DFD2" w14:textId="086C679D" w:rsidR="004C720E" w:rsidRDefault="00933087" w:rsidP="004C720E">
      <w:pPr>
        <w:pStyle w:val="NoSpacing"/>
      </w:pPr>
      <w:r>
        <w:t xml:space="preserve"> </w:t>
      </w:r>
      <w:r w:rsidR="004C720E">
        <w:t>The proposed 202</w:t>
      </w:r>
      <w:r w:rsidR="00C209D0">
        <w:t>5</w:t>
      </w:r>
      <w:r w:rsidR="004C720E">
        <w:t>-202</w:t>
      </w:r>
      <w:r w:rsidR="00C209D0">
        <w:t>6</w:t>
      </w:r>
      <w:r w:rsidR="004C720E">
        <w:t xml:space="preserve"> budget includes the following rate increase</w:t>
      </w:r>
      <w:r w:rsidR="007A0915">
        <w:t>s</w:t>
      </w:r>
      <w:r w:rsidR="004C720E">
        <w:t>:</w:t>
      </w:r>
    </w:p>
    <w:p w14:paraId="0E85CD9D" w14:textId="77777777" w:rsidR="007F557C" w:rsidRDefault="007F557C" w:rsidP="004C720E">
      <w:pPr>
        <w:pStyle w:val="NoSpacing"/>
      </w:pPr>
    </w:p>
    <w:p w14:paraId="7D43581E" w14:textId="00C62E36" w:rsidR="007F557C" w:rsidRPr="0046206C" w:rsidRDefault="007F557C" w:rsidP="007F557C">
      <w:pPr>
        <w:pStyle w:val="NoSpacing"/>
        <w:numPr>
          <w:ilvl w:val="0"/>
          <w:numId w:val="13"/>
        </w:numPr>
        <w:rPr>
          <w:b/>
          <w:bCs/>
        </w:rPr>
      </w:pPr>
      <w:r w:rsidRPr="0046206C">
        <w:rPr>
          <w:b/>
          <w:bCs/>
        </w:rPr>
        <w:t>CEMETERY FEES</w:t>
      </w:r>
    </w:p>
    <w:p w14:paraId="450E2A5E" w14:textId="239771AC" w:rsidR="007F557C" w:rsidRDefault="007F557C" w:rsidP="007F557C">
      <w:pPr>
        <w:pStyle w:val="NoSpacing"/>
        <w:ind w:left="2880" w:firstLine="720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7532189E" w14:textId="1F67B8CE" w:rsidR="007F557C" w:rsidRDefault="007F557C" w:rsidP="007F557C">
      <w:pPr>
        <w:pStyle w:val="NoSpacing"/>
        <w:ind w:left="720"/>
      </w:pPr>
      <w:r>
        <w:t>Perpetual Care</w:t>
      </w:r>
      <w:r w:rsidR="00EC5310">
        <w:tab/>
      </w:r>
      <w:r w:rsidR="00EC5310">
        <w:tab/>
      </w:r>
      <w:r w:rsidR="004F614F">
        <w:t>Current Fee</w:t>
      </w:r>
      <w:r w:rsidR="004F614F">
        <w:tab/>
      </w:r>
      <w:r w:rsidR="004F614F">
        <w:tab/>
      </w:r>
      <w:r w:rsidR="004F614F">
        <w:tab/>
      </w:r>
      <w:r w:rsidR="004F614F">
        <w:tab/>
        <w:t>Proposed Fee</w:t>
      </w:r>
    </w:p>
    <w:p w14:paraId="76617F67" w14:textId="691FF967" w:rsidR="004F614F" w:rsidRDefault="004F614F" w:rsidP="007F557C">
      <w:pPr>
        <w:pStyle w:val="NoSpacing"/>
        <w:ind w:left="720"/>
      </w:pPr>
      <w:r>
        <w:t xml:space="preserve">Resident </w:t>
      </w:r>
      <w:r>
        <w:tab/>
      </w:r>
      <w:r>
        <w:tab/>
        <w:t>$ 150.00</w:t>
      </w:r>
      <w:r>
        <w:tab/>
      </w:r>
      <w:r>
        <w:tab/>
      </w:r>
      <w:r>
        <w:tab/>
      </w:r>
      <w:r>
        <w:tab/>
        <w:t>$ 200.00</w:t>
      </w:r>
    </w:p>
    <w:p w14:paraId="48908170" w14:textId="77777777" w:rsidR="004F614F" w:rsidRDefault="004F614F" w:rsidP="007F557C">
      <w:pPr>
        <w:pStyle w:val="NoSpacing"/>
        <w:ind w:left="720"/>
      </w:pPr>
      <w:r>
        <w:t>Non-Resident</w:t>
      </w:r>
      <w:r>
        <w:tab/>
      </w:r>
      <w:r>
        <w:tab/>
        <w:t>$ 400.00</w:t>
      </w:r>
      <w:r>
        <w:tab/>
      </w:r>
      <w:r>
        <w:tab/>
      </w:r>
      <w:r>
        <w:tab/>
      </w:r>
      <w:r>
        <w:tab/>
        <w:t>$ 500.00</w:t>
      </w:r>
    </w:p>
    <w:p w14:paraId="42E26CDF" w14:textId="77777777" w:rsidR="004F614F" w:rsidRDefault="004F614F" w:rsidP="004F614F">
      <w:pPr>
        <w:pStyle w:val="NoSpacing"/>
      </w:pPr>
    </w:p>
    <w:p w14:paraId="682C5C43" w14:textId="77777777" w:rsidR="004F614F" w:rsidRPr="0046206C" w:rsidRDefault="004F614F" w:rsidP="004F614F">
      <w:pPr>
        <w:pStyle w:val="NoSpacing"/>
        <w:numPr>
          <w:ilvl w:val="0"/>
          <w:numId w:val="13"/>
        </w:numPr>
        <w:rPr>
          <w:b/>
          <w:bCs/>
        </w:rPr>
      </w:pPr>
      <w:r w:rsidRPr="0046206C">
        <w:rPr>
          <w:b/>
          <w:bCs/>
        </w:rPr>
        <w:t>DOG LICENSE AND ANIMAL CONTROL FEES</w:t>
      </w:r>
    </w:p>
    <w:p w14:paraId="0BD0CEC7" w14:textId="4763E5F3" w:rsidR="004F614F" w:rsidRDefault="004F614F" w:rsidP="008B6D8A">
      <w:pPr>
        <w:pStyle w:val="NoSpacing"/>
        <w:ind w:left="6480"/>
      </w:pPr>
    </w:p>
    <w:p w14:paraId="142271F2" w14:textId="6858F4D5" w:rsidR="004F614F" w:rsidRDefault="0060050C" w:rsidP="004F614F">
      <w:pPr>
        <w:pStyle w:val="NoSpacing"/>
        <w:ind w:left="720"/>
      </w:pPr>
      <w:r>
        <w:t>Licensing</w:t>
      </w:r>
      <w:r w:rsidR="008B6D8A">
        <w:tab/>
      </w:r>
      <w:r w:rsidR="008B6D8A">
        <w:tab/>
        <w:t>Current Fee</w:t>
      </w:r>
      <w:r w:rsidR="008B6D8A">
        <w:tab/>
      </w:r>
      <w:r w:rsidR="008B6D8A">
        <w:tab/>
      </w:r>
      <w:r w:rsidR="008B6D8A">
        <w:tab/>
      </w:r>
      <w:r w:rsidR="008B6D8A">
        <w:tab/>
        <w:t>Proposed Fee</w:t>
      </w:r>
    </w:p>
    <w:p w14:paraId="3F57049C" w14:textId="1F904987" w:rsidR="0060050C" w:rsidRDefault="0060050C" w:rsidP="004F614F">
      <w:pPr>
        <w:pStyle w:val="NoSpacing"/>
        <w:ind w:left="720"/>
      </w:pPr>
      <w:r>
        <w:t>Spayed/Neuter Dogs</w:t>
      </w:r>
      <w:r>
        <w:tab/>
        <w:t>$ 10.00/yearly</w:t>
      </w:r>
      <w:r>
        <w:tab/>
      </w:r>
      <w:r>
        <w:tab/>
      </w:r>
      <w:r>
        <w:tab/>
      </w:r>
      <w:r>
        <w:tab/>
        <w:t>If late</w:t>
      </w:r>
      <w:r w:rsidR="00012080">
        <w:t xml:space="preserve">, </w:t>
      </w:r>
      <w:r>
        <w:t xml:space="preserve"> fee doubled</w:t>
      </w:r>
    </w:p>
    <w:p w14:paraId="5534F383" w14:textId="1FB33A51" w:rsidR="0060050C" w:rsidRDefault="0060050C" w:rsidP="004F614F">
      <w:pPr>
        <w:pStyle w:val="NoSpacing"/>
        <w:ind w:left="720"/>
      </w:pPr>
      <w:r>
        <w:t>Intact</w:t>
      </w:r>
      <w:r>
        <w:tab/>
      </w:r>
      <w:r>
        <w:tab/>
      </w:r>
      <w:r>
        <w:tab/>
        <w:t>$ 25.00/yearly</w:t>
      </w:r>
      <w:r>
        <w:tab/>
      </w:r>
      <w:r>
        <w:tab/>
      </w:r>
      <w:r>
        <w:tab/>
      </w:r>
      <w:r>
        <w:tab/>
        <w:t>If late</w:t>
      </w:r>
      <w:r w:rsidR="00012080">
        <w:t xml:space="preserve">, </w:t>
      </w:r>
      <w:r>
        <w:t xml:space="preserve"> fee doubled</w:t>
      </w:r>
      <w:r>
        <w:tab/>
      </w:r>
    </w:p>
    <w:p w14:paraId="5B24D2D2" w14:textId="03C56959" w:rsidR="004F614F" w:rsidRDefault="0060050C" w:rsidP="004F614F">
      <w:pPr>
        <w:pStyle w:val="NoSpacing"/>
      </w:pPr>
      <w:r>
        <w:tab/>
      </w:r>
    </w:p>
    <w:p w14:paraId="4099E9C9" w14:textId="1F2CDD28" w:rsidR="0060050C" w:rsidRDefault="0060050C" w:rsidP="004F614F">
      <w:pPr>
        <w:pStyle w:val="NoSpacing"/>
      </w:pPr>
      <w:r>
        <w:tab/>
        <w:t>Pick-up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$ 45.00/if dog is licensed</w:t>
      </w:r>
    </w:p>
    <w:p w14:paraId="705F87FA" w14:textId="77777777" w:rsidR="0060050C" w:rsidRDefault="0060050C" w:rsidP="004F614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$ 90.00/if dog is unlicensed</w:t>
      </w:r>
    </w:p>
    <w:p w14:paraId="1AF9E872" w14:textId="77777777" w:rsidR="0060050C" w:rsidRDefault="0060050C" w:rsidP="004F614F">
      <w:pPr>
        <w:pStyle w:val="NoSpacing"/>
      </w:pPr>
      <w:r>
        <w:tab/>
        <w:t>Second Offense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$ 75.00/if dog is licensed</w:t>
      </w:r>
    </w:p>
    <w:p w14:paraId="00594858" w14:textId="77777777" w:rsidR="0060050C" w:rsidRDefault="0060050C" w:rsidP="004F614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$ 150.00/if dog is unlicensed</w:t>
      </w:r>
    </w:p>
    <w:p w14:paraId="100864F0" w14:textId="4D4CCF07" w:rsidR="0060050C" w:rsidRDefault="0060050C" w:rsidP="004F614F">
      <w:pPr>
        <w:pStyle w:val="NoSpacing"/>
      </w:pPr>
      <w:r>
        <w:tab/>
        <w:t>Third Offense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$ 150.00/ if dog is licensed</w:t>
      </w:r>
    </w:p>
    <w:p w14:paraId="7DDF91E9" w14:textId="08B971BB" w:rsidR="004F614F" w:rsidRDefault="0060050C" w:rsidP="004F614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$ 300.00/if dog is unlicensed  </w:t>
      </w:r>
    </w:p>
    <w:p w14:paraId="5C7ECC8C" w14:textId="62ADCDCE" w:rsidR="001C4EF5" w:rsidRDefault="0060050C" w:rsidP="004F614F">
      <w:pPr>
        <w:pStyle w:val="NoSpacing"/>
      </w:pPr>
      <w:r>
        <w:tab/>
        <w:t>Daily pound charge</w:t>
      </w:r>
      <w:r>
        <w:tab/>
        <w:t>$30.00</w:t>
      </w:r>
      <w:r>
        <w:tab/>
      </w:r>
      <w:r>
        <w:tab/>
      </w:r>
      <w:r>
        <w:tab/>
      </w:r>
      <w:r>
        <w:tab/>
      </w:r>
      <w:r>
        <w:tab/>
        <w:t>$35.00</w:t>
      </w:r>
    </w:p>
    <w:p w14:paraId="2B851EF5" w14:textId="77777777" w:rsidR="004F614F" w:rsidRDefault="004F614F" w:rsidP="004F614F">
      <w:pPr>
        <w:pStyle w:val="NoSpacing"/>
      </w:pPr>
    </w:p>
    <w:p w14:paraId="36E86BCC" w14:textId="77777777" w:rsidR="004F614F" w:rsidRPr="0046206C" w:rsidRDefault="004F614F" w:rsidP="004F614F">
      <w:pPr>
        <w:pStyle w:val="NoSpacing"/>
        <w:numPr>
          <w:ilvl w:val="0"/>
          <w:numId w:val="13"/>
        </w:numPr>
        <w:rPr>
          <w:b/>
          <w:bCs/>
        </w:rPr>
      </w:pPr>
      <w:r w:rsidRPr="0046206C">
        <w:rPr>
          <w:b/>
          <w:bCs/>
        </w:rPr>
        <w:t>PLANNING AND ZONING FEES</w:t>
      </w:r>
    </w:p>
    <w:p w14:paraId="00583F90" w14:textId="77777777" w:rsidR="00726452" w:rsidRDefault="00726452" w:rsidP="00726452">
      <w:pPr>
        <w:pStyle w:val="NoSpacing"/>
        <w:ind w:left="360"/>
      </w:pPr>
    </w:p>
    <w:p w14:paraId="3EDC1A67" w14:textId="61A8EA02" w:rsidR="004F614F" w:rsidRDefault="004F614F" w:rsidP="004F614F">
      <w:pPr>
        <w:pStyle w:val="NoSpacing"/>
        <w:ind w:left="2880"/>
      </w:pPr>
      <w:r>
        <w:t>Current Fee</w:t>
      </w:r>
      <w:r>
        <w:tab/>
      </w:r>
      <w:r>
        <w:tab/>
      </w:r>
      <w:r>
        <w:tab/>
      </w:r>
      <w:r>
        <w:tab/>
        <w:t>Proposed Fee</w:t>
      </w:r>
    </w:p>
    <w:p w14:paraId="2C9FD62E" w14:textId="77777777" w:rsidR="004F614F" w:rsidRDefault="004F614F" w:rsidP="004F614F">
      <w:pPr>
        <w:pStyle w:val="NoSpacing"/>
        <w:ind w:left="720"/>
      </w:pPr>
      <w:r>
        <w:t>Fence</w:t>
      </w:r>
      <w:r>
        <w:tab/>
      </w:r>
      <w:r>
        <w:tab/>
      </w:r>
      <w:r>
        <w:tab/>
        <w:t>$ 50.00</w:t>
      </w:r>
      <w:r>
        <w:tab/>
      </w:r>
      <w:r>
        <w:tab/>
      </w:r>
      <w:r>
        <w:tab/>
      </w:r>
      <w:r>
        <w:tab/>
      </w:r>
      <w:r>
        <w:tab/>
        <w:t>$ 25.00</w:t>
      </w:r>
    </w:p>
    <w:p w14:paraId="4B829B4E" w14:textId="0E186BEE" w:rsidR="004F614F" w:rsidRDefault="004F614F" w:rsidP="004F614F">
      <w:pPr>
        <w:pStyle w:val="NoSpacing"/>
        <w:ind w:left="720"/>
      </w:pPr>
      <w:r>
        <w:t xml:space="preserve">Any improvement larger than a garage/storage </w:t>
      </w:r>
      <w:r w:rsidR="00FC4228">
        <w:t>container</w:t>
      </w:r>
    </w:p>
    <w:p w14:paraId="37880DF7" w14:textId="77777777" w:rsidR="004F614F" w:rsidRDefault="004F614F" w:rsidP="004F614F">
      <w:pPr>
        <w:pStyle w:val="NoSpacing"/>
        <w:ind w:left="720"/>
      </w:pPr>
      <w:r>
        <w:tab/>
      </w:r>
      <w:r>
        <w:tab/>
      </w:r>
      <w:r>
        <w:tab/>
        <w:t>$ 100.00</w:t>
      </w:r>
      <w:r>
        <w:tab/>
      </w:r>
      <w:r>
        <w:tab/>
      </w:r>
      <w:r>
        <w:tab/>
      </w:r>
      <w:r>
        <w:tab/>
        <w:t>$ 125.00</w:t>
      </w:r>
    </w:p>
    <w:p w14:paraId="7FA0CC99" w14:textId="77777777" w:rsidR="004F614F" w:rsidRDefault="004F614F" w:rsidP="004F614F">
      <w:pPr>
        <w:pStyle w:val="NoSpacing"/>
        <w:ind w:left="720"/>
      </w:pPr>
      <w:r>
        <w:t>Subdivision</w:t>
      </w:r>
      <w:r>
        <w:tab/>
      </w:r>
      <w:r>
        <w:tab/>
        <w:t>$ 500.00</w:t>
      </w:r>
    </w:p>
    <w:p w14:paraId="55AF7BE5" w14:textId="77777777" w:rsidR="004F614F" w:rsidRDefault="004F614F" w:rsidP="004F614F">
      <w:pPr>
        <w:pStyle w:val="NoSpacing"/>
        <w:ind w:left="720"/>
      </w:pPr>
      <w:r>
        <w:t>Simple Subdivision</w:t>
      </w:r>
      <w:r>
        <w:tab/>
      </w:r>
      <w:r>
        <w:tab/>
      </w:r>
      <w:r>
        <w:tab/>
      </w:r>
      <w:r>
        <w:tab/>
      </w:r>
      <w:r>
        <w:tab/>
      </w:r>
      <w:r>
        <w:tab/>
        <w:t>$ 100.00</w:t>
      </w:r>
    </w:p>
    <w:p w14:paraId="557B341E" w14:textId="473E7BFD" w:rsidR="004F614F" w:rsidRDefault="004F614F" w:rsidP="004F614F">
      <w:pPr>
        <w:pStyle w:val="NoSpacing"/>
        <w:ind w:left="720"/>
      </w:pPr>
      <w:r>
        <w:t>Subdivision 3 or more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8B6D8A">
        <w:t>500.00</w:t>
      </w:r>
    </w:p>
    <w:p w14:paraId="383E6CF4" w14:textId="7BBF1CA0" w:rsidR="001C4EF5" w:rsidRDefault="004F614F" w:rsidP="0046206C">
      <w:pPr>
        <w:pStyle w:val="NoSpacing"/>
        <w:ind w:left="720"/>
      </w:pPr>
      <w:r>
        <w:t>Annexation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726452">
        <w:t>1500.00 + $10/acre</w:t>
      </w:r>
      <w:r>
        <w:tab/>
      </w:r>
    </w:p>
    <w:p w14:paraId="39EEFE82" w14:textId="77777777" w:rsidR="00726452" w:rsidRPr="0046206C" w:rsidRDefault="00726452" w:rsidP="00726452">
      <w:pPr>
        <w:pStyle w:val="NoSpacing"/>
        <w:numPr>
          <w:ilvl w:val="0"/>
          <w:numId w:val="13"/>
        </w:numPr>
        <w:rPr>
          <w:b/>
          <w:bCs/>
        </w:rPr>
      </w:pPr>
      <w:r w:rsidRPr="0046206C">
        <w:rPr>
          <w:b/>
          <w:bCs/>
        </w:rPr>
        <w:lastRenderedPageBreak/>
        <w:t>FEES APPEARING ON OR RELATING TO UTILITY BILLING</w:t>
      </w:r>
    </w:p>
    <w:p w14:paraId="31139E4F" w14:textId="77777777" w:rsidR="00726452" w:rsidRDefault="00726452" w:rsidP="00726452">
      <w:pPr>
        <w:pStyle w:val="NoSpacing"/>
        <w:ind w:left="720"/>
      </w:pPr>
    </w:p>
    <w:p w14:paraId="7E7CA568" w14:textId="407CD3E5" w:rsidR="001C4EF5" w:rsidRPr="0046206C" w:rsidRDefault="001C4EF5" w:rsidP="00726452">
      <w:pPr>
        <w:pStyle w:val="NoSpacing"/>
        <w:ind w:left="720"/>
        <w:rPr>
          <w:b/>
          <w:bCs/>
        </w:rPr>
      </w:pPr>
      <w:r w:rsidRPr="0046206C">
        <w:rPr>
          <w:b/>
          <w:bCs/>
        </w:rPr>
        <w:t>Culinary Water – Residential</w:t>
      </w:r>
    </w:p>
    <w:p w14:paraId="2B569C62" w14:textId="71551526" w:rsidR="001C4EF5" w:rsidRDefault="001C4EF5" w:rsidP="00726452">
      <w:pPr>
        <w:pStyle w:val="NoSpacing"/>
        <w:ind w:left="720"/>
      </w:pPr>
      <w:r>
        <w:tab/>
      </w:r>
      <w:r>
        <w:tab/>
      </w:r>
      <w:r>
        <w:tab/>
      </w:r>
      <w:r>
        <w:tab/>
        <w:t>Current Rate</w:t>
      </w:r>
      <w:r>
        <w:tab/>
      </w:r>
      <w:r>
        <w:tab/>
        <w:t>Proposed</w:t>
      </w:r>
      <w:r>
        <w:tab/>
      </w:r>
      <w:r>
        <w:tab/>
        <w:t>Proposed</w:t>
      </w:r>
    </w:p>
    <w:p w14:paraId="2303F0C0" w14:textId="0FD9C7FE" w:rsidR="001C4EF5" w:rsidRDefault="001C4EF5" w:rsidP="00726452">
      <w:pPr>
        <w:pStyle w:val="NoSpacing"/>
        <w:ind w:left="720"/>
      </w:pPr>
      <w:r>
        <w:t xml:space="preserve">Residential </w:t>
      </w:r>
      <w:r>
        <w:tab/>
      </w:r>
      <w:r>
        <w:tab/>
      </w:r>
      <w:r>
        <w:tab/>
      </w:r>
      <w:r>
        <w:tab/>
      </w:r>
      <w:r>
        <w:tab/>
      </w:r>
      <w:r>
        <w:tab/>
        <w:t>Rate Increase</w:t>
      </w:r>
      <w:r>
        <w:tab/>
      </w:r>
      <w:r>
        <w:tab/>
        <w:t>Rate</w:t>
      </w:r>
    </w:p>
    <w:p w14:paraId="34DB8AE8" w14:textId="2E3255F4" w:rsidR="004F614F" w:rsidRDefault="001C4EF5" w:rsidP="00726452">
      <w:pPr>
        <w:pStyle w:val="NoSpacing"/>
        <w:ind w:left="720"/>
      </w:pPr>
      <w:r>
        <w:t>Gallons</w:t>
      </w:r>
      <w:r>
        <w:tab/>
      </w:r>
      <w:r>
        <w:tab/>
        <w:t>per 1000 gal</w:t>
      </w:r>
      <w:r w:rsidR="004F614F">
        <w:tab/>
      </w:r>
      <w:r w:rsidR="004F614F">
        <w:tab/>
      </w:r>
    </w:p>
    <w:p w14:paraId="40FBCAC4" w14:textId="47895D31" w:rsidR="007F557C" w:rsidRDefault="001C4EF5" w:rsidP="004C720E">
      <w:pPr>
        <w:pStyle w:val="NoSpacing"/>
      </w:pPr>
      <w:r>
        <w:tab/>
        <w:t>1,000 Base</w:t>
      </w:r>
      <w:r>
        <w:tab/>
      </w:r>
      <w:r>
        <w:tab/>
      </w:r>
      <w:r>
        <w:tab/>
      </w:r>
      <w:r>
        <w:tab/>
        <w:t>22.00</w:t>
      </w:r>
      <w:r>
        <w:tab/>
      </w:r>
      <w:r>
        <w:tab/>
        <w:t>2.00</w:t>
      </w:r>
      <w:r>
        <w:tab/>
      </w:r>
      <w:r>
        <w:tab/>
      </w:r>
      <w:r>
        <w:tab/>
        <w:t>24.00</w:t>
      </w:r>
    </w:p>
    <w:p w14:paraId="68415761" w14:textId="2A6C5802" w:rsidR="001C4EF5" w:rsidRDefault="001C4EF5" w:rsidP="004C720E">
      <w:pPr>
        <w:pStyle w:val="NoSpacing"/>
      </w:pPr>
      <w:r>
        <w:tab/>
      </w:r>
      <w:r w:rsidR="00D91701">
        <w:t>Between 1,001 and 8,000</w:t>
      </w:r>
      <w:r w:rsidR="00D91701">
        <w:tab/>
      </w:r>
      <w:r w:rsidR="00D91701">
        <w:tab/>
        <w:t>7.25</w:t>
      </w:r>
      <w:r w:rsidR="00D91701">
        <w:tab/>
      </w:r>
      <w:r w:rsidR="00D91701">
        <w:tab/>
        <w:t>2.00</w:t>
      </w:r>
      <w:r w:rsidR="00D91701">
        <w:tab/>
      </w:r>
      <w:r w:rsidR="00D91701">
        <w:tab/>
      </w:r>
      <w:r w:rsidR="00D91701">
        <w:tab/>
        <w:t>9.25</w:t>
      </w:r>
    </w:p>
    <w:p w14:paraId="531E5150" w14:textId="3194A70A" w:rsidR="00D91701" w:rsidRDefault="00D91701" w:rsidP="004C720E">
      <w:pPr>
        <w:pStyle w:val="NoSpacing"/>
      </w:pPr>
      <w:r>
        <w:tab/>
        <w:t>Between 8,001 and 12,000</w:t>
      </w:r>
      <w:r>
        <w:tab/>
      </w:r>
      <w:r>
        <w:tab/>
        <w:t>7.75</w:t>
      </w:r>
      <w:r>
        <w:tab/>
      </w:r>
      <w:r>
        <w:tab/>
        <w:t>2.00</w:t>
      </w:r>
      <w:r>
        <w:tab/>
      </w:r>
      <w:r>
        <w:tab/>
      </w:r>
      <w:r>
        <w:tab/>
        <w:t>9.75</w:t>
      </w:r>
    </w:p>
    <w:p w14:paraId="52ADB43F" w14:textId="69534267" w:rsidR="00D91701" w:rsidRDefault="00D91701" w:rsidP="004C720E">
      <w:pPr>
        <w:pStyle w:val="NoSpacing"/>
      </w:pPr>
      <w:r>
        <w:tab/>
        <w:t>Between 12,001 and 17,000</w:t>
      </w:r>
      <w:r>
        <w:tab/>
      </w:r>
      <w:r>
        <w:tab/>
        <w:t>8.25</w:t>
      </w:r>
      <w:r>
        <w:tab/>
      </w:r>
      <w:r>
        <w:tab/>
        <w:t>3.75</w:t>
      </w:r>
      <w:r>
        <w:tab/>
      </w:r>
      <w:r>
        <w:tab/>
      </w:r>
      <w:r>
        <w:tab/>
        <w:t>12.00</w:t>
      </w:r>
    </w:p>
    <w:p w14:paraId="12C444B1" w14:textId="23BA4B71" w:rsidR="00D91701" w:rsidRDefault="00D91701" w:rsidP="004C720E">
      <w:pPr>
        <w:pStyle w:val="NoSpacing"/>
      </w:pPr>
      <w:r>
        <w:tab/>
        <w:t>Between 17,001 and 22,000</w:t>
      </w:r>
      <w:r>
        <w:tab/>
      </w:r>
      <w:r>
        <w:tab/>
        <w:t>8.75</w:t>
      </w:r>
      <w:r>
        <w:tab/>
      </w:r>
      <w:r>
        <w:tab/>
        <w:t>6.25</w:t>
      </w:r>
      <w:r>
        <w:tab/>
      </w:r>
      <w:r>
        <w:tab/>
      </w:r>
      <w:r>
        <w:tab/>
        <w:t>15.00</w:t>
      </w:r>
    </w:p>
    <w:p w14:paraId="6997270E" w14:textId="79BE2667" w:rsidR="00D91701" w:rsidRDefault="00D91701" w:rsidP="004C720E">
      <w:pPr>
        <w:pStyle w:val="NoSpacing"/>
      </w:pPr>
      <w:r>
        <w:tab/>
        <w:t>Between 22,001 and 27,000</w:t>
      </w:r>
      <w:r>
        <w:tab/>
      </w:r>
      <w:r>
        <w:tab/>
        <w:t>9.25</w:t>
      </w:r>
      <w:r>
        <w:tab/>
      </w:r>
      <w:r>
        <w:tab/>
        <w:t>6.75</w:t>
      </w:r>
      <w:r>
        <w:tab/>
      </w:r>
      <w:r>
        <w:tab/>
      </w:r>
      <w:r>
        <w:tab/>
        <w:t>16.00</w:t>
      </w:r>
    </w:p>
    <w:p w14:paraId="14A5386C" w14:textId="75069DA0" w:rsidR="00D91701" w:rsidRDefault="00D91701" w:rsidP="004C720E">
      <w:pPr>
        <w:pStyle w:val="NoSpacing"/>
      </w:pPr>
      <w:r>
        <w:tab/>
        <w:t>Between 27,001 and 32,000</w:t>
      </w:r>
      <w:r>
        <w:tab/>
      </w:r>
      <w:r>
        <w:tab/>
        <w:t>9.75</w:t>
      </w:r>
      <w:r>
        <w:tab/>
      </w:r>
      <w:r>
        <w:tab/>
        <w:t>6.75</w:t>
      </w:r>
      <w:r>
        <w:tab/>
      </w:r>
      <w:r>
        <w:tab/>
      </w:r>
      <w:r>
        <w:tab/>
        <w:t>16.50</w:t>
      </w:r>
    </w:p>
    <w:p w14:paraId="02DFC872" w14:textId="5CC46608" w:rsidR="00D91701" w:rsidRDefault="00D91701" w:rsidP="004C720E">
      <w:pPr>
        <w:pStyle w:val="NoSpacing"/>
      </w:pPr>
      <w:r>
        <w:tab/>
        <w:t xml:space="preserve">Every additional 5000 gallons </w:t>
      </w:r>
      <w:r w:rsidR="00F3078A">
        <w:t>would be the same increase</w:t>
      </w:r>
    </w:p>
    <w:p w14:paraId="30C0515E" w14:textId="7CEB57A4" w:rsidR="001C49F2" w:rsidRDefault="001C49F2" w:rsidP="004C720E">
      <w:pPr>
        <w:pStyle w:val="NoSpacing"/>
      </w:pPr>
      <w:r>
        <w:tab/>
        <w:t xml:space="preserve">Non-residence base rate </w:t>
      </w:r>
      <w:r>
        <w:tab/>
      </w:r>
      <w:r>
        <w:tab/>
        <w:t>$30.00</w:t>
      </w:r>
      <w:r>
        <w:tab/>
      </w:r>
      <w:r>
        <w:tab/>
        <w:t>2.00</w:t>
      </w:r>
      <w:r>
        <w:tab/>
      </w:r>
      <w:r>
        <w:tab/>
      </w:r>
      <w:r>
        <w:tab/>
        <w:t>32.00</w:t>
      </w:r>
    </w:p>
    <w:p w14:paraId="48B0FFE3" w14:textId="77777777" w:rsidR="001C49F2" w:rsidRDefault="001C49F2" w:rsidP="004C720E">
      <w:pPr>
        <w:pStyle w:val="NoSpacing"/>
      </w:pPr>
    </w:p>
    <w:p w14:paraId="6ED2F014" w14:textId="5088AC12" w:rsidR="001C49F2" w:rsidRPr="0046206C" w:rsidRDefault="001C49F2" w:rsidP="004C720E">
      <w:pPr>
        <w:pStyle w:val="NoSpacing"/>
        <w:rPr>
          <w:b/>
          <w:bCs/>
        </w:rPr>
      </w:pPr>
      <w:r>
        <w:tab/>
      </w:r>
      <w:r w:rsidRPr="0046206C">
        <w:rPr>
          <w:b/>
          <w:bCs/>
        </w:rPr>
        <w:t xml:space="preserve">Sewer </w:t>
      </w:r>
    </w:p>
    <w:p w14:paraId="375825F1" w14:textId="675724A4" w:rsidR="001C49F2" w:rsidRDefault="001C49F2" w:rsidP="004C720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Current Rate</w:t>
      </w:r>
      <w:r>
        <w:tab/>
      </w:r>
      <w:r>
        <w:tab/>
        <w:t>Proposed</w:t>
      </w:r>
      <w:r>
        <w:tab/>
      </w:r>
      <w:r>
        <w:tab/>
        <w:t>Proposed</w:t>
      </w:r>
    </w:p>
    <w:p w14:paraId="6FFDD4D5" w14:textId="77777777" w:rsidR="001C49F2" w:rsidRDefault="001C49F2" w:rsidP="004C720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Rate Increase</w:t>
      </w:r>
      <w:r>
        <w:tab/>
      </w:r>
      <w:r>
        <w:tab/>
        <w:t>Rate</w:t>
      </w:r>
    </w:p>
    <w:p w14:paraId="6D79E2D5" w14:textId="77777777" w:rsidR="001C49F2" w:rsidRDefault="001C49F2" w:rsidP="004C720E">
      <w:pPr>
        <w:pStyle w:val="NoSpacing"/>
      </w:pPr>
      <w:r>
        <w:tab/>
        <w:t>Gallons</w:t>
      </w:r>
      <w:r>
        <w:tab/>
      </w:r>
      <w:r>
        <w:tab/>
        <w:t>per 1,000 gal</w:t>
      </w:r>
    </w:p>
    <w:p w14:paraId="7C0A7391" w14:textId="77777777" w:rsidR="001C49F2" w:rsidRDefault="001C49F2" w:rsidP="004C720E">
      <w:pPr>
        <w:pStyle w:val="NoSpacing"/>
      </w:pPr>
      <w:r>
        <w:tab/>
        <w:t>1,000 Base</w:t>
      </w:r>
      <w:r>
        <w:tab/>
      </w:r>
      <w:r>
        <w:tab/>
      </w:r>
      <w:r>
        <w:tab/>
      </w:r>
      <w:r>
        <w:tab/>
        <w:t>13.00</w:t>
      </w:r>
      <w:r>
        <w:tab/>
      </w:r>
      <w:r>
        <w:tab/>
        <w:t>2.00</w:t>
      </w:r>
      <w:r>
        <w:tab/>
      </w:r>
      <w:r>
        <w:tab/>
      </w:r>
      <w:r>
        <w:tab/>
        <w:t>15.00</w:t>
      </w:r>
    </w:p>
    <w:p w14:paraId="6DCF2F27" w14:textId="4F2037C3" w:rsidR="001C49F2" w:rsidRDefault="001C49F2" w:rsidP="001C49F2">
      <w:pPr>
        <w:pStyle w:val="NoSpacing"/>
      </w:pPr>
      <w:r>
        <w:tab/>
        <w:t>Between 1,001 and 8,000</w:t>
      </w:r>
      <w:r>
        <w:tab/>
      </w:r>
      <w:r>
        <w:tab/>
        <w:t>4.50</w:t>
      </w:r>
      <w:r>
        <w:tab/>
      </w:r>
      <w:r>
        <w:tab/>
        <w:t>2.00</w:t>
      </w:r>
      <w:r>
        <w:tab/>
      </w:r>
      <w:r>
        <w:tab/>
      </w:r>
      <w:r>
        <w:tab/>
        <w:t>6.50</w:t>
      </w:r>
    </w:p>
    <w:p w14:paraId="4050CA54" w14:textId="6A10951C" w:rsidR="001C49F2" w:rsidRDefault="001C49F2" w:rsidP="001C49F2">
      <w:pPr>
        <w:pStyle w:val="NoSpacing"/>
      </w:pPr>
      <w:r>
        <w:tab/>
        <w:t>Between 8,001 and 12,000</w:t>
      </w:r>
      <w:r>
        <w:tab/>
      </w:r>
      <w:r>
        <w:tab/>
        <w:t>5.00</w:t>
      </w:r>
      <w:r>
        <w:tab/>
      </w:r>
      <w:r>
        <w:tab/>
        <w:t>2.00</w:t>
      </w:r>
      <w:r>
        <w:tab/>
      </w:r>
      <w:r>
        <w:tab/>
      </w:r>
      <w:r>
        <w:tab/>
        <w:t>7.00</w:t>
      </w:r>
    </w:p>
    <w:p w14:paraId="766EC65D" w14:textId="3876731B" w:rsidR="001C49F2" w:rsidRDefault="001C49F2" w:rsidP="001C49F2">
      <w:pPr>
        <w:pStyle w:val="NoSpacing"/>
      </w:pPr>
      <w:r>
        <w:tab/>
        <w:t>Between 12,001 and 17,000</w:t>
      </w:r>
      <w:r>
        <w:tab/>
      </w:r>
      <w:r>
        <w:tab/>
        <w:t>5.50</w:t>
      </w:r>
      <w:r>
        <w:tab/>
      </w:r>
      <w:r>
        <w:tab/>
        <w:t>3.75</w:t>
      </w:r>
      <w:r>
        <w:tab/>
      </w:r>
      <w:r>
        <w:tab/>
      </w:r>
      <w:r>
        <w:tab/>
        <w:t>9.25</w:t>
      </w:r>
    </w:p>
    <w:p w14:paraId="12BCD36D" w14:textId="5547E0EF" w:rsidR="001C49F2" w:rsidRDefault="001C49F2" w:rsidP="001C49F2">
      <w:pPr>
        <w:pStyle w:val="NoSpacing"/>
      </w:pPr>
      <w:r>
        <w:tab/>
        <w:t>Between 17,001 and 22,000</w:t>
      </w:r>
      <w:r>
        <w:tab/>
      </w:r>
      <w:r>
        <w:tab/>
        <w:t>6.00</w:t>
      </w:r>
      <w:r>
        <w:tab/>
      </w:r>
      <w:r>
        <w:tab/>
        <w:t>6.25</w:t>
      </w:r>
      <w:r>
        <w:tab/>
      </w:r>
      <w:r>
        <w:tab/>
      </w:r>
      <w:r>
        <w:tab/>
        <w:t>12.25</w:t>
      </w:r>
    </w:p>
    <w:p w14:paraId="7107B6F7" w14:textId="1ADC3047" w:rsidR="001C49F2" w:rsidRDefault="001C49F2" w:rsidP="001C49F2">
      <w:pPr>
        <w:pStyle w:val="NoSpacing"/>
      </w:pPr>
      <w:r>
        <w:tab/>
        <w:t>Between 22,001 and 27,000</w:t>
      </w:r>
      <w:r>
        <w:tab/>
      </w:r>
      <w:r>
        <w:tab/>
        <w:t>6.50</w:t>
      </w:r>
      <w:r>
        <w:tab/>
      </w:r>
      <w:r>
        <w:tab/>
        <w:t>6.75</w:t>
      </w:r>
      <w:r>
        <w:tab/>
      </w:r>
      <w:r>
        <w:tab/>
      </w:r>
      <w:r>
        <w:tab/>
        <w:t>13.25</w:t>
      </w:r>
    </w:p>
    <w:p w14:paraId="230EED3E" w14:textId="21A4A1DD" w:rsidR="001C49F2" w:rsidRDefault="001C49F2" w:rsidP="001C49F2">
      <w:pPr>
        <w:pStyle w:val="NoSpacing"/>
      </w:pPr>
      <w:r>
        <w:tab/>
        <w:t>Between 27,001 and 32,000</w:t>
      </w:r>
      <w:r>
        <w:tab/>
      </w:r>
      <w:r>
        <w:tab/>
        <w:t>7.00</w:t>
      </w:r>
      <w:r>
        <w:tab/>
      </w:r>
      <w:r>
        <w:tab/>
        <w:t>6.75</w:t>
      </w:r>
      <w:r>
        <w:tab/>
      </w:r>
      <w:r>
        <w:tab/>
      </w:r>
      <w:r>
        <w:tab/>
        <w:t>13.75</w:t>
      </w:r>
    </w:p>
    <w:p w14:paraId="4358528E" w14:textId="7CFD6F52" w:rsidR="007F557C" w:rsidRDefault="001C49F2" w:rsidP="004C720E">
      <w:pPr>
        <w:pStyle w:val="NoSpacing"/>
      </w:pPr>
      <w:r>
        <w:tab/>
        <w:t xml:space="preserve">Every additional 5000 gallons </w:t>
      </w:r>
      <w:r w:rsidR="00F3078A">
        <w:t>would be the same increase</w:t>
      </w:r>
    </w:p>
    <w:p w14:paraId="74ED8097" w14:textId="2949BE01" w:rsidR="008B6D8A" w:rsidRDefault="008B6D8A" w:rsidP="004C720E">
      <w:pPr>
        <w:pStyle w:val="NoSpacing"/>
      </w:pPr>
    </w:p>
    <w:p w14:paraId="09CD867E" w14:textId="73BCE91F" w:rsidR="008B6D8A" w:rsidRDefault="008B6D8A" w:rsidP="004C720E">
      <w:pPr>
        <w:pStyle w:val="NoSpacing"/>
      </w:pPr>
      <w:r>
        <w:tab/>
      </w:r>
      <w:r w:rsidRPr="008B6D8A">
        <w:rPr>
          <w:b/>
          <w:bCs/>
        </w:rPr>
        <w:t>Irrigation</w:t>
      </w:r>
      <w:r>
        <w:tab/>
        <w:t>½ Share</w:t>
      </w:r>
      <w:r>
        <w:tab/>
      </w:r>
      <w:r>
        <w:tab/>
        <w:t>Current Rate</w:t>
      </w:r>
      <w:r>
        <w:tab/>
      </w:r>
      <w:r>
        <w:tab/>
        <w:t>Proposed Fee</w:t>
      </w:r>
    </w:p>
    <w:p w14:paraId="16E0D589" w14:textId="6A1AE4AA" w:rsidR="008B6D8A" w:rsidRDefault="008B6D8A" w:rsidP="004C720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$ 32.50</w:t>
      </w:r>
      <w:r>
        <w:tab/>
      </w:r>
      <w:r>
        <w:tab/>
      </w:r>
      <w:r>
        <w:tab/>
        <w:t>$ 35.00</w:t>
      </w:r>
    </w:p>
    <w:p w14:paraId="6F375A37" w14:textId="77777777" w:rsidR="008B6D8A" w:rsidRDefault="008B6D8A" w:rsidP="004C720E">
      <w:pPr>
        <w:pStyle w:val="NoSpacing"/>
      </w:pPr>
    </w:p>
    <w:p w14:paraId="6CFE62CE" w14:textId="72918437" w:rsidR="008B6D8A" w:rsidRDefault="008B6D8A" w:rsidP="004C720E">
      <w:pPr>
        <w:pStyle w:val="NoSpacing"/>
      </w:pPr>
      <w:r>
        <w:tab/>
      </w:r>
      <w:r w:rsidRPr="008B6D8A">
        <w:rPr>
          <w:b/>
          <w:bCs/>
        </w:rPr>
        <w:t>Police</w:t>
      </w:r>
      <w:r>
        <w:tab/>
      </w:r>
      <w:r>
        <w:tab/>
      </w:r>
      <w:r>
        <w:tab/>
      </w:r>
      <w:r>
        <w:tab/>
        <w:t>$ 20.00</w:t>
      </w:r>
      <w:r>
        <w:tab/>
      </w:r>
      <w:r>
        <w:tab/>
      </w:r>
      <w:r>
        <w:tab/>
        <w:t>$ 22.00</w:t>
      </w:r>
    </w:p>
    <w:p w14:paraId="7732ACB6" w14:textId="44597D9D" w:rsidR="008B6D8A" w:rsidRDefault="008B6D8A" w:rsidP="004C720E">
      <w:pPr>
        <w:pStyle w:val="NoSpacing"/>
      </w:pPr>
      <w:r>
        <w:tab/>
      </w:r>
      <w:r w:rsidRPr="008B6D8A">
        <w:rPr>
          <w:b/>
          <w:bCs/>
        </w:rPr>
        <w:t>Parks</w:t>
      </w:r>
      <w:r>
        <w:tab/>
      </w:r>
      <w:r>
        <w:tab/>
      </w:r>
      <w:r>
        <w:tab/>
      </w:r>
      <w:r>
        <w:tab/>
        <w:t>$ 3.00</w:t>
      </w:r>
      <w:r>
        <w:tab/>
      </w:r>
      <w:r>
        <w:tab/>
      </w:r>
      <w:r>
        <w:tab/>
        <w:t>$ 5.00</w:t>
      </w:r>
    </w:p>
    <w:p w14:paraId="075DE73D" w14:textId="7E2C1218" w:rsidR="00EA340F" w:rsidRDefault="006C7BE4" w:rsidP="0046206C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D7036" w14:textId="3AD27E28" w:rsidR="0083059E" w:rsidRDefault="00933087" w:rsidP="008B6D8A">
      <w:pPr>
        <w:pStyle w:val="NoSpacing"/>
        <w:ind w:firstLine="720"/>
      </w:pPr>
      <w:r>
        <w:t xml:space="preserve">There will </w:t>
      </w:r>
      <w:r w:rsidR="001D55D7">
        <w:t xml:space="preserve">also </w:t>
      </w:r>
      <w:r>
        <w:t xml:space="preserve">be an independent enterprise fund transfer hearing to discuss </w:t>
      </w:r>
      <w:r w:rsidR="00EA340F">
        <w:t xml:space="preserve">the intended </w:t>
      </w:r>
      <w:r>
        <w:t xml:space="preserve">transfer from the Water fund to the General fund in the amount of $25,000.00, which is </w:t>
      </w:r>
      <w:r w:rsidR="00E346BD">
        <w:t>6</w:t>
      </w:r>
      <w:r w:rsidR="003E2C70">
        <w:t>.</w:t>
      </w:r>
      <w:r w:rsidR="00E2280A">
        <w:t>6</w:t>
      </w:r>
      <w:r w:rsidR="00E346BD">
        <w:t>0</w:t>
      </w:r>
      <w:r w:rsidR="00C62AE5">
        <w:t xml:space="preserve"> </w:t>
      </w:r>
      <w:r>
        <w:t xml:space="preserve">% of the total </w:t>
      </w:r>
      <w:r w:rsidR="00E346BD">
        <w:t xml:space="preserve">$378,900.00 </w:t>
      </w:r>
      <w:r>
        <w:t xml:space="preserve">expenses of the </w:t>
      </w:r>
      <w:r w:rsidR="00E346BD">
        <w:t>FY26</w:t>
      </w:r>
      <w:r w:rsidR="00677C5B">
        <w:t xml:space="preserve"> water</w:t>
      </w:r>
      <w:r>
        <w:t xml:space="preserve"> budget.</w:t>
      </w:r>
    </w:p>
    <w:p w14:paraId="7B3FBED1" w14:textId="61E09416" w:rsidR="008F20B4" w:rsidRDefault="00933087" w:rsidP="008B6D8A">
      <w:pPr>
        <w:pStyle w:val="NoSpacing"/>
        <w:ind w:firstLine="720"/>
      </w:pPr>
      <w:r>
        <w:t xml:space="preserve">The hearings will begin at </w:t>
      </w:r>
      <w:r w:rsidR="00677C5B">
        <w:t>7</w:t>
      </w:r>
      <w:r>
        <w:t>:</w:t>
      </w:r>
      <w:r w:rsidR="00EA340F">
        <w:t>0</w:t>
      </w:r>
      <w:r>
        <w:t>0 p.m., Thursday</w:t>
      </w:r>
      <w:r w:rsidR="002C0601">
        <w:t>,</w:t>
      </w:r>
      <w:r>
        <w:t xml:space="preserve"> June </w:t>
      </w:r>
      <w:r w:rsidR="00E346BD">
        <w:t>19</w:t>
      </w:r>
      <w:r w:rsidR="00EA340F">
        <w:t xml:space="preserve">, </w:t>
      </w:r>
      <w:r w:rsidR="00AA2514">
        <w:t>202</w:t>
      </w:r>
      <w:r w:rsidR="00E346BD">
        <w:t>5</w:t>
      </w:r>
      <w:r w:rsidR="00AA2514">
        <w:t>,</w:t>
      </w:r>
      <w:r>
        <w:t xml:space="preserve"> at the Moroni City Community Center, 80 South 200 West.</w:t>
      </w:r>
      <w:r w:rsidR="00D23989">
        <w:t xml:space="preserve">  If you are unable to attend the public hearings, Moroni City Council welcomes any written comments that can be delivered or mailed to Moroni City C/O Carol Haskins, Recorder at 80 South 200 West, PO BOX 870, Moroni, UT, 84646 during regular posted business hours or emailed to recorder@moronicity.org.</w:t>
      </w:r>
    </w:p>
    <w:p w14:paraId="1D342DED" w14:textId="23EFA96A" w:rsidR="008F20B4" w:rsidRDefault="008F20B4" w:rsidP="008B6D8A">
      <w:pPr>
        <w:pStyle w:val="NoSpacing"/>
        <w:ind w:firstLine="720"/>
      </w:pPr>
      <w:r>
        <w:t>You may view a copy of the proposed 202</w:t>
      </w:r>
      <w:r w:rsidR="00D77AE4">
        <w:t>5</w:t>
      </w:r>
      <w:r>
        <w:t>-202</w:t>
      </w:r>
      <w:r w:rsidR="00D77AE4">
        <w:t>6</w:t>
      </w:r>
      <w:r>
        <w:t xml:space="preserve"> budget at the Recorder’s office during regular business hours</w:t>
      </w:r>
      <w:r w:rsidR="00AA2514">
        <w:t>, on o</w:t>
      </w:r>
      <w:r w:rsidR="00A72238">
        <w:t>u</w:t>
      </w:r>
      <w:r w:rsidR="00AA2514">
        <w:t xml:space="preserve">r webpage: </w:t>
      </w:r>
      <w:hyperlink r:id="rId8" w:history="1">
        <w:r w:rsidR="00AA2514" w:rsidRPr="006573AC">
          <w:rPr>
            <w:rStyle w:val="Hyperlink"/>
          </w:rPr>
          <w:t>www.moronicity.org</w:t>
        </w:r>
      </w:hyperlink>
      <w:r w:rsidR="00AA2514">
        <w:t xml:space="preserve"> </w:t>
      </w:r>
      <w:r>
        <w:t xml:space="preserve"> and online at the Utah Public Notice Website: </w:t>
      </w:r>
      <w:hyperlink r:id="rId9" w:history="1">
        <w:r w:rsidRPr="00A34BAC">
          <w:rPr>
            <w:rStyle w:val="Hyperlink"/>
          </w:rPr>
          <w:t>https://utah.gov/pmn/index.html</w:t>
        </w:r>
      </w:hyperlink>
      <w:r>
        <w:t xml:space="preserve">. </w:t>
      </w:r>
    </w:p>
    <w:bookmarkEnd w:id="0"/>
    <w:p w14:paraId="69A4C95D" w14:textId="77777777" w:rsidR="00AA2514" w:rsidRDefault="00AA2514" w:rsidP="00933087">
      <w:pPr>
        <w:pStyle w:val="NoSpacing"/>
        <w:rPr>
          <w:rFonts w:cstheme="minorHAnsi"/>
          <w:bCs/>
          <w:sz w:val="24"/>
          <w:szCs w:val="24"/>
        </w:rPr>
      </w:pPr>
    </w:p>
    <w:p w14:paraId="481FC0AE" w14:textId="35199C54" w:rsidR="007C5884" w:rsidRDefault="008B6D8A" w:rsidP="00933087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Respectfully</w:t>
      </w:r>
      <w:r w:rsidR="007C5884">
        <w:rPr>
          <w:rFonts w:cstheme="minorHAnsi"/>
          <w:bCs/>
          <w:sz w:val="24"/>
          <w:szCs w:val="24"/>
        </w:rPr>
        <w:t xml:space="preserve">, </w:t>
      </w:r>
    </w:p>
    <w:p w14:paraId="7A810FFE" w14:textId="77777777" w:rsidR="008B6D8A" w:rsidRDefault="008B6D8A" w:rsidP="00933087">
      <w:pPr>
        <w:pStyle w:val="NoSpacing"/>
        <w:rPr>
          <w:rFonts w:cstheme="minorHAnsi"/>
          <w:bCs/>
          <w:sz w:val="24"/>
          <w:szCs w:val="24"/>
        </w:rPr>
      </w:pPr>
    </w:p>
    <w:p w14:paraId="3B678DE8" w14:textId="788958C7" w:rsidR="00933087" w:rsidRPr="00AA109D" w:rsidRDefault="00933087" w:rsidP="00933087">
      <w:pPr>
        <w:pStyle w:val="NoSpacing"/>
        <w:rPr>
          <w:rFonts w:ascii="Bradley Hand ITC" w:hAnsi="Bradley Hand ITC"/>
          <w:b/>
          <w:sz w:val="28"/>
          <w:szCs w:val="28"/>
        </w:rPr>
      </w:pPr>
      <w:r w:rsidRPr="00AA109D">
        <w:rPr>
          <w:rFonts w:ascii="Bradley Hand ITC" w:hAnsi="Bradley Hand ITC"/>
          <w:b/>
          <w:sz w:val="28"/>
          <w:szCs w:val="28"/>
        </w:rPr>
        <w:t>Carol Haskins</w:t>
      </w:r>
    </w:p>
    <w:p w14:paraId="58A88161" w14:textId="4DADFFD8" w:rsidR="00F21DFB" w:rsidRPr="001D55D7" w:rsidRDefault="00933087" w:rsidP="001D55D7">
      <w:pPr>
        <w:pStyle w:val="NoSpacing"/>
      </w:pPr>
      <w:r>
        <w:t>Moroni City Recorder</w:t>
      </w:r>
    </w:p>
    <w:sectPr w:rsidR="00F21DFB" w:rsidRPr="001D55D7" w:rsidSect="00AA2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1CF5" w14:textId="77777777" w:rsidR="009808F6" w:rsidRDefault="009808F6" w:rsidP="00216E97">
      <w:pPr>
        <w:spacing w:after="0" w:line="240" w:lineRule="auto"/>
      </w:pPr>
      <w:r>
        <w:separator/>
      </w:r>
    </w:p>
  </w:endnote>
  <w:endnote w:type="continuationSeparator" w:id="0">
    <w:p w14:paraId="0968E09D" w14:textId="77777777" w:rsidR="009808F6" w:rsidRDefault="009808F6" w:rsidP="002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5544" w14:textId="77777777" w:rsidR="00216E97" w:rsidRDefault="00216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985D" w14:textId="77777777" w:rsidR="00216E97" w:rsidRDefault="00216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F86D" w14:textId="77777777" w:rsidR="00216E97" w:rsidRDefault="00216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C928" w14:textId="77777777" w:rsidR="009808F6" w:rsidRDefault="009808F6" w:rsidP="00216E97">
      <w:pPr>
        <w:spacing w:after="0" w:line="240" w:lineRule="auto"/>
      </w:pPr>
      <w:r>
        <w:separator/>
      </w:r>
    </w:p>
  </w:footnote>
  <w:footnote w:type="continuationSeparator" w:id="0">
    <w:p w14:paraId="1698BACF" w14:textId="77777777" w:rsidR="009808F6" w:rsidRDefault="009808F6" w:rsidP="002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F9CA" w14:textId="77777777" w:rsidR="00216E97" w:rsidRDefault="00216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4293" w14:textId="77777777" w:rsidR="00216E97" w:rsidRDefault="00216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7163" w14:textId="77777777" w:rsidR="00216E97" w:rsidRDefault="00216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1D36"/>
    <w:multiLevelType w:val="hybridMultilevel"/>
    <w:tmpl w:val="AF68C3D0"/>
    <w:lvl w:ilvl="0" w:tplc="1848DD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920A5"/>
    <w:multiLevelType w:val="hybridMultilevel"/>
    <w:tmpl w:val="BFD29696"/>
    <w:lvl w:ilvl="0" w:tplc="E67CA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12105"/>
    <w:multiLevelType w:val="hybridMultilevel"/>
    <w:tmpl w:val="4D4CD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6CBA"/>
    <w:multiLevelType w:val="hybridMultilevel"/>
    <w:tmpl w:val="67F49C02"/>
    <w:lvl w:ilvl="0" w:tplc="C0029E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6F7D5E"/>
    <w:multiLevelType w:val="hybridMultilevel"/>
    <w:tmpl w:val="21D0750E"/>
    <w:lvl w:ilvl="0" w:tplc="C5C001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D927E2"/>
    <w:multiLevelType w:val="hybridMultilevel"/>
    <w:tmpl w:val="510CBC76"/>
    <w:lvl w:ilvl="0" w:tplc="8A3210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6E36"/>
    <w:multiLevelType w:val="hybridMultilevel"/>
    <w:tmpl w:val="65B67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9107C"/>
    <w:multiLevelType w:val="hybridMultilevel"/>
    <w:tmpl w:val="56EA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39A8"/>
    <w:multiLevelType w:val="hybridMultilevel"/>
    <w:tmpl w:val="C5A4A598"/>
    <w:lvl w:ilvl="0" w:tplc="1C4630E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E1834"/>
    <w:multiLevelType w:val="hybridMultilevel"/>
    <w:tmpl w:val="4212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5F05"/>
    <w:multiLevelType w:val="hybridMultilevel"/>
    <w:tmpl w:val="A650DC12"/>
    <w:lvl w:ilvl="0" w:tplc="7F64C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C7B49"/>
    <w:multiLevelType w:val="hybridMultilevel"/>
    <w:tmpl w:val="9C304FF4"/>
    <w:lvl w:ilvl="0" w:tplc="B4EA0E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C0283"/>
    <w:multiLevelType w:val="hybridMultilevel"/>
    <w:tmpl w:val="7F1CD952"/>
    <w:lvl w:ilvl="0" w:tplc="AB2C5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8742">
    <w:abstractNumId w:val="7"/>
  </w:num>
  <w:num w:numId="2" w16cid:durableId="929044015">
    <w:abstractNumId w:val="9"/>
  </w:num>
  <w:num w:numId="3" w16cid:durableId="1429160314">
    <w:abstractNumId w:val="2"/>
  </w:num>
  <w:num w:numId="4" w16cid:durableId="1309477280">
    <w:abstractNumId w:val="6"/>
  </w:num>
  <w:num w:numId="5" w16cid:durableId="213272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3750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886647">
    <w:abstractNumId w:val="5"/>
  </w:num>
  <w:num w:numId="8" w16cid:durableId="274410501">
    <w:abstractNumId w:val="8"/>
  </w:num>
  <w:num w:numId="9" w16cid:durableId="179201180">
    <w:abstractNumId w:val="11"/>
  </w:num>
  <w:num w:numId="10" w16cid:durableId="1571571865">
    <w:abstractNumId w:val="12"/>
  </w:num>
  <w:num w:numId="11" w16cid:durableId="707148269">
    <w:abstractNumId w:val="1"/>
  </w:num>
  <w:num w:numId="12" w16cid:durableId="1689717152">
    <w:abstractNumId w:val="0"/>
  </w:num>
  <w:num w:numId="13" w16cid:durableId="720372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07"/>
    <w:rsid w:val="00012080"/>
    <w:rsid w:val="00012939"/>
    <w:rsid w:val="0001518D"/>
    <w:rsid w:val="0003172A"/>
    <w:rsid w:val="00040F25"/>
    <w:rsid w:val="00042EAD"/>
    <w:rsid w:val="00044E75"/>
    <w:rsid w:val="00053588"/>
    <w:rsid w:val="000551F1"/>
    <w:rsid w:val="00064F93"/>
    <w:rsid w:val="0008167F"/>
    <w:rsid w:val="000A7E91"/>
    <w:rsid w:val="000C653B"/>
    <w:rsid w:val="000D2FC7"/>
    <w:rsid w:val="001044DE"/>
    <w:rsid w:val="001554B8"/>
    <w:rsid w:val="00172B84"/>
    <w:rsid w:val="001B0DD7"/>
    <w:rsid w:val="001C21DA"/>
    <w:rsid w:val="001C49F2"/>
    <w:rsid w:val="001C4EF5"/>
    <w:rsid w:val="001C5459"/>
    <w:rsid w:val="001D55D7"/>
    <w:rsid w:val="001F081A"/>
    <w:rsid w:val="001F31CF"/>
    <w:rsid w:val="0020024E"/>
    <w:rsid w:val="00216E97"/>
    <w:rsid w:val="00223423"/>
    <w:rsid w:val="00227793"/>
    <w:rsid w:val="00250D75"/>
    <w:rsid w:val="002562E2"/>
    <w:rsid w:val="00275EC5"/>
    <w:rsid w:val="002A772D"/>
    <w:rsid w:val="002C0601"/>
    <w:rsid w:val="002C5115"/>
    <w:rsid w:val="0031126A"/>
    <w:rsid w:val="00367E2A"/>
    <w:rsid w:val="00375366"/>
    <w:rsid w:val="00377780"/>
    <w:rsid w:val="00385FC1"/>
    <w:rsid w:val="0039044F"/>
    <w:rsid w:val="00396F12"/>
    <w:rsid w:val="003A1B23"/>
    <w:rsid w:val="003E2C70"/>
    <w:rsid w:val="00425E98"/>
    <w:rsid w:val="004262E2"/>
    <w:rsid w:val="00437BFA"/>
    <w:rsid w:val="0044076F"/>
    <w:rsid w:val="004415EF"/>
    <w:rsid w:val="004616EB"/>
    <w:rsid w:val="0046206C"/>
    <w:rsid w:val="0047638B"/>
    <w:rsid w:val="004A27FB"/>
    <w:rsid w:val="004C0BC2"/>
    <w:rsid w:val="004C652E"/>
    <w:rsid w:val="004C720E"/>
    <w:rsid w:val="004D0446"/>
    <w:rsid w:val="004F614F"/>
    <w:rsid w:val="005017BB"/>
    <w:rsid w:val="00504ACE"/>
    <w:rsid w:val="00514B03"/>
    <w:rsid w:val="00522A36"/>
    <w:rsid w:val="00523D3D"/>
    <w:rsid w:val="0052756C"/>
    <w:rsid w:val="00534080"/>
    <w:rsid w:val="005D7808"/>
    <w:rsid w:val="005E09B5"/>
    <w:rsid w:val="005E5BB0"/>
    <w:rsid w:val="005F007B"/>
    <w:rsid w:val="0060050C"/>
    <w:rsid w:val="00645E7E"/>
    <w:rsid w:val="006556FA"/>
    <w:rsid w:val="0067417A"/>
    <w:rsid w:val="006768FF"/>
    <w:rsid w:val="00677747"/>
    <w:rsid w:val="00677C5B"/>
    <w:rsid w:val="00694908"/>
    <w:rsid w:val="00695209"/>
    <w:rsid w:val="006A4BA7"/>
    <w:rsid w:val="006C7BE4"/>
    <w:rsid w:val="00703C81"/>
    <w:rsid w:val="00726452"/>
    <w:rsid w:val="00736686"/>
    <w:rsid w:val="00741A41"/>
    <w:rsid w:val="007745AB"/>
    <w:rsid w:val="007A0915"/>
    <w:rsid w:val="007C5884"/>
    <w:rsid w:val="007D22B0"/>
    <w:rsid w:val="007D7377"/>
    <w:rsid w:val="007F557C"/>
    <w:rsid w:val="008129E4"/>
    <w:rsid w:val="008227F7"/>
    <w:rsid w:val="0083059E"/>
    <w:rsid w:val="00846728"/>
    <w:rsid w:val="00855ABF"/>
    <w:rsid w:val="00861F73"/>
    <w:rsid w:val="008735D7"/>
    <w:rsid w:val="00882F40"/>
    <w:rsid w:val="00890683"/>
    <w:rsid w:val="008B6D8A"/>
    <w:rsid w:val="008F20B4"/>
    <w:rsid w:val="00933087"/>
    <w:rsid w:val="009428E0"/>
    <w:rsid w:val="00967A0E"/>
    <w:rsid w:val="009808F6"/>
    <w:rsid w:val="0099206D"/>
    <w:rsid w:val="009E74F5"/>
    <w:rsid w:val="00A27919"/>
    <w:rsid w:val="00A30992"/>
    <w:rsid w:val="00A34D5D"/>
    <w:rsid w:val="00A55C33"/>
    <w:rsid w:val="00A63553"/>
    <w:rsid w:val="00A65D80"/>
    <w:rsid w:val="00A72238"/>
    <w:rsid w:val="00A94130"/>
    <w:rsid w:val="00AA2514"/>
    <w:rsid w:val="00AC68F3"/>
    <w:rsid w:val="00AC6A67"/>
    <w:rsid w:val="00B20247"/>
    <w:rsid w:val="00B31D08"/>
    <w:rsid w:val="00B4241F"/>
    <w:rsid w:val="00B7748C"/>
    <w:rsid w:val="00B81CBD"/>
    <w:rsid w:val="00BE414A"/>
    <w:rsid w:val="00C209D0"/>
    <w:rsid w:val="00C3096E"/>
    <w:rsid w:val="00C30B87"/>
    <w:rsid w:val="00C62AE5"/>
    <w:rsid w:val="00C711A3"/>
    <w:rsid w:val="00C72B2C"/>
    <w:rsid w:val="00C73C84"/>
    <w:rsid w:val="00C7729C"/>
    <w:rsid w:val="00CC6BFE"/>
    <w:rsid w:val="00CD4FAE"/>
    <w:rsid w:val="00CF553F"/>
    <w:rsid w:val="00D23989"/>
    <w:rsid w:val="00D42C95"/>
    <w:rsid w:val="00D77AE4"/>
    <w:rsid w:val="00D91701"/>
    <w:rsid w:val="00D919F3"/>
    <w:rsid w:val="00DA4382"/>
    <w:rsid w:val="00DA6B38"/>
    <w:rsid w:val="00E2280A"/>
    <w:rsid w:val="00E346BD"/>
    <w:rsid w:val="00E358D5"/>
    <w:rsid w:val="00E40E74"/>
    <w:rsid w:val="00E55154"/>
    <w:rsid w:val="00E96A9E"/>
    <w:rsid w:val="00EA340F"/>
    <w:rsid w:val="00EB4807"/>
    <w:rsid w:val="00EB6A9C"/>
    <w:rsid w:val="00EC5310"/>
    <w:rsid w:val="00F21DFB"/>
    <w:rsid w:val="00F24AF0"/>
    <w:rsid w:val="00F3078A"/>
    <w:rsid w:val="00F47350"/>
    <w:rsid w:val="00F611DD"/>
    <w:rsid w:val="00F678C7"/>
    <w:rsid w:val="00F72EF2"/>
    <w:rsid w:val="00F758A0"/>
    <w:rsid w:val="00F93AF3"/>
    <w:rsid w:val="00FC4228"/>
    <w:rsid w:val="00FC4B61"/>
    <w:rsid w:val="00FD16A2"/>
    <w:rsid w:val="00FE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D27B"/>
  <w15:docId w15:val="{46741E93-33E0-4788-98A0-FE61FE98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6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5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9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9E4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97"/>
  </w:style>
  <w:style w:type="paragraph" w:styleId="Footer">
    <w:name w:val="footer"/>
    <w:basedOn w:val="Normal"/>
    <w:link w:val="FooterChar"/>
    <w:uiPriority w:val="99"/>
    <w:unhideWhenUsed/>
    <w:rsid w:val="0021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97"/>
  </w:style>
  <w:style w:type="character" w:customStyle="1" w:styleId="Heading1Char">
    <w:name w:val="Heading 1 Char"/>
    <w:basedOn w:val="DefaultParagraphFont"/>
    <w:link w:val="Heading1"/>
    <w:uiPriority w:val="9"/>
    <w:rsid w:val="00385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onicit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tah.gov/pmn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Bailey</dc:creator>
  <cp:lastModifiedBy>Moroni City</cp:lastModifiedBy>
  <cp:revision>15</cp:revision>
  <cp:lastPrinted>2025-06-05T15:33:00Z</cp:lastPrinted>
  <dcterms:created xsi:type="dcterms:W3CDTF">2025-06-03T16:40:00Z</dcterms:created>
  <dcterms:modified xsi:type="dcterms:W3CDTF">2025-06-05T15:39:00Z</dcterms:modified>
</cp:coreProperties>
</file>