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DF70A" w14:textId="77777777" w:rsidR="00575853" w:rsidRPr="0051150F" w:rsidRDefault="00712E57">
      <w:pPr>
        <w:spacing w:after="0" w:line="259" w:lineRule="auto"/>
        <w:ind w:left="207" w:firstLine="0"/>
        <w:jc w:val="center"/>
        <w:rPr>
          <w:color w:val="auto"/>
        </w:rPr>
      </w:pPr>
      <w:r w:rsidRPr="0051150F">
        <w:rPr>
          <w:b/>
          <w:color w:val="auto"/>
          <w:sz w:val="96"/>
        </w:rPr>
        <w:t xml:space="preserve"> </w:t>
      </w:r>
    </w:p>
    <w:p w14:paraId="344B26E8" w14:textId="77777777" w:rsidR="00575853" w:rsidRPr="0051150F" w:rsidRDefault="00712E57">
      <w:pPr>
        <w:spacing w:after="908" w:line="259" w:lineRule="auto"/>
        <w:ind w:left="22" w:firstLine="0"/>
        <w:rPr>
          <w:color w:val="auto"/>
        </w:rPr>
      </w:pPr>
      <w:r w:rsidRPr="0051150F">
        <w:rPr>
          <w:color w:val="auto"/>
        </w:rPr>
        <w:t xml:space="preserve"> </w:t>
      </w:r>
    </w:p>
    <w:p w14:paraId="422057E4" w14:textId="0CDA212D" w:rsidR="00575853" w:rsidRPr="0051150F" w:rsidRDefault="00712E57">
      <w:pPr>
        <w:spacing w:after="155" w:line="216" w:lineRule="auto"/>
        <w:ind w:left="4702" w:right="895" w:hanging="3600"/>
        <w:jc w:val="both"/>
        <w:rPr>
          <w:color w:val="auto"/>
        </w:rPr>
      </w:pPr>
      <w:r w:rsidRPr="0051150F">
        <w:rPr>
          <w:b/>
          <w:color w:val="auto"/>
          <w:sz w:val="96"/>
        </w:rPr>
        <w:t xml:space="preserve">  </w:t>
      </w:r>
    </w:p>
    <w:p w14:paraId="6DD895D9" w14:textId="77777777" w:rsidR="00575853" w:rsidRPr="0051150F" w:rsidRDefault="00712E57">
      <w:pPr>
        <w:spacing w:after="0" w:line="259" w:lineRule="auto"/>
        <w:ind w:left="207" w:firstLine="0"/>
        <w:jc w:val="center"/>
        <w:rPr>
          <w:color w:val="auto"/>
        </w:rPr>
      </w:pPr>
      <w:r w:rsidRPr="0051150F">
        <w:rPr>
          <w:b/>
          <w:color w:val="auto"/>
          <w:sz w:val="96"/>
        </w:rPr>
        <w:t xml:space="preserve"> </w:t>
      </w:r>
    </w:p>
    <w:p w14:paraId="28F9A5BD" w14:textId="313426A9" w:rsidR="00575853" w:rsidRPr="0051150F" w:rsidRDefault="00712E57" w:rsidP="0051150F">
      <w:pPr>
        <w:spacing w:after="0" w:line="259" w:lineRule="auto"/>
        <w:ind w:left="1073" w:firstLine="0"/>
        <w:jc w:val="center"/>
        <w:rPr>
          <w:color w:val="auto"/>
        </w:rPr>
      </w:pPr>
      <w:r w:rsidRPr="0051150F">
        <w:rPr>
          <w:b/>
          <w:color w:val="auto"/>
          <w:sz w:val="96"/>
        </w:rPr>
        <w:t>PROCUREMENT</w:t>
      </w:r>
    </w:p>
    <w:p w14:paraId="0C57F989" w14:textId="77777777" w:rsidR="00575853" w:rsidRPr="0051150F" w:rsidRDefault="00712E57">
      <w:pPr>
        <w:spacing w:after="170" w:line="259" w:lineRule="auto"/>
        <w:ind w:left="22" w:firstLine="0"/>
        <w:rPr>
          <w:color w:val="auto"/>
        </w:rPr>
      </w:pPr>
      <w:r w:rsidRPr="0051150F">
        <w:rPr>
          <w:color w:val="auto"/>
        </w:rPr>
        <w:t xml:space="preserve"> </w:t>
      </w:r>
    </w:p>
    <w:p w14:paraId="260CC740" w14:textId="77777777" w:rsidR="00575853" w:rsidRPr="0051150F" w:rsidRDefault="00712E57">
      <w:pPr>
        <w:spacing w:after="167" w:line="259" w:lineRule="auto"/>
        <w:ind w:left="22" w:firstLine="0"/>
        <w:rPr>
          <w:color w:val="auto"/>
        </w:rPr>
      </w:pPr>
      <w:r w:rsidRPr="0051150F">
        <w:rPr>
          <w:color w:val="auto"/>
        </w:rPr>
        <w:t xml:space="preserve"> </w:t>
      </w:r>
    </w:p>
    <w:sdt>
      <w:sdtPr>
        <w:id w:val="29157234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noProof/>
          <w:color w:val="000000"/>
          <w:kern w:val="2"/>
          <w:sz w:val="22"/>
          <w:szCs w:val="24"/>
          <w14:ligatures w14:val="standardContextual"/>
        </w:rPr>
      </w:sdtEndPr>
      <w:sdtContent>
        <w:p w14:paraId="00F7742C" w14:textId="78DE7163" w:rsidR="00155662" w:rsidRDefault="00155662">
          <w:pPr>
            <w:pStyle w:val="TOCHeading"/>
          </w:pPr>
          <w:r>
            <w:t>Table of Contents</w:t>
          </w:r>
        </w:p>
        <w:p w14:paraId="6053825A" w14:textId="45BEC4BA" w:rsidR="007A5E36" w:rsidRDefault="00155662">
          <w:pPr>
            <w:pStyle w:val="TOC1"/>
            <w:tabs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309550" w:history="1">
            <w:r w:rsidR="007A5E36"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Revision Table</w:t>
            </w:r>
            <w:r w:rsidR="007A5E36">
              <w:rPr>
                <w:noProof/>
                <w:webHidden/>
              </w:rPr>
              <w:tab/>
            </w:r>
            <w:r w:rsidR="007A5E36">
              <w:rPr>
                <w:noProof/>
                <w:webHidden/>
              </w:rPr>
              <w:fldChar w:fldCharType="begin"/>
            </w:r>
            <w:r w:rsidR="007A5E36">
              <w:rPr>
                <w:noProof/>
                <w:webHidden/>
              </w:rPr>
              <w:instrText xml:space="preserve"> PAGEREF _Toc182309550 \h </w:instrText>
            </w:r>
            <w:r w:rsidR="007A5E36">
              <w:rPr>
                <w:noProof/>
                <w:webHidden/>
              </w:rPr>
            </w:r>
            <w:r w:rsidR="007A5E36">
              <w:rPr>
                <w:noProof/>
                <w:webHidden/>
              </w:rPr>
              <w:fldChar w:fldCharType="separate"/>
            </w:r>
            <w:r w:rsidR="007A5E36">
              <w:rPr>
                <w:noProof/>
                <w:webHidden/>
              </w:rPr>
              <w:t>2</w:t>
            </w:r>
            <w:r w:rsidR="007A5E36">
              <w:rPr>
                <w:noProof/>
                <w:webHidden/>
              </w:rPr>
              <w:fldChar w:fldCharType="end"/>
            </w:r>
          </w:hyperlink>
        </w:p>
        <w:p w14:paraId="7EBC8E0F" w14:textId="5C5D89D9" w:rsidR="007A5E36" w:rsidRDefault="007A5E36">
          <w:pPr>
            <w:pStyle w:val="TOC1"/>
            <w:tabs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hyperlink w:anchor="_Toc182309551" w:history="1"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I.</w:t>
            </w:r>
            <w:r w:rsidRPr="008F7BCB">
              <w:rPr>
                <w:rStyle w:val="Hyperlink"/>
                <w:rFonts w:ascii="Arial" w:eastAsia="Arial" w:hAnsi="Arial" w:cs="Arial"/>
                <w:noProof/>
                <w:vertAlign w:val="subscript"/>
              </w:rPr>
              <w:t xml:space="preserve"> </w:t>
            </w:r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2CDB6" w14:textId="00BE1413" w:rsidR="007A5E36" w:rsidRDefault="007A5E36">
          <w:pPr>
            <w:pStyle w:val="TOC1"/>
            <w:tabs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hyperlink w:anchor="_Toc182309552" w:history="1"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III.</w:t>
            </w:r>
            <w:r w:rsidRPr="008F7BCB">
              <w:rPr>
                <w:rStyle w:val="Hyperlink"/>
                <w:rFonts w:ascii="Arial" w:eastAsia="Arial" w:hAnsi="Arial" w:cs="Arial"/>
                <w:noProof/>
                <w:vertAlign w:val="subscript"/>
              </w:rPr>
              <w:t xml:space="preserve">  </w:t>
            </w:r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Purchase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7D6DD" w14:textId="14F26642" w:rsidR="007A5E36" w:rsidRDefault="007A5E36">
          <w:pPr>
            <w:pStyle w:val="TOC1"/>
            <w:tabs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hyperlink w:anchor="_Toc182309563" w:history="1"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IV.</w:t>
            </w:r>
            <w:r w:rsidRPr="008F7BCB">
              <w:rPr>
                <w:rStyle w:val="Hyperlink"/>
                <w:rFonts w:ascii="Arial" w:eastAsia="Arial" w:hAnsi="Arial" w:cs="Arial"/>
                <w:noProof/>
                <w:vertAlign w:val="subscript"/>
              </w:rPr>
              <w:t xml:space="preserve"> </w:t>
            </w:r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AB440" w14:textId="50C898F1" w:rsidR="007A5E36" w:rsidRDefault="007A5E36">
          <w:pPr>
            <w:pStyle w:val="TOC1"/>
            <w:tabs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hyperlink w:anchor="_Toc182309564" w:history="1"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V.</w:t>
            </w:r>
            <w:r w:rsidRPr="008F7BCB">
              <w:rPr>
                <w:rStyle w:val="Hyperlink"/>
                <w:rFonts w:ascii="Arial" w:eastAsia="Arial" w:hAnsi="Arial" w:cs="Arial"/>
                <w:noProof/>
                <w:vertAlign w:val="subscript"/>
              </w:rPr>
              <w:t xml:space="preserve"> </w:t>
            </w:r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Bid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1DE88" w14:textId="30399A9A" w:rsidR="007A5E36" w:rsidRDefault="007A5E36">
          <w:pPr>
            <w:pStyle w:val="TOC1"/>
            <w:tabs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hyperlink w:anchor="_Toc182309565" w:history="1"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V. Evaluation Committee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D4CF" w14:textId="131BD8AE" w:rsidR="007A5E36" w:rsidRDefault="007A5E36">
          <w:pPr>
            <w:pStyle w:val="TOC1"/>
            <w:tabs>
              <w:tab w:val="left" w:pos="905"/>
              <w:tab w:val="right" w:leader="dot" w:pos="977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4"/>
            </w:rPr>
          </w:pPr>
          <w:hyperlink w:anchor="_Toc182309566" w:history="1">
            <w:r w:rsidRPr="008F7BCB">
              <w:rPr>
                <w:rStyle w:val="Hyperlink"/>
                <w:rFonts w:ascii="Times New Roman" w:eastAsia="Times New Roman" w:hAnsi="Times New Roman" w:cs="Times New Roman"/>
                <w:noProof/>
              </w:rPr>
              <w:t>VI. Bonding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06426" w14:textId="276AD507" w:rsidR="00155662" w:rsidRDefault="00155662">
          <w:r>
            <w:rPr>
              <w:b/>
              <w:bCs/>
              <w:noProof/>
            </w:rPr>
            <w:fldChar w:fldCharType="end"/>
          </w:r>
        </w:p>
      </w:sdtContent>
    </w:sdt>
    <w:p w14:paraId="5344AADB" w14:textId="77777777" w:rsidR="00575853" w:rsidRPr="0051150F" w:rsidRDefault="00712E57">
      <w:pPr>
        <w:spacing w:after="0" w:line="259" w:lineRule="auto"/>
        <w:ind w:left="22" w:firstLine="0"/>
        <w:rPr>
          <w:color w:val="auto"/>
        </w:rPr>
      </w:pPr>
      <w:r w:rsidRPr="0051150F">
        <w:rPr>
          <w:color w:val="auto"/>
        </w:rPr>
        <w:t xml:space="preserve"> </w:t>
      </w:r>
    </w:p>
    <w:p w14:paraId="01EB08EF" w14:textId="69E8AC93" w:rsidR="00575853" w:rsidRPr="0051150F" w:rsidRDefault="00575853">
      <w:pPr>
        <w:spacing w:after="170" w:line="259" w:lineRule="auto"/>
        <w:ind w:left="22" w:firstLine="0"/>
        <w:rPr>
          <w:color w:val="auto"/>
        </w:rPr>
      </w:pPr>
    </w:p>
    <w:p w14:paraId="30C279F0" w14:textId="77777777" w:rsidR="00575853" w:rsidRPr="0051150F" w:rsidRDefault="00712E57">
      <w:pPr>
        <w:spacing w:after="276" w:line="259" w:lineRule="auto"/>
        <w:ind w:left="22" w:firstLine="0"/>
        <w:rPr>
          <w:color w:val="auto"/>
        </w:rPr>
      </w:pPr>
      <w:r w:rsidRPr="0051150F">
        <w:rPr>
          <w:color w:val="auto"/>
        </w:rPr>
        <w:t xml:space="preserve"> </w:t>
      </w:r>
    </w:p>
    <w:p w14:paraId="2FCCC01C" w14:textId="77777777" w:rsidR="00575853" w:rsidRPr="0051150F" w:rsidRDefault="00712E57">
      <w:pPr>
        <w:spacing w:after="0" w:line="259" w:lineRule="auto"/>
        <w:ind w:left="0" w:right="4978" w:firstLine="0"/>
        <w:jc w:val="right"/>
        <w:rPr>
          <w:color w:val="auto"/>
        </w:rPr>
      </w:pPr>
      <w:r w:rsidRPr="0051150F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51150F">
        <w:rPr>
          <w:rFonts w:ascii="Times New Roman" w:eastAsia="Times New Roman" w:hAnsi="Times New Roman" w:cs="Times New Roman"/>
          <w:color w:val="auto"/>
          <w:sz w:val="28"/>
        </w:rPr>
        <w:tab/>
      </w:r>
      <w:r w:rsidRPr="0051150F">
        <w:rPr>
          <w:b/>
          <w:color w:val="auto"/>
          <w:sz w:val="28"/>
        </w:rPr>
        <w:t xml:space="preserve"> </w:t>
      </w:r>
      <w:r w:rsidRPr="0051150F">
        <w:rPr>
          <w:color w:val="auto"/>
        </w:rPr>
        <w:br w:type="page"/>
      </w:r>
    </w:p>
    <w:p w14:paraId="5CF2CD6F" w14:textId="77777777" w:rsidR="00575853" w:rsidRPr="0051150F" w:rsidRDefault="00712E57">
      <w:pPr>
        <w:pStyle w:val="Heading1"/>
        <w:spacing w:after="0" w:line="259" w:lineRule="auto"/>
        <w:ind w:left="17"/>
        <w:rPr>
          <w:color w:val="auto"/>
        </w:rPr>
      </w:pPr>
      <w:bookmarkStart w:id="0" w:name="_Toc182309550"/>
      <w:r w:rsidRPr="0051150F">
        <w:rPr>
          <w:rFonts w:ascii="Times New Roman" w:eastAsia="Times New Roman" w:hAnsi="Times New Roman" w:cs="Times New Roman"/>
          <w:color w:val="auto"/>
          <w:sz w:val="28"/>
        </w:rPr>
        <w:lastRenderedPageBreak/>
        <w:t>Revision Table</w:t>
      </w:r>
      <w:bookmarkEnd w:id="0"/>
      <w:r w:rsidRPr="0051150F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tbl>
      <w:tblPr>
        <w:tblStyle w:val="TableGrid"/>
        <w:tblW w:w="9417" w:type="dxa"/>
        <w:tblInd w:w="28" w:type="dxa"/>
        <w:tblCellMar>
          <w:top w:w="2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1137"/>
        <w:gridCol w:w="1980"/>
        <w:gridCol w:w="6300"/>
      </w:tblGrid>
      <w:tr w:rsidR="0051150F" w:rsidRPr="0051150F" w14:paraId="0964A78D" w14:textId="77777777" w:rsidTr="001E2E80">
        <w:trPr>
          <w:trHeight w:val="563"/>
        </w:trPr>
        <w:tc>
          <w:tcPr>
            <w:tcW w:w="113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215E99" w:themeFill="text2" w:themeFillTint="BF"/>
          </w:tcPr>
          <w:p w14:paraId="058BCE28" w14:textId="665CE5C8" w:rsidR="00B37256" w:rsidRPr="0051150F" w:rsidRDefault="00B37256" w:rsidP="00B3725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1150F">
              <w:rPr>
                <w:b/>
                <w:color w:val="auto"/>
              </w:rPr>
              <w:t xml:space="preserve">Version </w:t>
            </w:r>
          </w:p>
        </w:tc>
        <w:tc>
          <w:tcPr>
            <w:tcW w:w="198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215E99" w:themeFill="text2" w:themeFillTint="BF"/>
          </w:tcPr>
          <w:p w14:paraId="5F708382" w14:textId="77777777" w:rsidR="00B37256" w:rsidRPr="0051150F" w:rsidRDefault="00B37256">
            <w:pPr>
              <w:spacing w:after="0" w:line="259" w:lineRule="auto"/>
              <w:ind w:left="1" w:firstLine="0"/>
              <w:rPr>
                <w:color w:val="auto"/>
              </w:rPr>
            </w:pPr>
            <w:r w:rsidRPr="0051150F">
              <w:rPr>
                <w:b/>
                <w:color w:val="auto"/>
              </w:rPr>
              <w:t xml:space="preserve">Effective Date </w:t>
            </w:r>
          </w:p>
        </w:tc>
        <w:tc>
          <w:tcPr>
            <w:tcW w:w="63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215E99" w:themeFill="text2" w:themeFillTint="BF"/>
          </w:tcPr>
          <w:p w14:paraId="0495FF02" w14:textId="77777777" w:rsidR="00B37256" w:rsidRPr="0051150F" w:rsidRDefault="00B3725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1150F">
              <w:rPr>
                <w:b/>
                <w:color w:val="auto"/>
              </w:rPr>
              <w:t xml:space="preserve">Summary of Revisions </w:t>
            </w:r>
          </w:p>
        </w:tc>
      </w:tr>
      <w:tr w:rsidR="0051150F" w:rsidRPr="0051150F" w14:paraId="7B45117B" w14:textId="77777777" w:rsidTr="00B37256">
        <w:trPr>
          <w:trHeight w:val="565"/>
        </w:trPr>
        <w:tc>
          <w:tcPr>
            <w:tcW w:w="113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57C8C0F" w14:textId="77777777" w:rsidR="00B37256" w:rsidRPr="0051150F" w:rsidRDefault="00B3725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1150F">
              <w:rPr>
                <w:color w:val="auto"/>
              </w:rPr>
              <w:t xml:space="preserve">1.1 </w:t>
            </w:r>
          </w:p>
        </w:tc>
        <w:tc>
          <w:tcPr>
            <w:tcW w:w="198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616125C" w14:textId="4B907182" w:rsidR="00B37256" w:rsidRPr="0051150F" w:rsidRDefault="00155662">
            <w:pPr>
              <w:spacing w:after="0" w:line="259" w:lineRule="auto"/>
              <w:ind w:left="1" w:firstLine="0"/>
              <w:rPr>
                <w:color w:val="auto"/>
              </w:rPr>
            </w:pPr>
            <w:r>
              <w:rPr>
                <w:color w:val="auto"/>
              </w:rPr>
              <w:t>December 9</w:t>
            </w:r>
            <w:r w:rsidR="00B37256" w:rsidRPr="0051150F">
              <w:rPr>
                <w:color w:val="auto"/>
              </w:rPr>
              <w:t xml:space="preserve">, </w:t>
            </w:r>
            <w:proofErr w:type="gramStart"/>
            <w:r w:rsidR="00B37256" w:rsidRPr="0051150F">
              <w:rPr>
                <w:color w:val="auto"/>
              </w:rPr>
              <w:t>2024</w:t>
            </w:r>
            <w:proofErr w:type="gramEnd"/>
            <w:r w:rsidR="00B37256" w:rsidRPr="0051150F">
              <w:rPr>
                <w:color w:val="auto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E2ACE9B" w14:textId="275974EE" w:rsidR="00B37256" w:rsidRPr="0051150F" w:rsidRDefault="00B37256" w:rsidP="00B37256">
            <w:pPr>
              <w:tabs>
                <w:tab w:val="center" w:pos="3411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51150F">
              <w:rPr>
                <w:color w:val="auto"/>
              </w:rPr>
              <w:t xml:space="preserve">Adopted by Board </w:t>
            </w:r>
            <w:r w:rsidRPr="0051150F">
              <w:rPr>
                <w:color w:val="auto"/>
              </w:rPr>
              <w:tab/>
            </w:r>
          </w:p>
        </w:tc>
      </w:tr>
    </w:tbl>
    <w:p w14:paraId="4F84A0E0" w14:textId="77777777" w:rsidR="00B37256" w:rsidRPr="0051150F" w:rsidRDefault="00B37256" w:rsidP="00B37256">
      <w:pPr>
        <w:pStyle w:val="Heading1"/>
        <w:rPr>
          <w:rFonts w:ascii="Times New Roman" w:eastAsia="Times New Roman" w:hAnsi="Times New Roman" w:cs="Times New Roman"/>
          <w:color w:val="auto"/>
          <w:sz w:val="28"/>
        </w:rPr>
      </w:pPr>
    </w:p>
    <w:p w14:paraId="05A2B718" w14:textId="0B5833B5" w:rsidR="00B37256" w:rsidRPr="0051150F" w:rsidRDefault="00B37256" w:rsidP="00B37256">
      <w:pPr>
        <w:pStyle w:val="Heading1"/>
        <w:tabs>
          <w:tab w:val="center" w:pos="599"/>
          <w:tab w:val="center" w:pos="2225"/>
        </w:tabs>
        <w:spacing w:after="90" w:line="259" w:lineRule="auto"/>
        <w:ind w:left="0" w:firstLine="0"/>
        <w:rPr>
          <w:color w:val="auto"/>
        </w:rPr>
      </w:pPr>
      <w:r w:rsidRPr="0051150F">
        <w:rPr>
          <w:b w:val="0"/>
          <w:color w:val="auto"/>
          <w:sz w:val="22"/>
        </w:rPr>
        <w:tab/>
      </w:r>
      <w:bookmarkStart w:id="1" w:name="_Toc182309551"/>
      <w:r w:rsidRPr="0051150F">
        <w:rPr>
          <w:rFonts w:ascii="Times New Roman" w:eastAsia="Times New Roman" w:hAnsi="Times New Roman" w:cs="Times New Roman"/>
          <w:color w:val="auto"/>
          <w:sz w:val="28"/>
        </w:rPr>
        <w:t>I.</w:t>
      </w:r>
      <w:r w:rsidRPr="0051150F">
        <w:rPr>
          <w:rFonts w:ascii="Arial" w:eastAsia="Arial" w:hAnsi="Arial" w:cs="Arial"/>
          <w:b w:val="0"/>
          <w:color w:val="auto"/>
          <w:sz w:val="43"/>
          <w:vertAlign w:val="subscript"/>
        </w:rPr>
        <w:t xml:space="preserve"> </w:t>
      </w:r>
      <w:r w:rsidRPr="0051150F">
        <w:rPr>
          <w:rFonts w:ascii="Times New Roman" w:eastAsia="Times New Roman" w:hAnsi="Times New Roman" w:cs="Times New Roman"/>
          <w:color w:val="auto"/>
          <w:sz w:val="28"/>
        </w:rPr>
        <w:t>Policy</w:t>
      </w:r>
      <w:bookmarkEnd w:id="1"/>
      <w:r w:rsidRPr="0051150F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14:paraId="1BEF5B29" w14:textId="312F864E" w:rsidR="00575853" w:rsidRDefault="00712E57">
      <w:pPr>
        <w:spacing w:after="550"/>
        <w:ind w:left="1156"/>
        <w:rPr>
          <w:color w:val="auto"/>
        </w:rPr>
      </w:pPr>
      <w:r w:rsidRPr="0051150F">
        <w:rPr>
          <w:color w:val="auto"/>
        </w:rPr>
        <w:t xml:space="preserve">This policy applies to </w:t>
      </w:r>
      <w:r w:rsidR="00ED5A06">
        <w:rPr>
          <w:color w:val="auto"/>
        </w:rPr>
        <w:t xml:space="preserve">the </w:t>
      </w:r>
      <w:r w:rsidRPr="0051150F">
        <w:rPr>
          <w:color w:val="auto"/>
        </w:rPr>
        <w:t xml:space="preserve">procurement of </w:t>
      </w:r>
      <w:r w:rsidR="00E30C19">
        <w:rPr>
          <w:color w:val="auto"/>
        </w:rPr>
        <w:t xml:space="preserve">all goods </w:t>
      </w:r>
      <w:r w:rsidRPr="0051150F">
        <w:rPr>
          <w:color w:val="auto"/>
        </w:rPr>
        <w:t xml:space="preserve">and services. Nothing in this policy shall prevent </w:t>
      </w:r>
      <w:r w:rsidR="00B37256" w:rsidRPr="0051150F">
        <w:rPr>
          <w:color w:val="auto"/>
        </w:rPr>
        <w:t>UFAIR</w:t>
      </w:r>
      <w:r w:rsidRPr="0051150F">
        <w:rPr>
          <w:color w:val="auto"/>
        </w:rPr>
        <w:t xml:space="preserve"> from complying with the terms and conditions of any grant</w:t>
      </w:r>
      <w:r w:rsidR="00B37256" w:rsidRPr="0051150F">
        <w:rPr>
          <w:color w:val="auto"/>
        </w:rPr>
        <w:t>,</w:t>
      </w:r>
      <w:r w:rsidRPr="0051150F">
        <w:rPr>
          <w:color w:val="auto"/>
        </w:rPr>
        <w:t xml:space="preserve"> </w:t>
      </w:r>
      <w:r w:rsidR="00B37256" w:rsidRPr="0051150F">
        <w:rPr>
          <w:color w:val="auto"/>
        </w:rPr>
        <w:t>contract, or legal requirement</w:t>
      </w:r>
      <w:r w:rsidRPr="0051150F">
        <w:rPr>
          <w:color w:val="auto"/>
        </w:rPr>
        <w:t xml:space="preserve">. </w:t>
      </w:r>
    </w:p>
    <w:p w14:paraId="7F056FA6" w14:textId="28D5AB22" w:rsidR="00ED5A06" w:rsidRPr="00155662" w:rsidRDefault="00E30C19" w:rsidP="00E30C19">
      <w:pPr>
        <w:spacing w:after="550"/>
        <w:ind w:left="0" w:firstLine="0"/>
        <w:rPr>
          <w:b/>
          <w:bCs/>
          <w:color w:val="auto"/>
          <w:sz w:val="28"/>
          <w:szCs w:val="28"/>
        </w:rPr>
      </w:pPr>
      <w:r w:rsidRPr="00155662">
        <w:rPr>
          <w:b/>
          <w:bCs/>
          <w:color w:val="auto"/>
          <w:sz w:val="28"/>
          <w:szCs w:val="28"/>
        </w:rPr>
        <w:t xml:space="preserve">II. </w:t>
      </w:r>
      <w:r w:rsidR="00ED5A06" w:rsidRPr="00155662">
        <w:rPr>
          <w:b/>
          <w:bCs/>
          <w:color w:val="auto"/>
          <w:sz w:val="28"/>
          <w:szCs w:val="28"/>
        </w:rPr>
        <w:t>Purchasing</w:t>
      </w:r>
      <w:r w:rsidRPr="00155662">
        <w:rPr>
          <w:b/>
          <w:bCs/>
          <w:color w:val="auto"/>
          <w:sz w:val="28"/>
          <w:szCs w:val="28"/>
        </w:rPr>
        <w:t xml:space="preserve"> Authority</w:t>
      </w:r>
    </w:p>
    <w:p w14:paraId="02A896D4" w14:textId="0C2FEC58" w:rsidR="00646204" w:rsidRPr="0051150F" w:rsidRDefault="00ED5A06" w:rsidP="007A5E36">
      <w:pPr>
        <w:spacing w:after="550"/>
        <w:ind w:left="1170" w:firstLine="0"/>
        <w:rPr>
          <w:color w:val="auto"/>
        </w:rPr>
      </w:pPr>
      <w:r>
        <w:rPr>
          <w:color w:val="auto"/>
        </w:rPr>
        <w:t>The E</w:t>
      </w:r>
      <w:r w:rsidR="00E30C19">
        <w:rPr>
          <w:color w:val="auto"/>
        </w:rPr>
        <w:t>xecutive Director</w:t>
      </w:r>
      <w:r w:rsidR="00980A57">
        <w:rPr>
          <w:color w:val="auto"/>
        </w:rPr>
        <w:t xml:space="preserve"> is the Chief Procurement Officer and the Executive </w:t>
      </w:r>
      <w:proofErr w:type="gramStart"/>
      <w:r w:rsidR="00980A57">
        <w:rPr>
          <w:color w:val="auto"/>
        </w:rPr>
        <w:t>Director</w:t>
      </w:r>
      <w:proofErr w:type="gramEnd"/>
      <w:r w:rsidR="00980A57">
        <w:rPr>
          <w:color w:val="auto"/>
        </w:rPr>
        <w:t xml:space="preserve"> or his </w:t>
      </w:r>
      <w:r w:rsidR="00E30C19">
        <w:rPr>
          <w:color w:val="auto"/>
        </w:rPr>
        <w:t xml:space="preserve">designee </w:t>
      </w:r>
      <w:r w:rsidR="00980A57">
        <w:rPr>
          <w:color w:val="auto"/>
        </w:rPr>
        <w:t>shall have</w:t>
      </w:r>
      <w:r>
        <w:rPr>
          <w:color w:val="auto"/>
        </w:rPr>
        <w:t xml:space="preserve"> the authority to sign all documents necessary to allow UFAIR to make procurements. </w:t>
      </w:r>
    </w:p>
    <w:p w14:paraId="4888F814" w14:textId="79F9C1B7" w:rsidR="00575853" w:rsidRDefault="00712E57">
      <w:pPr>
        <w:pStyle w:val="Heading1"/>
        <w:tabs>
          <w:tab w:val="center" w:pos="599"/>
          <w:tab w:val="center" w:pos="2225"/>
        </w:tabs>
        <w:spacing w:after="9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8"/>
        </w:rPr>
      </w:pPr>
      <w:r w:rsidRPr="0051150F">
        <w:rPr>
          <w:b w:val="0"/>
          <w:color w:val="auto"/>
          <w:sz w:val="22"/>
        </w:rPr>
        <w:tab/>
      </w:r>
      <w:bookmarkStart w:id="2" w:name="_Toc182309552"/>
      <w:r w:rsidRPr="0051150F">
        <w:rPr>
          <w:rFonts w:ascii="Times New Roman" w:eastAsia="Times New Roman" w:hAnsi="Times New Roman" w:cs="Times New Roman"/>
          <w:color w:val="auto"/>
          <w:sz w:val="28"/>
        </w:rPr>
        <w:t>I</w:t>
      </w:r>
      <w:r w:rsidR="0051150F" w:rsidRPr="0051150F">
        <w:rPr>
          <w:rFonts w:ascii="Times New Roman" w:eastAsia="Times New Roman" w:hAnsi="Times New Roman" w:cs="Times New Roman"/>
          <w:color w:val="auto"/>
          <w:sz w:val="28"/>
        </w:rPr>
        <w:t>I</w:t>
      </w:r>
      <w:r w:rsidR="00B50C35">
        <w:rPr>
          <w:rFonts w:ascii="Times New Roman" w:eastAsia="Times New Roman" w:hAnsi="Times New Roman" w:cs="Times New Roman"/>
          <w:color w:val="auto"/>
          <w:sz w:val="28"/>
        </w:rPr>
        <w:t>I</w:t>
      </w:r>
      <w:r w:rsidRPr="0051150F">
        <w:rPr>
          <w:rFonts w:ascii="Times New Roman" w:eastAsia="Times New Roman" w:hAnsi="Times New Roman" w:cs="Times New Roman"/>
          <w:color w:val="auto"/>
          <w:sz w:val="28"/>
        </w:rPr>
        <w:t>.</w:t>
      </w:r>
      <w:r w:rsidRPr="0051150F">
        <w:rPr>
          <w:rFonts w:ascii="Arial" w:eastAsia="Arial" w:hAnsi="Arial" w:cs="Arial"/>
          <w:b w:val="0"/>
          <w:color w:val="auto"/>
          <w:sz w:val="43"/>
          <w:vertAlign w:val="subscript"/>
        </w:rPr>
        <w:t xml:space="preserve"> </w:t>
      </w:r>
      <w:r w:rsidR="00B37256" w:rsidRPr="0051150F">
        <w:rPr>
          <w:rFonts w:ascii="Arial" w:eastAsia="Arial" w:hAnsi="Arial" w:cs="Arial"/>
          <w:b w:val="0"/>
          <w:color w:val="auto"/>
          <w:sz w:val="43"/>
          <w:vertAlign w:val="subscript"/>
        </w:rPr>
        <w:t xml:space="preserve"> </w:t>
      </w:r>
      <w:r w:rsidRPr="0051150F">
        <w:rPr>
          <w:rFonts w:ascii="Times New Roman" w:eastAsia="Times New Roman" w:hAnsi="Times New Roman" w:cs="Times New Roman"/>
          <w:color w:val="auto"/>
          <w:sz w:val="28"/>
        </w:rPr>
        <w:t>Purchase Types</w:t>
      </w:r>
      <w:bookmarkEnd w:id="2"/>
      <w:r w:rsidRPr="0051150F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14:paraId="48161D1A" w14:textId="77777777" w:rsidR="00417B49" w:rsidRPr="00417B49" w:rsidRDefault="00417B49" w:rsidP="00417B49"/>
    <w:p w14:paraId="49A1FC58" w14:textId="479F0955" w:rsidR="00575853" w:rsidRPr="0051150F" w:rsidRDefault="00712E57">
      <w:pPr>
        <w:pStyle w:val="Heading2"/>
        <w:spacing w:after="0" w:line="259" w:lineRule="auto"/>
        <w:ind w:left="1142"/>
        <w:rPr>
          <w:color w:val="auto"/>
        </w:rPr>
      </w:pPr>
      <w:bookmarkStart w:id="3" w:name="_Toc182309255"/>
      <w:bookmarkStart w:id="4" w:name="_Toc182309553"/>
      <w:r w:rsidRPr="0051150F">
        <w:rPr>
          <w:color w:val="auto"/>
          <w:sz w:val="28"/>
        </w:rPr>
        <w:t>Minimal Purchases</w:t>
      </w:r>
      <w:bookmarkEnd w:id="3"/>
      <w:bookmarkEnd w:id="4"/>
      <w:r w:rsidR="00417B49">
        <w:rPr>
          <w:color w:val="auto"/>
          <w:sz w:val="28"/>
        </w:rPr>
        <w:t xml:space="preserve"> </w:t>
      </w:r>
    </w:p>
    <w:p w14:paraId="0410D699" w14:textId="1E2F6EF7" w:rsidR="00217A33" w:rsidRDefault="00712E57" w:rsidP="00217A33">
      <w:pPr>
        <w:ind w:left="1156"/>
        <w:rPr>
          <w:color w:val="auto"/>
        </w:rPr>
      </w:pPr>
      <w:r w:rsidRPr="00155662">
        <w:rPr>
          <w:color w:val="auto"/>
        </w:rPr>
        <w:t xml:space="preserve">Minimal Purchases are </w:t>
      </w:r>
      <w:r w:rsidR="00417B49" w:rsidRPr="00155662">
        <w:rPr>
          <w:color w:val="auto"/>
        </w:rPr>
        <w:t xml:space="preserve">for procurements </w:t>
      </w:r>
      <w:r w:rsidR="00CA3DED" w:rsidRPr="00155662">
        <w:rPr>
          <w:color w:val="auto"/>
        </w:rPr>
        <w:t xml:space="preserve">where each item is under $5,000, the total procurement is </w:t>
      </w:r>
      <w:r w:rsidR="00417B49" w:rsidRPr="00155662">
        <w:rPr>
          <w:color w:val="auto"/>
        </w:rPr>
        <w:t>under $10,000</w:t>
      </w:r>
      <w:r w:rsidR="00CA3DED" w:rsidRPr="00155662">
        <w:rPr>
          <w:color w:val="auto"/>
        </w:rPr>
        <w:t>,</w:t>
      </w:r>
      <w:r w:rsidR="00417B49" w:rsidRPr="00155662">
        <w:rPr>
          <w:color w:val="auto"/>
        </w:rPr>
        <w:t xml:space="preserve"> and total expenditures with the vendor in a </w:t>
      </w:r>
      <w:r w:rsidR="00217A33" w:rsidRPr="00155662">
        <w:rPr>
          <w:color w:val="auto"/>
        </w:rPr>
        <w:t>fiscal</w:t>
      </w:r>
      <w:r w:rsidR="00417B49" w:rsidRPr="00155662">
        <w:rPr>
          <w:color w:val="auto"/>
        </w:rPr>
        <w:t xml:space="preserve"> year are under $50,000.</w:t>
      </w:r>
      <w:r w:rsidR="00417B49">
        <w:rPr>
          <w:color w:val="auto"/>
        </w:rPr>
        <w:t xml:space="preserve"> </w:t>
      </w:r>
      <w:r w:rsidRPr="0051150F">
        <w:rPr>
          <w:color w:val="auto"/>
        </w:rPr>
        <w:t xml:space="preserve"> </w:t>
      </w:r>
      <w:r w:rsidR="00244B10">
        <w:rPr>
          <w:color w:val="auto"/>
        </w:rPr>
        <w:t>So long as funds for such purchases are part of the annual approved budget, the purchasing a</w:t>
      </w:r>
      <w:r w:rsidR="00796B4C">
        <w:rPr>
          <w:color w:val="auto"/>
        </w:rPr>
        <w:t xml:space="preserve">uthority </w:t>
      </w:r>
      <w:r w:rsidR="00244B10">
        <w:rPr>
          <w:color w:val="auto"/>
        </w:rPr>
        <w:t xml:space="preserve">may make the purchase without following any formal process set forth in this procurement policy. </w:t>
      </w:r>
      <w:r w:rsidR="00244B10" w:rsidRPr="00244B10">
        <w:rPr>
          <w:color w:val="auto"/>
        </w:rPr>
        <w:t xml:space="preserve"> Notwithstanding this exception, the Purchasing A</w:t>
      </w:r>
      <w:r w:rsidR="00796B4C">
        <w:rPr>
          <w:color w:val="auto"/>
        </w:rPr>
        <w:t>uthority</w:t>
      </w:r>
      <w:r w:rsidR="00244B10" w:rsidRPr="00244B10">
        <w:rPr>
          <w:color w:val="auto"/>
        </w:rPr>
        <w:t xml:space="preserve"> shall make a reasonable effort to identify and utilize the lowest</w:t>
      </w:r>
      <w:r w:rsidR="00244B10">
        <w:rPr>
          <w:color w:val="auto"/>
        </w:rPr>
        <w:t xml:space="preserve">-cost </w:t>
      </w:r>
      <w:r w:rsidR="00244B10" w:rsidRPr="00244B10">
        <w:rPr>
          <w:color w:val="auto"/>
        </w:rPr>
        <w:t>provider for the Procurement.</w:t>
      </w:r>
      <w:r w:rsidR="00244B10">
        <w:rPr>
          <w:color w:val="auto"/>
        </w:rPr>
        <w:t xml:space="preserve"> </w:t>
      </w:r>
      <w:r w:rsidR="004B4DFB">
        <w:rPr>
          <w:color w:val="auto"/>
        </w:rPr>
        <w:t xml:space="preserve"> that meets the needs of UFAIR</w:t>
      </w:r>
      <w:r w:rsidRPr="0051150F">
        <w:rPr>
          <w:color w:val="auto"/>
        </w:rPr>
        <w:t>.</w:t>
      </w:r>
    </w:p>
    <w:p w14:paraId="3C62D5AC" w14:textId="128143C0" w:rsidR="00575853" w:rsidRPr="0051150F" w:rsidRDefault="00712E57" w:rsidP="00217A33">
      <w:pPr>
        <w:ind w:left="1156"/>
        <w:rPr>
          <w:color w:val="auto"/>
        </w:rPr>
      </w:pPr>
      <w:r w:rsidRPr="0051150F">
        <w:rPr>
          <w:color w:val="auto"/>
        </w:rPr>
        <w:t xml:space="preserve"> </w:t>
      </w:r>
    </w:p>
    <w:p w14:paraId="36AC078B" w14:textId="77777777" w:rsidR="00575853" w:rsidRPr="0051150F" w:rsidRDefault="00712E57">
      <w:pPr>
        <w:pStyle w:val="Heading2"/>
        <w:spacing w:after="0" w:line="259" w:lineRule="auto"/>
        <w:ind w:left="1142"/>
        <w:rPr>
          <w:color w:val="auto"/>
        </w:rPr>
      </w:pPr>
      <w:bookmarkStart w:id="5" w:name="_Toc182309256"/>
      <w:bookmarkStart w:id="6" w:name="_Toc182309554"/>
      <w:r w:rsidRPr="0051150F">
        <w:rPr>
          <w:color w:val="auto"/>
          <w:sz w:val="28"/>
        </w:rPr>
        <w:t>Small Purchases</w:t>
      </w:r>
      <w:bookmarkEnd w:id="5"/>
      <w:bookmarkEnd w:id="6"/>
      <w:r w:rsidRPr="0051150F">
        <w:rPr>
          <w:color w:val="auto"/>
          <w:sz w:val="28"/>
        </w:rPr>
        <w:t xml:space="preserve">  </w:t>
      </w:r>
    </w:p>
    <w:p w14:paraId="1AE91262" w14:textId="4FD17F06" w:rsidR="00217A33" w:rsidRDefault="00217A33">
      <w:pPr>
        <w:ind w:left="1156"/>
        <w:rPr>
          <w:color w:val="auto"/>
        </w:rPr>
      </w:pPr>
      <w:r w:rsidRPr="00155662">
        <w:rPr>
          <w:color w:val="auto"/>
        </w:rPr>
        <w:t xml:space="preserve">Small Purchases are </w:t>
      </w:r>
      <w:r w:rsidR="008C6ED5" w:rsidRPr="00155662">
        <w:rPr>
          <w:color w:val="auto"/>
        </w:rPr>
        <w:t>defined as</w:t>
      </w:r>
      <w:r w:rsidRPr="00155662">
        <w:rPr>
          <w:color w:val="auto"/>
        </w:rPr>
        <w:t xml:space="preserve"> procurements</w:t>
      </w:r>
      <w:r w:rsidR="008C6ED5" w:rsidRPr="00155662">
        <w:rPr>
          <w:color w:val="auto"/>
        </w:rPr>
        <w:t xml:space="preserve"> for </w:t>
      </w:r>
      <w:r w:rsidRPr="00155662">
        <w:rPr>
          <w:color w:val="auto"/>
        </w:rPr>
        <w:t xml:space="preserve">individual items </w:t>
      </w:r>
      <w:r w:rsidR="008C6ED5" w:rsidRPr="00155662">
        <w:rPr>
          <w:color w:val="auto"/>
        </w:rPr>
        <w:t xml:space="preserve">with a value of </w:t>
      </w:r>
      <w:r w:rsidRPr="00155662">
        <w:rPr>
          <w:color w:val="auto"/>
        </w:rPr>
        <w:t>$5,000</w:t>
      </w:r>
      <w:r w:rsidR="00C56DC8" w:rsidRPr="00155662">
        <w:rPr>
          <w:color w:val="auto"/>
        </w:rPr>
        <w:t xml:space="preserve"> or more</w:t>
      </w:r>
      <w:r w:rsidR="00BB3577" w:rsidRPr="00155662">
        <w:rPr>
          <w:color w:val="auto"/>
        </w:rPr>
        <w:t xml:space="preserve"> or</w:t>
      </w:r>
      <w:r w:rsidR="008B4B1F" w:rsidRPr="00155662">
        <w:rPr>
          <w:color w:val="auto"/>
        </w:rPr>
        <w:t xml:space="preserve"> total procurements </w:t>
      </w:r>
      <w:r w:rsidR="00BB3577" w:rsidRPr="00155662">
        <w:rPr>
          <w:color w:val="auto"/>
        </w:rPr>
        <w:t>of</w:t>
      </w:r>
      <w:r w:rsidR="008B4B1F" w:rsidRPr="00155662">
        <w:rPr>
          <w:color w:val="auto"/>
        </w:rPr>
        <w:t xml:space="preserve"> $10,000 or more, and </w:t>
      </w:r>
      <w:r w:rsidR="00C56DC8" w:rsidRPr="00155662">
        <w:rPr>
          <w:color w:val="auto"/>
        </w:rPr>
        <w:t>the total procurement is</w:t>
      </w:r>
      <w:r w:rsidR="008C6ED5" w:rsidRPr="00155662">
        <w:rPr>
          <w:color w:val="auto"/>
        </w:rPr>
        <w:t xml:space="preserve"> less than </w:t>
      </w:r>
      <w:r w:rsidR="00C56DC8" w:rsidRPr="00155662">
        <w:rPr>
          <w:color w:val="auto"/>
        </w:rPr>
        <w:t>$</w:t>
      </w:r>
      <w:r w:rsidR="008B4B1F" w:rsidRPr="00155662">
        <w:rPr>
          <w:color w:val="auto"/>
        </w:rPr>
        <w:t>5</w:t>
      </w:r>
      <w:r w:rsidR="00C56DC8" w:rsidRPr="00155662">
        <w:rPr>
          <w:color w:val="auto"/>
        </w:rPr>
        <w:t>0,000</w:t>
      </w:r>
      <w:r w:rsidR="008B4B1F" w:rsidRPr="00155662">
        <w:rPr>
          <w:color w:val="auto"/>
        </w:rPr>
        <w:t xml:space="preserve"> with a </w:t>
      </w:r>
      <w:r w:rsidR="008B4B1F" w:rsidRPr="00155662">
        <w:rPr>
          <w:color w:val="auto"/>
        </w:rPr>
        <w:lastRenderedPageBreak/>
        <w:t>single vendor for the fiscal year</w:t>
      </w:r>
      <w:r w:rsidRPr="00155662">
        <w:rPr>
          <w:color w:val="auto"/>
        </w:rPr>
        <w:t>.</w:t>
      </w:r>
      <w:r>
        <w:rPr>
          <w:color w:val="auto"/>
        </w:rPr>
        <w:t xml:space="preserve"> </w:t>
      </w:r>
      <w:r w:rsidR="00CA336D">
        <w:rPr>
          <w:color w:val="auto"/>
        </w:rPr>
        <w:t>Small purchases shall require a</w:t>
      </w:r>
      <w:r>
        <w:rPr>
          <w:color w:val="auto"/>
        </w:rPr>
        <w:t xml:space="preserve"> minimum of</w:t>
      </w:r>
      <w:r w:rsidRPr="00217A33">
        <w:rPr>
          <w:color w:val="auto"/>
        </w:rPr>
        <w:t xml:space="preserve"> two </w:t>
      </w:r>
      <w:r w:rsidR="00CA336D">
        <w:rPr>
          <w:color w:val="auto"/>
        </w:rPr>
        <w:t xml:space="preserve">written </w:t>
      </w:r>
      <w:r w:rsidRPr="00217A33">
        <w:rPr>
          <w:color w:val="auto"/>
        </w:rPr>
        <w:t>competitive quotes</w:t>
      </w:r>
      <w:r>
        <w:rPr>
          <w:color w:val="auto"/>
        </w:rPr>
        <w:t xml:space="preserve"> and the </w:t>
      </w:r>
      <w:r w:rsidRPr="00217A33">
        <w:rPr>
          <w:color w:val="auto"/>
        </w:rPr>
        <w:t>purchase</w:t>
      </w:r>
      <w:r>
        <w:rPr>
          <w:color w:val="auto"/>
        </w:rPr>
        <w:t xml:space="preserve"> </w:t>
      </w:r>
      <w:r w:rsidR="00CA336D">
        <w:rPr>
          <w:color w:val="auto"/>
        </w:rPr>
        <w:t>must be obtained</w:t>
      </w:r>
      <w:r w:rsidRPr="00217A33">
        <w:rPr>
          <w:color w:val="auto"/>
        </w:rPr>
        <w:t xml:space="preserve"> from the supplier offering the lowest quote while meeting specifications.</w:t>
      </w:r>
    </w:p>
    <w:p w14:paraId="682F2CAB" w14:textId="77777777" w:rsidR="00CA3DED" w:rsidRDefault="00CA3DED" w:rsidP="00217A33">
      <w:pPr>
        <w:ind w:left="1156"/>
        <w:rPr>
          <w:color w:val="auto"/>
        </w:rPr>
      </w:pPr>
    </w:p>
    <w:p w14:paraId="113431F3" w14:textId="4324D01D" w:rsidR="00CA3DED" w:rsidRDefault="00D44881" w:rsidP="00CA3DED">
      <w:pPr>
        <w:pStyle w:val="Heading2"/>
        <w:spacing w:after="0" w:line="259" w:lineRule="auto"/>
        <w:ind w:left="1142"/>
        <w:rPr>
          <w:color w:val="auto"/>
          <w:sz w:val="28"/>
        </w:rPr>
      </w:pPr>
      <w:bookmarkStart w:id="7" w:name="_Toc182309257"/>
      <w:bookmarkStart w:id="8" w:name="_Toc182309555"/>
      <w:r>
        <w:rPr>
          <w:color w:val="auto"/>
          <w:sz w:val="28"/>
        </w:rPr>
        <w:t>Competitive</w:t>
      </w:r>
      <w:r w:rsidR="00CA3DED" w:rsidRPr="0051150F">
        <w:rPr>
          <w:color w:val="auto"/>
          <w:sz w:val="28"/>
        </w:rPr>
        <w:t xml:space="preserve"> Purchases</w:t>
      </w:r>
      <w:bookmarkEnd w:id="7"/>
      <w:bookmarkEnd w:id="8"/>
      <w:r w:rsidR="00CA3DED" w:rsidRPr="0051150F">
        <w:rPr>
          <w:color w:val="auto"/>
          <w:sz w:val="28"/>
        </w:rPr>
        <w:t xml:space="preserve"> </w:t>
      </w:r>
    </w:p>
    <w:p w14:paraId="5FE9BA9C" w14:textId="2EAF6957" w:rsidR="00CA3DED" w:rsidRDefault="0041358F" w:rsidP="00CA3DED">
      <w:pPr>
        <w:ind w:left="1156"/>
        <w:rPr>
          <w:color w:val="auto"/>
        </w:rPr>
      </w:pPr>
      <w:r w:rsidRPr="00155662">
        <w:rPr>
          <w:color w:val="auto"/>
        </w:rPr>
        <w:t xml:space="preserve">Except as provided herein, </w:t>
      </w:r>
      <w:r w:rsidR="00CB4463" w:rsidRPr="00155662">
        <w:rPr>
          <w:color w:val="auto"/>
        </w:rPr>
        <w:t xml:space="preserve">Competitive </w:t>
      </w:r>
      <w:r w:rsidR="00CA3DED" w:rsidRPr="00155662">
        <w:rPr>
          <w:color w:val="auto"/>
        </w:rPr>
        <w:t>Bid Purchases are for procurements costing $50,000</w:t>
      </w:r>
      <w:r w:rsidR="00155662">
        <w:rPr>
          <w:color w:val="auto"/>
        </w:rPr>
        <w:t xml:space="preserve"> </w:t>
      </w:r>
      <w:r w:rsidR="005D3538" w:rsidRPr="00155662">
        <w:rPr>
          <w:color w:val="auto"/>
        </w:rPr>
        <w:t>or more</w:t>
      </w:r>
      <w:r w:rsidR="00CA3DED">
        <w:rPr>
          <w:color w:val="auto"/>
        </w:rPr>
        <w:t xml:space="preserve">. </w:t>
      </w:r>
      <w:r w:rsidR="00C1192B">
        <w:rPr>
          <w:color w:val="auto"/>
        </w:rPr>
        <w:t xml:space="preserve">Competitive purchases shall require </w:t>
      </w:r>
      <w:r w:rsidR="00CA3DED">
        <w:rPr>
          <w:color w:val="auto"/>
        </w:rPr>
        <w:t>a</w:t>
      </w:r>
      <w:r w:rsidR="00D44881">
        <w:rPr>
          <w:color w:val="auto"/>
        </w:rPr>
        <w:t>n Invitation for Bid (IFB),</w:t>
      </w:r>
      <w:r w:rsidR="00CA3DED">
        <w:rPr>
          <w:color w:val="auto"/>
        </w:rPr>
        <w:t xml:space="preserve"> Request for Proposal (RFP),</w:t>
      </w:r>
      <w:r w:rsidR="00CA3DED" w:rsidRPr="00CA3DED">
        <w:t xml:space="preserve"> </w:t>
      </w:r>
      <w:r w:rsidR="00CA3DED" w:rsidRPr="00CA3DED">
        <w:rPr>
          <w:color w:val="auto"/>
        </w:rPr>
        <w:t>Request for Statement of Qualifications</w:t>
      </w:r>
      <w:r w:rsidR="00CA3DED">
        <w:rPr>
          <w:color w:val="auto"/>
        </w:rPr>
        <w:t xml:space="preserve"> (RFSQ), or other similar method</w:t>
      </w:r>
      <w:r w:rsidR="00C1192B">
        <w:rPr>
          <w:color w:val="auto"/>
        </w:rPr>
        <w:t xml:space="preserve"> issued prior to the acquisition</w:t>
      </w:r>
      <w:r w:rsidR="00CA3DED">
        <w:rPr>
          <w:color w:val="auto"/>
        </w:rPr>
        <w:t xml:space="preserve">. </w:t>
      </w:r>
      <w:r w:rsidR="00800732">
        <w:rPr>
          <w:color w:val="auto"/>
        </w:rPr>
        <w:t xml:space="preserve">The use of the State of Utah Division of Purchasing is recommended to facilitate any Bid Purchase. </w:t>
      </w:r>
    </w:p>
    <w:p w14:paraId="2ABDBC5E" w14:textId="77777777" w:rsidR="00155662" w:rsidRDefault="00155662" w:rsidP="00CA3DED">
      <w:pPr>
        <w:ind w:left="1156"/>
        <w:rPr>
          <w:color w:val="auto"/>
        </w:rPr>
      </w:pPr>
    </w:p>
    <w:p w14:paraId="32B9F8B8" w14:textId="5A09D907" w:rsidR="00FC569F" w:rsidRPr="003D78EF" w:rsidRDefault="00CB4463" w:rsidP="001556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auto"/>
        </w:rPr>
      </w:pPr>
      <w:r w:rsidRPr="003D78EF">
        <w:rPr>
          <w:color w:val="auto"/>
        </w:rPr>
        <w:t>“</w:t>
      </w:r>
      <w:r w:rsidR="001E19B4" w:rsidRPr="003D78EF">
        <w:rPr>
          <w:color w:val="auto"/>
        </w:rPr>
        <w:t xml:space="preserve">Invitation for </w:t>
      </w:r>
      <w:r w:rsidRPr="003D78EF">
        <w:rPr>
          <w:color w:val="auto"/>
        </w:rPr>
        <w:t>b</w:t>
      </w:r>
      <w:r w:rsidR="001E19B4" w:rsidRPr="003D78EF">
        <w:rPr>
          <w:color w:val="auto"/>
        </w:rPr>
        <w:t>id</w:t>
      </w:r>
      <w:r w:rsidRPr="003D78EF">
        <w:rPr>
          <w:color w:val="auto"/>
        </w:rPr>
        <w:t>”</w:t>
      </w:r>
      <w:r w:rsidR="001E19B4" w:rsidRPr="003D78EF">
        <w:rPr>
          <w:color w:val="auto"/>
        </w:rPr>
        <w:t xml:space="preserve"> means </w:t>
      </w:r>
      <w:r w:rsidR="001E19B4" w:rsidRPr="00155662">
        <w:rPr>
          <w:rFonts w:ascii="sans-serif" w:eastAsiaTheme="minorEastAsia" w:hAnsi="sans-serif" w:cs="sans-serif"/>
          <w:kern w:val="0"/>
          <w:sz w:val="24"/>
        </w:rPr>
        <w:t>a document used to solicit bids to provide a procurement item to UFAIR or quotes for a price of a procurement item to be provided to a procurement unit</w:t>
      </w:r>
      <w:r w:rsidR="00155662">
        <w:rPr>
          <w:rFonts w:ascii="sans-serif" w:eastAsiaTheme="minorEastAsia" w:hAnsi="sans-serif" w:cs="sans-serif"/>
          <w:kern w:val="0"/>
          <w:sz w:val="24"/>
        </w:rPr>
        <w:t>.</w:t>
      </w:r>
    </w:p>
    <w:p w14:paraId="2010203F" w14:textId="77777777" w:rsidR="00CB4463" w:rsidRDefault="00CB4463" w:rsidP="00CB4463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</w:rPr>
      </w:pPr>
    </w:p>
    <w:p w14:paraId="618A273D" w14:textId="3DD4FCB1" w:rsidR="001E19B4" w:rsidRPr="00155662" w:rsidRDefault="00CB4463" w:rsidP="001556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ns-serif" w:eastAsiaTheme="minorEastAsia" w:hAnsi="sans-serif" w:cs="sans-serif"/>
          <w:kern w:val="0"/>
          <w:sz w:val="24"/>
        </w:rPr>
      </w:pPr>
      <w:r w:rsidRPr="003D78EF">
        <w:rPr>
          <w:color w:val="auto"/>
        </w:rPr>
        <w:t>“</w:t>
      </w:r>
      <w:r w:rsidR="00FC569F" w:rsidRPr="003D78EF">
        <w:rPr>
          <w:color w:val="auto"/>
        </w:rPr>
        <w:t xml:space="preserve">Request for </w:t>
      </w:r>
      <w:r w:rsidRPr="003D78EF">
        <w:rPr>
          <w:color w:val="auto"/>
        </w:rPr>
        <w:t>p</w:t>
      </w:r>
      <w:r w:rsidR="00FC569F" w:rsidRPr="003D78EF">
        <w:rPr>
          <w:color w:val="auto"/>
        </w:rPr>
        <w:t>roposal</w:t>
      </w:r>
      <w:r w:rsidRPr="003D78EF">
        <w:rPr>
          <w:color w:val="auto"/>
        </w:rPr>
        <w:t>”</w:t>
      </w:r>
      <w:r w:rsidR="00FC569F" w:rsidRPr="003D78EF">
        <w:rPr>
          <w:color w:val="auto"/>
        </w:rPr>
        <w:t xml:space="preserve"> means</w:t>
      </w:r>
      <w:r w:rsidR="001E19B4" w:rsidRPr="00155662">
        <w:rPr>
          <w:rFonts w:ascii="sans-serif" w:eastAsiaTheme="minorEastAsia" w:hAnsi="sans-serif" w:cs="sans-serif"/>
          <w:kern w:val="0"/>
          <w:sz w:val="24"/>
        </w:rPr>
        <w:t xml:space="preserve"> a document used to solicit proposals to provide a procurement item to a procurement unit, including all other documents that are attached to that document or incorporated in that document by reference.</w:t>
      </w:r>
    </w:p>
    <w:p w14:paraId="75D7585C" w14:textId="77777777" w:rsidR="00CB4463" w:rsidRDefault="00CB4463" w:rsidP="00CB4463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eastAsiaTheme="minorEastAsia" w:hAnsi="sans-serif" w:cs="sans-serif"/>
          <w:kern w:val="0"/>
          <w:sz w:val="24"/>
        </w:rPr>
      </w:pPr>
    </w:p>
    <w:p w14:paraId="7A92434A" w14:textId="4FD363C0" w:rsidR="00CB4463" w:rsidRPr="00155662" w:rsidRDefault="00CB4463" w:rsidP="001556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ns-serif" w:eastAsiaTheme="minorEastAsia" w:hAnsi="sans-serif" w:cs="sans-serif"/>
          <w:kern w:val="0"/>
          <w:sz w:val="24"/>
        </w:rPr>
      </w:pPr>
      <w:r w:rsidRPr="00155662">
        <w:rPr>
          <w:rFonts w:ascii="sans-serif" w:eastAsiaTheme="minorEastAsia" w:hAnsi="sans-serif" w:cs="sans-serif"/>
          <w:kern w:val="0"/>
          <w:sz w:val="24"/>
        </w:rPr>
        <w:t>“Request for statement of qualifications” means a document used to solicit information about the qualifications of a person interested in responding to a potential procurement, including all other documents attached to that document or incorporated in that document by reference.</w:t>
      </w:r>
    </w:p>
    <w:p w14:paraId="60383B35" w14:textId="77777777" w:rsidR="00CB4463" w:rsidRPr="001E19B4" w:rsidRDefault="00CB4463" w:rsidP="00CB4463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eastAsiaTheme="minorEastAsia" w:hAnsi="sans-serif" w:cs="sans-serif"/>
          <w:kern w:val="0"/>
          <w:sz w:val="24"/>
        </w:rPr>
      </w:pPr>
    </w:p>
    <w:p w14:paraId="58D492D0" w14:textId="77777777" w:rsidR="001E19B4" w:rsidRDefault="001E19B4" w:rsidP="00155662">
      <w:pPr>
        <w:ind w:left="0" w:firstLine="0"/>
        <w:rPr>
          <w:color w:val="auto"/>
        </w:rPr>
      </w:pPr>
    </w:p>
    <w:p w14:paraId="652CFDB9" w14:textId="78DCECCE" w:rsidR="00800732" w:rsidRPr="0051150F" w:rsidRDefault="00800732" w:rsidP="00800732">
      <w:pPr>
        <w:pStyle w:val="Heading2"/>
        <w:spacing w:after="0" w:line="259" w:lineRule="auto"/>
        <w:ind w:left="1142"/>
        <w:rPr>
          <w:color w:val="auto"/>
        </w:rPr>
      </w:pPr>
      <w:bookmarkStart w:id="9" w:name="_Toc182309258"/>
      <w:bookmarkStart w:id="10" w:name="_Toc182309556"/>
      <w:r w:rsidRPr="0051150F">
        <w:rPr>
          <w:color w:val="auto"/>
          <w:sz w:val="28"/>
        </w:rPr>
        <w:t>Professional Services</w:t>
      </w:r>
      <w:bookmarkEnd w:id="9"/>
      <w:bookmarkEnd w:id="10"/>
      <w:r w:rsidRPr="0051150F">
        <w:rPr>
          <w:color w:val="auto"/>
          <w:sz w:val="28"/>
        </w:rPr>
        <w:t xml:space="preserve"> </w:t>
      </w:r>
    </w:p>
    <w:p w14:paraId="571AE5B5" w14:textId="562015DD" w:rsidR="00800732" w:rsidRDefault="00A47F16" w:rsidP="00F216FE">
      <w:pPr>
        <w:spacing w:after="4" w:line="307" w:lineRule="auto"/>
        <w:ind w:left="1142" w:right="7" w:hanging="10"/>
        <w:rPr>
          <w:color w:val="auto"/>
        </w:rPr>
      </w:pPr>
      <w:r>
        <w:rPr>
          <w:color w:val="auto"/>
        </w:rPr>
        <w:t xml:space="preserve">A professional services contract means a contract for services performed by an independent contractor </w:t>
      </w:r>
      <w:r w:rsidR="00EB20CC">
        <w:rPr>
          <w:color w:val="auto"/>
        </w:rPr>
        <w:t xml:space="preserve">in a professional capacity who produces a service predominately of an intangible nature that requires specialized </w:t>
      </w:r>
      <w:r w:rsidR="003A3353">
        <w:rPr>
          <w:color w:val="auto"/>
        </w:rPr>
        <w:t xml:space="preserve">knowledge, expertise and discretion. </w:t>
      </w:r>
      <w:r w:rsidR="00980A57">
        <w:rPr>
          <w:color w:val="auto"/>
        </w:rPr>
        <w:t>UFAIR</w:t>
      </w:r>
      <w:r w:rsidR="00800732" w:rsidRPr="0051150F">
        <w:rPr>
          <w:color w:val="auto"/>
        </w:rPr>
        <w:t xml:space="preserve"> may procure Professional Services including but not limited to financial, legal, </w:t>
      </w:r>
      <w:r w:rsidR="00F216FE">
        <w:rPr>
          <w:color w:val="auto"/>
        </w:rPr>
        <w:t>engineering</w:t>
      </w:r>
      <w:r w:rsidR="00800732" w:rsidRPr="0051150F">
        <w:rPr>
          <w:color w:val="auto"/>
        </w:rPr>
        <w:t>, account</w:t>
      </w:r>
      <w:r w:rsidR="00F216FE">
        <w:rPr>
          <w:color w:val="auto"/>
        </w:rPr>
        <w:t>ing</w:t>
      </w:r>
      <w:r w:rsidR="00800732" w:rsidRPr="0051150F">
        <w:rPr>
          <w:color w:val="auto"/>
        </w:rPr>
        <w:t>, and other similar Professional Services</w:t>
      </w:r>
      <w:r w:rsidR="00F216FE">
        <w:rPr>
          <w:color w:val="auto"/>
        </w:rPr>
        <w:t xml:space="preserve"> that necessitate </w:t>
      </w:r>
      <w:r w:rsidR="00F216FE" w:rsidRPr="00F216FE">
        <w:rPr>
          <w:color w:val="auto"/>
        </w:rPr>
        <w:t>labor, effort, or work that requires an elevated degree of specialized knowledge and discretion</w:t>
      </w:r>
      <w:r w:rsidR="00800732" w:rsidRPr="0051150F">
        <w:rPr>
          <w:color w:val="auto"/>
        </w:rPr>
        <w:t xml:space="preserve">. </w:t>
      </w:r>
      <w:r w:rsidR="00F216FE" w:rsidRPr="00F216FE">
        <w:rPr>
          <w:color w:val="auto"/>
        </w:rPr>
        <w:t>Professional service providers and consultants may be procured up to a maximum of $100,000 by direct negotiation after reviewing the qualifications of a minimum of three firms or individuals.</w:t>
      </w:r>
      <w:r w:rsidR="00F216FE">
        <w:rPr>
          <w:color w:val="auto"/>
        </w:rPr>
        <w:t xml:space="preserve"> Names and qualifications should be </w:t>
      </w:r>
      <w:r w:rsidR="00F216FE">
        <w:rPr>
          <w:color w:val="auto"/>
        </w:rPr>
        <w:lastRenderedPageBreak/>
        <w:t xml:space="preserve">documented and retained. For professional services over $100,000, a </w:t>
      </w:r>
      <w:r w:rsidR="007C1769">
        <w:rPr>
          <w:color w:val="auto"/>
        </w:rPr>
        <w:t>Competitive</w:t>
      </w:r>
      <w:r w:rsidR="00F216FE">
        <w:rPr>
          <w:color w:val="auto"/>
        </w:rPr>
        <w:t xml:space="preserve"> Purchase procurement method should be followed. </w:t>
      </w:r>
    </w:p>
    <w:p w14:paraId="397CC283" w14:textId="77777777" w:rsidR="00F216FE" w:rsidRDefault="00F216FE" w:rsidP="00F216FE">
      <w:pPr>
        <w:spacing w:after="4" w:line="307" w:lineRule="auto"/>
        <w:ind w:left="1142" w:right="7" w:hanging="10"/>
        <w:rPr>
          <w:color w:val="auto"/>
        </w:rPr>
      </w:pPr>
    </w:p>
    <w:p w14:paraId="1C9D32F8" w14:textId="454C64E3" w:rsidR="00575853" w:rsidRPr="0051150F" w:rsidRDefault="00712E57">
      <w:pPr>
        <w:pStyle w:val="Heading2"/>
        <w:spacing w:after="0" w:line="259" w:lineRule="auto"/>
        <w:ind w:left="1142"/>
        <w:rPr>
          <w:color w:val="auto"/>
        </w:rPr>
      </w:pPr>
      <w:bookmarkStart w:id="11" w:name="_Toc182309259"/>
      <w:bookmarkStart w:id="12" w:name="_Toc182309557"/>
      <w:r w:rsidRPr="0051150F">
        <w:rPr>
          <w:color w:val="auto"/>
          <w:sz w:val="28"/>
        </w:rPr>
        <w:t xml:space="preserve">State Cooperative Contract </w:t>
      </w:r>
      <w:r w:rsidR="00A47F65">
        <w:rPr>
          <w:color w:val="auto"/>
          <w:sz w:val="28"/>
        </w:rPr>
        <w:t>Purchases</w:t>
      </w:r>
      <w:bookmarkEnd w:id="11"/>
      <w:bookmarkEnd w:id="12"/>
      <w:r w:rsidRPr="0051150F">
        <w:rPr>
          <w:color w:val="auto"/>
          <w:sz w:val="28"/>
        </w:rPr>
        <w:t xml:space="preserve"> </w:t>
      </w:r>
    </w:p>
    <w:p w14:paraId="55B91B0D" w14:textId="551A642D" w:rsidR="00575853" w:rsidRPr="0051150F" w:rsidRDefault="00A47F65">
      <w:pPr>
        <w:spacing w:after="219"/>
        <w:ind w:left="1156"/>
        <w:rPr>
          <w:color w:val="auto"/>
        </w:rPr>
      </w:pPr>
      <w:r>
        <w:rPr>
          <w:color w:val="auto"/>
        </w:rPr>
        <w:t>Any</w:t>
      </w:r>
      <w:r w:rsidRPr="0051150F">
        <w:rPr>
          <w:color w:val="auto"/>
        </w:rPr>
        <w:t xml:space="preserve"> item or service </w:t>
      </w:r>
      <w:r>
        <w:rPr>
          <w:color w:val="auto"/>
        </w:rPr>
        <w:t>available through a</w:t>
      </w:r>
      <w:r w:rsidRPr="0051150F">
        <w:rPr>
          <w:color w:val="auto"/>
        </w:rPr>
        <w:t xml:space="preserve"> State Cooperative Contract may be </w:t>
      </w:r>
      <w:r>
        <w:rPr>
          <w:color w:val="auto"/>
        </w:rPr>
        <w:t>procured</w:t>
      </w:r>
      <w:r w:rsidRPr="0051150F">
        <w:rPr>
          <w:color w:val="auto"/>
        </w:rPr>
        <w:t xml:space="preserve"> without </w:t>
      </w:r>
      <w:r>
        <w:rPr>
          <w:color w:val="auto"/>
        </w:rPr>
        <w:t>a bid</w:t>
      </w:r>
      <w:r w:rsidR="00F216FE">
        <w:rPr>
          <w:color w:val="auto"/>
        </w:rPr>
        <w:t xml:space="preserve"> or quote</w:t>
      </w:r>
      <w:r>
        <w:rPr>
          <w:color w:val="auto"/>
        </w:rPr>
        <w:t xml:space="preserve"> process.</w:t>
      </w:r>
      <w:r w:rsidR="00363DF6">
        <w:rPr>
          <w:color w:val="auto"/>
        </w:rPr>
        <w:t xml:space="preserve"> A State Cooperative Contract is defined as a contract awarded for and </w:t>
      </w:r>
      <w:r w:rsidR="0098312C">
        <w:rPr>
          <w:color w:val="auto"/>
        </w:rPr>
        <w:t>o</w:t>
      </w:r>
      <w:r w:rsidR="00363DF6">
        <w:rPr>
          <w:color w:val="auto"/>
        </w:rPr>
        <w:t xml:space="preserve">n behalf of the Division of Purchasing and General Services. </w:t>
      </w:r>
    </w:p>
    <w:p w14:paraId="394FA797" w14:textId="77777777" w:rsidR="00575853" w:rsidRPr="0051150F" w:rsidRDefault="00712E57">
      <w:pPr>
        <w:pStyle w:val="Heading2"/>
        <w:spacing w:after="0" w:line="259" w:lineRule="auto"/>
        <w:ind w:left="1142"/>
        <w:rPr>
          <w:color w:val="auto"/>
        </w:rPr>
      </w:pPr>
      <w:bookmarkStart w:id="13" w:name="_Toc182309260"/>
      <w:bookmarkStart w:id="14" w:name="_Toc182309558"/>
      <w:r w:rsidRPr="0051150F">
        <w:rPr>
          <w:color w:val="auto"/>
          <w:sz w:val="28"/>
        </w:rPr>
        <w:t>Government Agency Purchasing</w:t>
      </w:r>
      <w:bookmarkEnd w:id="13"/>
      <w:bookmarkEnd w:id="14"/>
      <w:r w:rsidRPr="0051150F">
        <w:rPr>
          <w:color w:val="auto"/>
          <w:sz w:val="28"/>
        </w:rPr>
        <w:t xml:space="preserve"> </w:t>
      </w:r>
    </w:p>
    <w:p w14:paraId="3FDD1031" w14:textId="21964529" w:rsidR="00575853" w:rsidRDefault="00A47F65">
      <w:pPr>
        <w:spacing w:after="217"/>
        <w:ind w:left="1156"/>
        <w:rPr>
          <w:color w:val="auto"/>
        </w:rPr>
      </w:pPr>
      <w:r>
        <w:rPr>
          <w:color w:val="auto"/>
        </w:rPr>
        <w:t xml:space="preserve">Any item available </w:t>
      </w:r>
      <w:r w:rsidR="00F216FE">
        <w:rPr>
          <w:color w:val="auto"/>
        </w:rPr>
        <w:t>from another Government Agency may be procured without obtaining quotes. Additionally, any item may be purchased</w:t>
      </w:r>
      <w:r w:rsidR="00E56C12">
        <w:rPr>
          <w:color w:val="auto"/>
        </w:rPr>
        <w:t xml:space="preserve"> on </w:t>
      </w:r>
      <w:r>
        <w:rPr>
          <w:color w:val="auto"/>
        </w:rPr>
        <w:t xml:space="preserve">the same terms </w:t>
      </w:r>
      <w:r w:rsidRPr="0051150F">
        <w:rPr>
          <w:color w:val="auto"/>
        </w:rPr>
        <w:t xml:space="preserve">from a vendor who has been awarded a bid from a </w:t>
      </w:r>
      <w:r>
        <w:rPr>
          <w:color w:val="auto"/>
        </w:rPr>
        <w:t xml:space="preserve">properly procured </w:t>
      </w:r>
      <w:r w:rsidRPr="0051150F">
        <w:rPr>
          <w:color w:val="auto"/>
        </w:rPr>
        <w:t>local, state, or federal governmental entity within the preceding 90 days</w:t>
      </w:r>
      <w:r w:rsidR="00F216FE">
        <w:rPr>
          <w:color w:val="auto"/>
        </w:rPr>
        <w:t>.</w:t>
      </w:r>
    </w:p>
    <w:p w14:paraId="5292796E" w14:textId="77777777" w:rsidR="00575853" w:rsidRPr="0051150F" w:rsidRDefault="00712E57">
      <w:pPr>
        <w:pStyle w:val="Heading2"/>
        <w:spacing w:after="0" w:line="259" w:lineRule="auto"/>
        <w:ind w:left="1142"/>
        <w:rPr>
          <w:color w:val="auto"/>
        </w:rPr>
      </w:pPr>
      <w:bookmarkStart w:id="15" w:name="_Toc182309261"/>
      <w:bookmarkStart w:id="16" w:name="_Toc182309559"/>
      <w:r w:rsidRPr="0051150F">
        <w:rPr>
          <w:color w:val="auto"/>
          <w:sz w:val="28"/>
        </w:rPr>
        <w:t>Sole Source Procurement</w:t>
      </w:r>
      <w:bookmarkEnd w:id="15"/>
      <w:bookmarkEnd w:id="16"/>
      <w:r w:rsidRPr="0051150F">
        <w:rPr>
          <w:color w:val="auto"/>
          <w:sz w:val="28"/>
        </w:rPr>
        <w:t xml:space="preserve"> </w:t>
      </w:r>
    </w:p>
    <w:p w14:paraId="0D3BEB32" w14:textId="3A17C853" w:rsidR="004B4DFB" w:rsidRDefault="00712E57">
      <w:pPr>
        <w:spacing w:after="157"/>
        <w:ind w:left="1156"/>
        <w:rPr>
          <w:color w:val="auto"/>
        </w:rPr>
      </w:pPr>
      <w:r w:rsidRPr="0051150F">
        <w:rPr>
          <w:color w:val="auto"/>
        </w:rPr>
        <w:t>Sole Source Procurement</w:t>
      </w:r>
      <w:r w:rsidR="004B4DFB">
        <w:rPr>
          <w:color w:val="auto"/>
        </w:rPr>
        <w:t xml:space="preserve"> </w:t>
      </w:r>
      <w:r w:rsidR="00F32FA9">
        <w:rPr>
          <w:color w:val="auto"/>
        </w:rPr>
        <w:t xml:space="preserve">is defined as a procurement without competition and </w:t>
      </w:r>
      <w:r w:rsidRPr="0051150F">
        <w:rPr>
          <w:color w:val="auto"/>
        </w:rPr>
        <w:t xml:space="preserve">may </w:t>
      </w:r>
      <w:r w:rsidR="004B4DFB">
        <w:rPr>
          <w:color w:val="auto"/>
        </w:rPr>
        <w:t>only be used when there is only one vendor who can provide a good or service</w:t>
      </w:r>
      <w:r w:rsidR="00494DED">
        <w:rPr>
          <w:color w:val="auto"/>
        </w:rPr>
        <w:t xml:space="preserve"> of a unique or specialized nature</w:t>
      </w:r>
      <w:r w:rsidR="004B4DFB">
        <w:rPr>
          <w:color w:val="auto"/>
        </w:rPr>
        <w:t xml:space="preserve">, </w:t>
      </w:r>
      <w:r w:rsidR="00494DED">
        <w:rPr>
          <w:color w:val="auto"/>
        </w:rPr>
        <w:t>and only one known supplier is reasonably available to meet the need;</w:t>
      </w:r>
      <w:r w:rsidR="0052429A" w:rsidRPr="0052429A">
        <w:rPr>
          <w:color w:val="auto"/>
        </w:rPr>
        <w:t xml:space="preserve"> </w:t>
      </w:r>
      <w:r w:rsidR="0052429A">
        <w:rPr>
          <w:color w:val="auto"/>
        </w:rPr>
        <w:t xml:space="preserve">or when only one qualifying bidder responds to a properly posted procurement; </w:t>
      </w:r>
      <w:r w:rsidR="00494DED">
        <w:rPr>
          <w:color w:val="auto"/>
        </w:rPr>
        <w:t xml:space="preserve"> or when </w:t>
      </w:r>
      <w:r w:rsidR="0052429A">
        <w:rPr>
          <w:color w:val="auto"/>
        </w:rPr>
        <w:t>specific parts, accessories, equipment, material services, proprietary items or other items are necessary to meet UFAIR’s needs and there is no comparable items reasonably available</w:t>
      </w:r>
      <w:r w:rsidR="005B0A4B">
        <w:rPr>
          <w:color w:val="auto"/>
        </w:rPr>
        <w:t xml:space="preserve">. </w:t>
      </w:r>
      <w:r w:rsidR="00845A21">
        <w:rPr>
          <w:color w:val="auto"/>
        </w:rPr>
        <w:t xml:space="preserve"> </w:t>
      </w:r>
      <w:r w:rsidR="004B4DFB">
        <w:rPr>
          <w:color w:val="auto"/>
        </w:rPr>
        <w:t xml:space="preserve">Evidence of the justification of the sole source decision should be documented and retained.  </w:t>
      </w:r>
    </w:p>
    <w:p w14:paraId="73C81FA1" w14:textId="2E25B65C" w:rsidR="00575853" w:rsidRPr="0051150F" w:rsidRDefault="00712E57">
      <w:pPr>
        <w:pStyle w:val="Heading2"/>
        <w:spacing w:after="0" w:line="259" w:lineRule="auto"/>
        <w:ind w:left="1142"/>
        <w:rPr>
          <w:color w:val="auto"/>
        </w:rPr>
      </w:pPr>
      <w:bookmarkStart w:id="17" w:name="_Toc182309262"/>
      <w:bookmarkStart w:id="18" w:name="_Toc182309560"/>
      <w:r w:rsidRPr="0051150F">
        <w:rPr>
          <w:color w:val="auto"/>
          <w:sz w:val="28"/>
        </w:rPr>
        <w:t>Emergenc</w:t>
      </w:r>
      <w:r w:rsidR="007C1769">
        <w:rPr>
          <w:color w:val="auto"/>
          <w:sz w:val="28"/>
        </w:rPr>
        <w:t>y</w:t>
      </w:r>
      <w:r w:rsidR="004B4DFB">
        <w:rPr>
          <w:color w:val="auto"/>
          <w:sz w:val="28"/>
        </w:rPr>
        <w:t xml:space="preserve"> Procurement</w:t>
      </w:r>
      <w:r w:rsidR="00416BAF">
        <w:rPr>
          <w:color w:val="auto"/>
          <w:sz w:val="28"/>
        </w:rPr>
        <w:t>s</w:t>
      </w:r>
      <w:bookmarkEnd w:id="17"/>
      <w:bookmarkEnd w:id="18"/>
      <w:r w:rsidR="004B4DFB">
        <w:rPr>
          <w:color w:val="auto"/>
          <w:sz w:val="28"/>
        </w:rPr>
        <w:t xml:space="preserve"> </w:t>
      </w:r>
      <w:r w:rsidRPr="0051150F">
        <w:rPr>
          <w:color w:val="auto"/>
          <w:sz w:val="28"/>
        </w:rPr>
        <w:t xml:space="preserve"> </w:t>
      </w:r>
    </w:p>
    <w:p w14:paraId="7B49CAE6" w14:textId="77777777" w:rsidR="00155662" w:rsidRDefault="004B4DFB" w:rsidP="007C1769">
      <w:pPr>
        <w:pStyle w:val="Heading2"/>
        <w:spacing w:after="0" w:line="259" w:lineRule="auto"/>
        <w:ind w:left="1142"/>
        <w:rPr>
          <w:b w:val="0"/>
          <w:color w:val="auto"/>
          <w:sz w:val="22"/>
        </w:rPr>
      </w:pPr>
      <w:bookmarkStart w:id="19" w:name="_Toc182309263"/>
      <w:bookmarkStart w:id="20" w:name="_Toc182309561"/>
      <w:r w:rsidRPr="007C1769">
        <w:rPr>
          <w:b w:val="0"/>
          <w:color w:val="auto"/>
          <w:sz w:val="22"/>
        </w:rPr>
        <w:t>An emergency procurement of goods or services where there exists a</w:t>
      </w:r>
      <w:r w:rsidR="000839E0">
        <w:rPr>
          <w:b w:val="0"/>
          <w:color w:val="auto"/>
          <w:sz w:val="22"/>
        </w:rPr>
        <w:t xml:space="preserve">n unanticipated, urgent, or emergency condition, including but not limited to a </w:t>
      </w:r>
      <w:r w:rsidRPr="007C1769">
        <w:rPr>
          <w:b w:val="0"/>
          <w:color w:val="auto"/>
          <w:sz w:val="22"/>
        </w:rPr>
        <w:t xml:space="preserve">threat to public health, welfare, </w:t>
      </w:r>
      <w:r w:rsidR="007C1769" w:rsidRPr="007C1769">
        <w:rPr>
          <w:b w:val="0"/>
          <w:color w:val="auto"/>
          <w:sz w:val="22"/>
        </w:rPr>
        <w:t>or </w:t>
      </w:r>
      <w:r w:rsidRPr="007C1769">
        <w:rPr>
          <w:b w:val="0"/>
          <w:color w:val="auto"/>
          <w:sz w:val="22"/>
        </w:rPr>
        <w:t>safety</w:t>
      </w:r>
      <w:r w:rsidR="00155662">
        <w:rPr>
          <w:b w:val="0"/>
          <w:color w:val="auto"/>
          <w:sz w:val="22"/>
        </w:rPr>
        <w:t xml:space="preserve">, </w:t>
      </w:r>
      <w:r w:rsidRPr="007C1769">
        <w:rPr>
          <w:b w:val="0"/>
          <w:color w:val="auto"/>
          <w:sz w:val="22"/>
        </w:rPr>
        <w:t>or when an unforeseen condition exists that requires procurement to preserve life</w:t>
      </w:r>
      <w:r w:rsidR="00276BCF">
        <w:rPr>
          <w:b w:val="0"/>
          <w:color w:val="auto"/>
          <w:sz w:val="22"/>
        </w:rPr>
        <w:t xml:space="preserve">, </w:t>
      </w:r>
      <w:r w:rsidRPr="007C1769">
        <w:rPr>
          <w:b w:val="0"/>
          <w:color w:val="auto"/>
          <w:sz w:val="22"/>
        </w:rPr>
        <w:t>safety</w:t>
      </w:r>
      <w:r w:rsidR="00276BCF">
        <w:rPr>
          <w:b w:val="0"/>
          <w:color w:val="auto"/>
          <w:sz w:val="22"/>
        </w:rPr>
        <w:t xml:space="preserve"> or </w:t>
      </w:r>
      <w:r w:rsidR="00B50C35">
        <w:rPr>
          <w:b w:val="0"/>
          <w:color w:val="auto"/>
          <w:sz w:val="22"/>
        </w:rPr>
        <w:t xml:space="preserve">to </w:t>
      </w:r>
      <w:r w:rsidR="00276BCF">
        <w:rPr>
          <w:b w:val="0"/>
          <w:color w:val="auto"/>
          <w:sz w:val="22"/>
        </w:rPr>
        <w:t>minimize property damage</w:t>
      </w:r>
      <w:r w:rsidR="007C1769" w:rsidRPr="007C1769">
        <w:rPr>
          <w:b w:val="0"/>
          <w:color w:val="auto"/>
          <w:sz w:val="22"/>
        </w:rPr>
        <w:t>. Emergency Procurements</w:t>
      </w:r>
      <w:r w:rsidR="00416BAF" w:rsidRPr="007C1769">
        <w:rPr>
          <w:b w:val="0"/>
          <w:color w:val="auto"/>
          <w:sz w:val="22"/>
        </w:rPr>
        <w:t xml:space="preserve"> may be made without a procurement process</w:t>
      </w:r>
      <w:r w:rsidRPr="007C1769">
        <w:rPr>
          <w:b w:val="0"/>
          <w:color w:val="auto"/>
          <w:sz w:val="22"/>
        </w:rPr>
        <w:t>.</w:t>
      </w:r>
      <w:r w:rsidR="00712E57">
        <w:rPr>
          <w:b w:val="0"/>
          <w:color w:val="auto"/>
          <w:sz w:val="22"/>
        </w:rPr>
        <w:t xml:space="preserve"> The Chief Procurement Officer shall ensure that written documentation describing the specific emergency that necessitated the emergency procurement is prepared and retained.</w:t>
      </w:r>
      <w:bookmarkEnd w:id="19"/>
      <w:bookmarkEnd w:id="20"/>
      <w:r w:rsidR="00712E57">
        <w:rPr>
          <w:b w:val="0"/>
          <w:color w:val="auto"/>
          <w:sz w:val="22"/>
        </w:rPr>
        <w:t xml:space="preserve"> </w:t>
      </w:r>
      <w:r w:rsidR="00416BAF" w:rsidRPr="007C1769">
        <w:rPr>
          <w:b w:val="0"/>
          <w:color w:val="auto"/>
          <w:sz w:val="22"/>
        </w:rPr>
        <w:t xml:space="preserve"> </w:t>
      </w:r>
    </w:p>
    <w:p w14:paraId="00B69E67" w14:textId="77777777" w:rsidR="00155662" w:rsidRDefault="00155662" w:rsidP="007C1769">
      <w:pPr>
        <w:pStyle w:val="Heading2"/>
        <w:spacing w:after="0" w:line="259" w:lineRule="auto"/>
        <w:ind w:left="1142"/>
        <w:rPr>
          <w:b w:val="0"/>
          <w:color w:val="auto"/>
          <w:sz w:val="22"/>
        </w:rPr>
      </w:pPr>
    </w:p>
    <w:p w14:paraId="4D53A553" w14:textId="433C708D" w:rsidR="007C1769" w:rsidRPr="0051150F" w:rsidRDefault="007C1769" w:rsidP="007C1769">
      <w:pPr>
        <w:pStyle w:val="Heading2"/>
        <w:spacing w:after="0" w:line="259" w:lineRule="auto"/>
        <w:ind w:left="1142"/>
        <w:rPr>
          <w:color w:val="auto"/>
        </w:rPr>
      </w:pPr>
      <w:bookmarkStart w:id="21" w:name="_Toc182309264"/>
      <w:bookmarkStart w:id="22" w:name="_Toc182309562"/>
      <w:r>
        <w:rPr>
          <w:color w:val="auto"/>
          <w:sz w:val="28"/>
        </w:rPr>
        <w:t>Associations, Conferences, and Sponsorships</w:t>
      </w:r>
      <w:bookmarkEnd w:id="21"/>
      <w:bookmarkEnd w:id="22"/>
    </w:p>
    <w:p w14:paraId="6483AF0A" w14:textId="641415A1" w:rsidR="00424212" w:rsidRPr="003D78EF" w:rsidRDefault="007C1769" w:rsidP="003D78EF">
      <w:pPr>
        <w:spacing w:after="549"/>
        <w:ind w:left="1156"/>
        <w:rPr>
          <w:color w:val="auto"/>
        </w:rPr>
      </w:pPr>
      <w:r>
        <w:rPr>
          <w:color w:val="auto"/>
        </w:rPr>
        <w:t>Professional associations, dues, conferences, and sponsorships do not require the use of a procurement process. Such expenditures should be evaluated to ensure the value is commensurate with the cost.</w:t>
      </w:r>
    </w:p>
    <w:p w14:paraId="42B7CB6D" w14:textId="6F584DD6" w:rsidR="00575853" w:rsidRDefault="00712E57">
      <w:pPr>
        <w:pStyle w:val="Heading1"/>
        <w:tabs>
          <w:tab w:val="center" w:pos="648"/>
          <w:tab w:val="center" w:pos="3952"/>
        </w:tabs>
        <w:spacing w:after="32" w:line="259" w:lineRule="auto"/>
        <w:ind w:left="0" w:firstLine="0"/>
        <w:rPr>
          <w:rFonts w:ascii="Times New Roman" w:eastAsia="Times New Roman" w:hAnsi="Times New Roman" w:cs="Times New Roman"/>
          <w:color w:val="auto"/>
          <w:sz w:val="28"/>
        </w:rPr>
      </w:pPr>
      <w:r w:rsidRPr="0051150F">
        <w:rPr>
          <w:b w:val="0"/>
          <w:color w:val="auto"/>
          <w:sz w:val="22"/>
        </w:rPr>
        <w:lastRenderedPageBreak/>
        <w:tab/>
      </w:r>
      <w:bookmarkStart w:id="23" w:name="_Toc182309563"/>
      <w:r w:rsidR="00C70B8E">
        <w:rPr>
          <w:rFonts w:ascii="Times New Roman" w:eastAsia="Times New Roman" w:hAnsi="Times New Roman" w:cs="Times New Roman"/>
          <w:color w:val="auto"/>
          <w:sz w:val="28"/>
        </w:rPr>
        <w:t>I</w:t>
      </w:r>
      <w:r w:rsidR="00B50C35">
        <w:rPr>
          <w:rFonts w:ascii="Times New Roman" w:eastAsia="Times New Roman" w:hAnsi="Times New Roman" w:cs="Times New Roman"/>
          <w:color w:val="auto"/>
          <w:sz w:val="28"/>
        </w:rPr>
        <w:t>V</w:t>
      </w:r>
      <w:r w:rsidRPr="0051150F">
        <w:rPr>
          <w:rFonts w:ascii="Times New Roman" w:eastAsia="Times New Roman" w:hAnsi="Times New Roman" w:cs="Times New Roman"/>
          <w:color w:val="auto"/>
          <w:sz w:val="28"/>
        </w:rPr>
        <w:t>.</w:t>
      </w:r>
      <w:r w:rsidRPr="0051150F">
        <w:rPr>
          <w:rFonts w:ascii="Arial" w:eastAsia="Arial" w:hAnsi="Arial" w:cs="Arial"/>
          <w:b w:val="0"/>
          <w:color w:val="auto"/>
          <w:sz w:val="43"/>
          <w:vertAlign w:val="subscript"/>
        </w:rPr>
        <w:t xml:space="preserve"> </w:t>
      </w:r>
      <w:r w:rsidR="00C70B8E">
        <w:rPr>
          <w:rFonts w:ascii="Times New Roman" w:eastAsia="Times New Roman" w:hAnsi="Times New Roman" w:cs="Times New Roman"/>
          <w:color w:val="auto"/>
          <w:sz w:val="28"/>
        </w:rPr>
        <w:t>Approvals</w:t>
      </w:r>
      <w:bookmarkEnd w:id="23"/>
    </w:p>
    <w:p w14:paraId="5E1611C8" w14:textId="77777777" w:rsidR="00C70B8E" w:rsidRDefault="00C70B8E" w:rsidP="00C70B8E"/>
    <w:p w14:paraId="2E053973" w14:textId="23029F37" w:rsidR="00C70B8E" w:rsidRDefault="00C70B8E" w:rsidP="00C70B8E">
      <w:r>
        <w:t>Approvals for procurements under $50,000 will be done by the Chief Procurement Officer</w:t>
      </w:r>
      <w:r w:rsidR="00DF3F82">
        <w:t xml:space="preserve"> or his designee</w:t>
      </w:r>
      <w:r>
        <w:t xml:space="preserve">. Purchases over $50,000 will be approved by the board in a public meeting. </w:t>
      </w:r>
    </w:p>
    <w:p w14:paraId="76D2E364" w14:textId="77777777" w:rsidR="00C70B8E" w:rsidRDefault="00C70B8E" w:rsidP="00C70B8E"/>
    <w:p w14:paraId="73396397" w14:textId="6C19571F" w:rsidR="00C70B8E" w:rsidRDefault="00C70B8E" w:rsidP="00C70B8E">
      <w:pPr>
        <w:pStyle w:val="Heading1"/>
        <w:tabs>
          <w:tab w:val="center" w:pos="648"/>
          <w:tab w:val="center" w:pos="3952"/>
        </w:tabs>
        <w:spacing w:after="32" w:line="259" w:lineRule="auto"/>
        <w:ind w:left="0" w:firstLine="0"/>
        <w:rPr>
          <w:rFonts w:ascii="Times New Roman" w:eastAsia="Times New Roman" w:hAnsi="Times New Roman" w:cs="Times New Roman"/>
          <w:color w:val="auto"/>
          <w:sz w:val="28"/>
        </w:rPr>
      </w:pPr>
      <w:bookmarkStart w:id="24" w:name="_Toc182309564"/>
      <w:r>
        <w:rPr>
          <w:rFonts w:ascii="Times New Roman" w:eastAsia="Times New Roman" w:hAnsi="Times New Roman" w:cs="Times New Roman"/>
          <w:color w:val="auto"/>
          <w:sz w:val="28"/>
        </w:rPr>
        <w:t>V</w:t>
      </w:r>
      <w:r w:rsidRPr="0051150F">
        <w:rPr>
          <w:rFonts w:ascii="Times New Roman" w:eastAsia="Times New Roman" w:hAnsi="Times New Roman" w:cs="Times New Roman"/>
          <w:color w:val="auto"/>
          <w:sz w:val="28"/>
        </w:rPr>
        <w:t>.</w:t>
      </w:r>
      <w:r w:rsidRPr="0051150F">
        <w:rPr>
          <w:rFonts w:ascii="Arial" w:eastAsia="Arial" w:hAnsi="Arial" w:cs="Arial"/>
          <w:b w:val="0"/>
          <w:color w:val="auto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</w:rPr>
        <w:t>Bid Process</w:t>
      </w:r>
      <w:bookmarkEnd w:id="24"/>
    </w:p>
    <w:p w14:paraId="7BAE8D44" w14:textId="77777777" w:rsidR="00C70B8E" w:rsidRDefault="00C70B8E" w:rsidP="00C70B8E"/>
    <w:p w14:paraId="2C708209" w14:textId="5BEDD8FD" w:rsidR="00C70B8E" w:rsidRDefault="00C70B8E" w:rsidP="00C70B8E">
      <w:r>
        <w:t xml:space="preserve">For any procurement for which a Competitive Purchase is utilized, </w:t>
      </w:r>
      <w:r w:rsidR="00D51DE8">
        <w:t xml:space="preserve">UFAIR will ensure a fair and equitable process is followed. Such processes will include conflict of interest disclosure, </w:t>
      </w:r>
      <w:r w:rsidR="0058233C">
        <w:t xml:space="preserve">evaluation by </w:t>
      </w:r>
      <w:r w:rsidR="00D51DE8">
        <w:t xml:space="preserve">a bid evaluation committee, and a sealed bid process. UFAIR will generally follow State of Utah Division of Purchasing processes for items not specially addressed in this policy. </w:t>
      </w:r>
    </w:p>
    <w:p w14:paraId="5781BE9E" w14:textId="77777777" w:rsidR="00646204" w:rsidRDefault="00646204" w:rsidP="00C70B8E"/>
    <w:p w14:paraId="47CF4A47" w14:textId="4B83A16E" w:rsidR="00646204" w:rsidRPr="00155662" w:rsidRDefault="00B50C35" w:rsidP="007A5E36">
      <w:pPr>
        <w:pStyle w:val="Heading1"/>
        <w:tabs>
          <w:tab w:val="center" w:pos="648"/>
          <w:tab w:val="center" w:pos="3952"/>
        </w:tabs>
        <w:spacing w:after="32" w:line="259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bookmarkStart w:id="25" w:name="_Toc182309565"/>
      <w:r w:rsidRPr="007A5E36">
        <w:rPr>
          <w:rFonts w:ascii="Times New Roman" w:eastAsia="Times New Roman" w:hAnsi="Times New Roman" w:cs="Times New Roman"/>
          <w:color w:val="auto"/>
          <w:sz w:val="28"/>
        </w:rPr>
        <w:t xml:space="preserve">V. </w:t>
      </w:r>
      <w:r w:rsidR="00646204" w:rsidRPr="007A5E36">
        <w:rPr>
          <w:rFonts w:ascii="Times New Roman" w:eastAsia="Times New Roman" w:hAnsi="Times New Roman" w:cs="Times New Roman"/>
          <w:color w:val="auto"/>
          <w:sz w:val="28"/>
        </w:rPr>
        <w:t xml:space="preserve">Evaluation </w:t>
      </w:r>
      <w:r w:rsidR="00952F6D" w:rsidRPr="007A5E36">
        <w:rPr>
          <w:rFonts w:ascii="Times New Roman" w:eastAsia="Times New Roman" w:hAnsi="Times New Roman" w:cs="Times New Roman"/>
          <w:color w:val="auto"/>
          <w:sz w:val="28"/>
        </w:rPr>
        <w:t xml:space="preserve">Committee </w:t>
      </w:r>
      <w:r w:rsidR="00646204" w:rsidRPr="007A5E36">
        <w:rPr>
          <w:rFonts w:ascii="Times New Roman" w:eastAsia="Times New Roman" w:hAnsi="Times New Roman" w:cs="Times New Roman"/>
          <w:color w:val="auto"/>
          <w:sz w:val="28"/>
        </w:rPr>
        <w:t>Procedures</w:t>
      </w:r>
      <w:bookmarkEnd w:id="25"/>
    </w:p>
    <w:p w14:paraId="6F7FED97" w14:textId="77777777" w:rsidR="00646204" w:rsidRPr="00155662" w:rsidRDefault="00646204" w:rsidP="00C70B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F02C4C" w14:textId="77777777" w:rsidR="00646204" w:rsidRPr="007A5E36" w:rsidRDefault="00646204" w:rsidP="007A5E36">
      <w:r w:rsidRPr="007A5E36">
        <w:t>(1) Generally, bids, proposals and related matters shall be evaluated using the criteria in this</w:t>
      </w:r>
    </w:p>
    <w:p w14:paraId="33E033D4" w14:textId="77777777" w:rsidR="00646204" w:rsidRPr="007A5E36" w:rsidRDefault="00646204" w:rsidP="007A5E36">
      <w:r w:rsidRPr="007A5E36">
        <w:t>Procurement Policy as follows:</w:t>
      </w:r>
    </w:p>
    <w:p w14:paraId="4117F0BE" w14:textId="77777777" w:rsidR="00152EB6" w:rsidRPr="007A5E36" w:rsidRDefault="00152EB6" w:rsidP="007A5E36"/>
    <w:p w14:paraId="3B312C26" w14:textId="5D08C9B0" w:rsidR="00646204" w:rsidRPr="007A5E36" w:rsidRDefault="00646204" w:rsidP="007A5E36">
      <w:pPr>
        <w:ind w:left="1260"/>
      </w:pPr>
      <w:r w:rsidRPr="007A5E36">
        <w:t>(a) The</w:t>
      </w:r>
      <w:r w:rsidR="00952F6D" w:rsidRPr="007A5E36">
        <w:t xml:space="preserve"> evaluation committee </w:t>
      </w:r>
      <w:r w:rsidRPr="007A5E36">
        <w:t>shall consider the evaluation criteria stated in a bid or proposal</w:t>
      </w:r>
    </w:p>
    <w:p w14:paraId="6877895D" w14:textId="77777777" w:rsidR="00646204" w:rsidRPr="007A5E36" w:rsidRDefault="00646204" w:rsidP="007A5E36">
      <w:pPr>
        <w:ind w:left="1260"/>
      </w:pPr>
      <w:r w:rsidRPr="007A5E36">
        <w:t>package or other solicitation document.</w:t>
      </w:r>
    </w:p>
    <w:p w14:paraId="61BEE360" w14:textId="77777777" w:rsidR="00152EB6" w:rsidRPr="007A5E36" w:rsidRDefault="00152EB6" w:rsidP="007A5E36">
      <w:pPr>
        <w:ind w:left="1260"/>
      </w:pPr>
    </w:p>
    <w:p w14:paraId="4CDDB3A3" w14:textId="105F1A41" w:rsidR="00646204" w:rsidRPr="007A5E36" w:rsidRDefault="00646204" w:rsidP="007A5E36">
      <w:pPr>
        <w:ind w:left="1260"/>
      </w:pPr>
      <w:r w:rsidRPr="007A5E36">
        <w:t xml:space="preserve">(b) The </w:t>
      </w:r>
      <w:r w:rsidR="00952F6D" w:rsidRPr="007A5E36">
        <w:t>evaluation committee</w:t>
      </w:r>
      <w:r w:rsidRPr="007A5E36">
        <w:t xml:space="preserve"> shall consider whether a bid, proposal or other offer or submission</w:t>
      </w:r>
    </w:p>
    <w:p w14:paraId="704161E8" w14:textId="377058FD" w:rsidR="00646204" w:rsidRPr="007A5E36" w:rsidRDefault="00646204" w:rsidP="007A5E36">
      <w:pPr>
        <w:ind w:left="1260"/>
      </w:pPr>
      <w:r w:rsidRPr="007A5E36">
        <w:t>is responsive to UFAIR’s request, whether the bidder or offeror is responsible, and whether</w:t>
      </w:r>
    </w:p>
    <w:p w14:paraId="1755FE7D" w14:textId="77777777" w:rsidR="00646204" w:rsidRPr="007A5E36" w:rsidRDefault="00646204" w:rsidP="007A5E36">
      <w:pPr>
        <w:ind w:left="1260"/>
      </w:pPr>
      <w:r w:rsidRPr="007A5E36">
        <w:t>any element conflicts with other criteria in this Procurement Policy.</w:t>
      </w:r>
    </w:p>
    <w:p w14:paraId="1DE12F79" w14:textId="77777777" w:rsidR="00152EB6" w:rsidRPr="007A5E36" w:rsidRDefault="00152EB6" w:rsidP="007A5E36">
      <w:pPr>
        <w:ind w:left="1260"/>
      </w:pPr>
    </w:p>
    <w:p w14:paraId="5910C8F7" w14:textId="095F1DBB" w:rsidR="00646204" w:rsidRPr="007A5E36" w:rsidRDefault="00646204" w:rsidP="007A5E36">
      <w:pPr>
        <w:ind w:left="1260"/>
      </w:pPr>
      <w:r w:rsidRPr="007A5E36">
        <w:t>(c) To be responsive to a bid, proposal</w:t>
      </w:r>
      <w:r w:rsidR="00155662" w:rsidRPr="007A5E36">
        <w:t>,</w:t>
      </w:r>
      <w:r w:rsidRPr="007A5E36">
        <w:t xml:space="preserve"> or other offer</w:t>
      </w:r>
      <w:r w:rsidR="00155662" w:rsidRPr="007A5E36">
        <w:t>,</w:t>
      </w:r>
      <w:r w:rsidR="00F27E30" w:rsidRPr="007A5E36">
        <w:t xml:space="preserve"> the</w:t>
      </w:r>
      <w:r w:rsidRPr="007A5E36">
        <w:t xml:space="preserve"> submission must conform in all</w:t>
      </w:r>
    </w:p>
    <w:p w14:paraId="73FA9779" w14:textId="77777777" w:rsidR="00646204" w:rsidRPr="007A5E36" w:rsidRDefault="00646204" w:rsidP="007A5E36">
      <w:pPr>
        <w:ind w:left="1260"/>
      </w:pPr>
      <w:r w:rsidRPr="007A5E36">
        <w:t>material respects to the terms of the solicitation documents. Ministerial errors and other</w:t>
      </w:r>
    </w:p>
    <w:p w14:paraId="6F9204CD" w14:textId="77777777" w:rsidR="00646204" w:rsidRPr="007A5E36" w:rsidRDefault="00646204" w:rsidP="007A5E36">
      <w:pPr>
        <w:ind w:left="1260"/>
      </w:pPr>
      <w:r w:rsidRPr="007A5E36">
        <w:t>matters in a bid, proposal or other offer or submission will not necessarily render it</w:t>
      </w:r>
    </w:p>
    <w:p w14:paraId="4FCF1273" w14:textId="627C1779" w:rsidR="00646204" w:rsidRPr="007A5E36" w:rsidRDefault="00646204" w:rsidP="007A5E36">
      <w:pPr>
        <w:ind w:left="1260"/>
      </w:pPr>
      <w:r w:rsidRPr="007A5E36">
        <w:t>non-responsive, and the</w:t>
      </w:r>
      <w:r w:rsidR="00952F6D" w:rsidRPr="007A5E36">
        <w:t xml:space="preserve"> evaluation committee</w:t>
      </w:r>
      <w:r w:rsidRPr="007A5E36">
        <w:t xml:space="preserve"> shall review such matters and evaluate</w:t>
      </w:r>
    </w:p>
    <w:p w14:paraId="5603A7DC" w14:textId="77777777" w:rsidR="00646204" w:rsidRPr="007A5E36" w:rsidRDefault="00646204" w:rsidP="007A5E36">
      <w:pPr>
        <w:ind w:left="1260"/>
      </w:pPr>
      <w:r w:rsidRPr="007A5E36">
        <w:t>responsiveness based on any additional reasonable criteria.</w:t>
      </w:r>
    </w:p>
    <w:p w14:paraId="67AFAE35" w14:textId="77777777" w:rsidR="00152EB6" w:rsidRDefault="00152EB6" w:rsidP="007A5E36">
      <w:pPr>
        <w:ind w:left="1260"/>
      </w:pPr>
    </w:p>
    <w:p w14:paraId="03C66D11" w14:textId="77777777" w:rsidR="007A5E36" w:rsidRDefault="007A5E36" w:rsidP="007A5E36">
      <w:pPr>
        <w:ind w:left="1260"/>
      </w:pPr>
    </w:p>
    <w:p w14:paraId="7BFDA873" w14:textId="77777777" w:rsidR="007A5E36" w:rsidRDefault="007A5E36" w:rsidP="007A5E36">
      <w:pPr>
        <w:ind w:left="1260"/>
      </w:pPr>
    </w:p>
    <w:p w14:paraId="65E4EB2D" w14:textId="77777777" w:rsidR="007A5E36" w:rsidRDefault="007A5E36" w:rsidP="007A5E36">
      <w:pPr>
        <w:ind w:left="1260"/>
      </w:pPr>
    </w:p>
    <w:p w14:paraId="319BD6FF" w14:textId="77777777" w:rsidR="007A5E36" w:rsidRPr="007A5E36" w:rsidRDefault="007A5E36" w:rsidP="007A5E36">
      <w:pPr>
        <w:ind w:left="1260"/>
      </w:pPr>
    </w:p>
    <w:p w14:paraId="654B73D8" w14:textId="77777777" w:rsidR="00646204" w:rsidRPr="007A5E36" w:rsidRDefault="00646204" w:rsidP="007A5E36">
      <w:pPr>
        <w:ind w:left="1260"/>
      </w:pPr>
      <w:r w:rsidRPr="007A5E36">
        <w:t>(d) To be responsive to a bid, a bidder or offeror must have the capability in all respects to</w:t>
      </w:r>
    </w:p>
    <w:p w14:paraId="1AA805E7" w14:textId="031127AB" w:rsidR="00646204" w:rsidRPr="007A5E36" w:rsidRDefault="00646204" w:rsidP="007A5E36">
      <w:pPr>
        <w:ind w:left="1260"/>
      </w:pPr>
      <w:r w:rsidRPr="007A5E36">
        <w:t xml:space="preserve">fully perform the requirements based upon relevant factors </w:t>
      </w:r>
      <w:r w:rsidR="0051418E" w:rsidRPr="007A5E36">
        <w:t xml:space="preserve">including but not limited to: </w:t>
      </w:r>
    </w:p>
    <w:p w14:paraId="3A5EBB48" w14:textId="270A7C01" w:rsidR="00646204" w:rsidRPr="007A5E36" w:rsidRDefault="00646204" w:rsidP="007A5E36">
      <w:pPr>
        <w:ind w:left="1800"/>
      </w:pPr>
      <w:r w:rsidRPr="007A5E36">
        <w:t>(</w:t>
      </w:r>
      <w:proofErr w:type="spellStart"/>
      <w:r w:rsidRPr="007A5E36">
        <w:t>i</w:t>
      </w:r>
      <w:proofErr w:type="spellEnd"/>
      <w:r w:rsidRPr="007A5E36">
        <w:t>) whether the bidder has appropriate financial, material, equipment, facility and</w:t>
      </w:r>
      <w:r w:rsidR="007A5E36">
        <w:t xml:space="preserve"> </w:t>
      </w:r>
      <w:r w:rsidRPr="007A5E36">
        <w:t xml:space="preserve">personnel resources and expertise, or the ability to obtain </w:t>
      </w:r>
      <w:proofErr w:type="gramStart"/>
      <w:r w:rsidRPr="007A5E36">
        <w:t>them;</w:t>
      </w:r>
      <w:proofErr w:type="gramEnd"/>
    </w:p>
    <w:p w14:paraId="5F4381FC" w14:textId="049A4705" w:rsidR="00646204" w:rsidRPr="007A5E36" w:rsidRDefault="00646204" w:rsidP="007A5E36">
      <w:pPr>
        <w:ind w:left="1800"/>
      </w:pPr>
      <w:r w:rsidRPr="007A5E36">
        <w:t xml:space="preserve">(ii) the legal capacity to enter into an agreement with </w:t>
      </w:r>
      <w:proofErr w:type="gramStart"/>
      <w:r w:rsidR="00E07889" w:rsidRPr="007A5E36">
        <w:t>UFAIR</w:t>
      </w:r>
      <w:r w:rsidRPr="007A5E36">
        <w:t>;</w:t>
      </w:r>
      <w:proofErr w:type="gramEnd"/>
    </w:p>
    <w:p w14:paraId="7EEFE770" w14:textId="3BDE8FAB" w:rsidR="00646204" w:rsidRPr="007A5E36" w:rsidRDefault="00646204" w:rsidP="007A5E36">
      <w:pPr>
        <w:ind w:left="1800"/>
      </w:pPr>
      <w:r w:rsidRPr="007A5E36">
        <w:t xml:space="preserve">(iii) the bidder’s skill, ability, and quality of </w:t>
      </w:r>
      <w:proofErr w:type="gramStart"/>
      <w:r w:rsidRPr="007A5E36">
        <w:t>performance;</w:t>
      </w:r>
      <w:proofErr w:type="gramEnd"/>
    </w:p>
    <w:p w14:paraId="011A25FE" w14:textId="77777777" w:rsidR="00155662" w:rsidRPr="007A5E36" w:rsidRDefault="00155662" w:rsidP="007A5E36"/>
    <w:p w14:paraId="7521068F" w14:textId="1A9F1FF9" w:rsidR="00E07889" w:rsidRDefault="006F137D" w:rsidP="007A5E36">
      <w:pPr>
        <w:pStyle w:val="Heading1"/>
        <w:tabs>
          <w:tab w:val="center" w:pos="648"/>
          <w:tab w:val="center" w:pos="3952"/>
        </w:tabs>
        <w:spacing w:after="32" w:line="259" w:lineRule="auto"/>
        <w:ind w:left="0" w:firstLine="0"/>
        <w:rPr>
          <w:rFonts w:ascii="Times New Roman" w:eastAsia="Times New Roman" w:hAnsi="Times New Roman" w:cs="Times New Roman"/>
          <w:color w:val="auto"/>
          <w:sz w:val="28"/>
        </w:rPr>
      </w:pPr>
      <w:bookmarkStart w:id="26" w:name="_Toc182309566"/>
      <w:r w:rsidRPr="007A5E36">
        <w:rPr>
          <w:rFonts w:ascii="Times New Roman" w:eastAsia="Times New Roman" w:hAnsi="Times New Roman" w:cs="Times New Roman"/>
          <w:color w:val="auto"/>
          <w:sz w:val="28"/>
        </w:rPr>
        <w:t>VI.</w:t>
      </w:r>
      <w:r w:rsidRPr="007A5E36">
        <w:rPr>
          <w:rFonts w:ascii="Times New Roman" w:eastAsia="Times New Roman" w:hAnsi="Times New Roman" w:cs="Times New Roman"/>
          <w:color w:val="auto"/>
          <w:sz w:val="28"/>
        </w:rPr>
        <w:tab/>
      </w:r>
      <w:r w:rsidR="007A5E36">
        <w:rPr>
          <w:rFonts w:ascii="Times New Roman" w:eastAsia="Times New Roman" w:hAnsi="Times New Roman" w:cs="Times New Roman"/>
          <w:color w:val="auto"/>
          <w:sz w:val="28"/>
        </w:rPr>
        <w:t xml:space="preserve"> Bonding</w:t>
      </w:r>
      <w:bookmarkEnd w:id="26"/>
    </w:p>
    <w:p w14:paraId="564D73DF" w14:textId="77777777" w:rsidR="007A5E36" w:rsidRPr="007A5E36" w:rsidRDefault="007A5E36" w:rsidP="007A5E36"/>
    <w:p w14:paraId="0F059902" w14:textId="35E4B2BF" w:rsidR="00E07889" w:rsidRPr="007A5E36" w:rsidRDefault="00E07889" w:rsidP="007A5E36">
      <w:r w:rsidRPr="007A5E36">
        <w:t xml:space="preserve">Bid and performance bonds for Supplies or Services may be requested </w:t>
      </w:r>
      <w:r w:rsidR="00155662" w:rsidRPr="007A5E36">
        <w:t>by</w:t>
      </w:r>
      <w:r w:rsidRPr="007A5E36">
        <w:t xml:space="preserve"> the </w:t>
      </w:r>
      <w:r w:rsidR="0051418E" w:rsidRPr="007A5E36">
        <w:t>Chief Procurement Officer</w:t>
      </w:r>
      <w:r w:rsidR="00155662" w:rsidRPr="007A5E36">
        <w:t>.</w:t>
      </w:r>
    </w:p>
    <w:p w14:paraId="02D32959" w14:textId="77777777" w:rsidR="00C70B8E" w:rsidRPr="005B0A4B" w:rsidRDefault="00C70B8E" w:rsidP="00C70B8E">
      <w:pPr>
        <w:rPr>
          <w:szCs w:val="22"/>
        </w:rPr>
      </w:pPr>
    </w:p>
    <w:p w14:paraId="589A2FB5" w14:textId="77777777" w:rsidR="00C70B8E" w:rsidRPr="005B0A4B" w:rsidRDefault="00C70B8E" w:rsidP="00C70B8E">
      <w:pPr>
        <w:rPr>
          <w:szCs w:val="22"/>
        </w:rPr>
      </w:pPr>
    </w:p>
    <w:p w14:paraId="5F8627B3" w14:textId="77777777" w:rsidR="00C70B8E" w:rsidRDefault="00C70B8E" w:rsidP="00C70B8E"/>
    <w:p w14:paraId="1A39F68C" w14:textId="77777777" w:rsidR="00C70B8E" w:rsidRDefault="00C70B8E" w:rsidP="00C70B8E"/>
    <w:p w14:paraId="6688A007" w14:textId="77777777" w:rsidR="00C70B8E" w:rsidRDefault="00C70B8E" w:rsidP="00C70B8E"/>
    <w:p w14:paraId="1DEA8243" w14:textId="77777777" w:rsidR="00C70B8E" w:rsidRPr="00C70B8E" w:rsidRDefault="00C70B8E" w:rsidP="00C70B8E"/>
    <w:sectPr w:rsidR="00C70B8E" w:rsidRPr="00C70B8E" w:rsidSect="00C70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443" w:bottom="2658" w:left="10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F10A" w14:textId="77777777" w:rsidR="00386F1E" w:rsidRDefault="00386F1E">
      <w:pPr>
        <w:spacing w:after="0" w:line="240" w:lineRule="auto"/>
      </w:pPr>
      <w:r>
        <w:separator/>
      </w:r>
    </w:p>
  </w:endnote>
  <w:endnote w:type="continuationSeparator" w:id="0">
    <w:p w14:paraId="065B4143" w14:textId="77777777" w:rsidR="00386F1E" w:rsidRDefault="0038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445" w:tblpY="13471"/>
      <w:tblOverlap w:val="never"/>
      <w:tblW w:w="9350" w:type="dxa"/>
      <w:tblInd w:w="0" w:type="dxa"/>
      <w:tblCellMar>
        <w:top w:w="5" w:type="dxa"/>
        <w:left w:w="108" w:type="dxa"/>
        <w:right w:w="70" w:type="dxa"/>
      </w:tblCellMar>
      <w:tblLook w:val="04A0" w:firstRow="1" w:lastRow="0" w:firstColumn="1" w:lastColumn="0" w:noHBand="0" w:noVBand="1"/>
    </w:tblPr>
    <w:tblGrid>
      <w:gridCol w:w="2155"/>
      <w:gridCol w:w="2520"/>
      <w:gridCol w:w="2160"/>
      <w:gridCol w:w="2515"/>
    </w:tblGrid>
    <w:tr w:rsidR="00575853" w14:paraId="058FDB2A" w14:textId="77777777">
      <w:trPr>
        <w:trHeight w:val="262"/>
      </w:trPr>
      <w:tc>
        <w:tcPr>
          <w:tcW w:w="215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04D4341D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Document Number: </w:t>
          </w:r>
        </w:p>
      </w:tc>
      <w:tc>
        <w:tcPr>
          <w:tcW w:w="252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BDFF2C8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BP-07 </w:t>
          </w:r>
        </w:p>
      </w:tc>
      <w:tc>
        <w:tcPr>
          <w:tcW w:w="216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3971CFFA" w14:textId="77777777" w:rsidR="00575853" w:rsidRDefault="00712E57">
          <w:pPr>
            <w:spacing w:after="0" w:line="259" w:lineRule="auto"/>
            <w:ind w:left="0" w:right="38" w:firstLine="0"/>
            <w:jc w:val="right"/>
          </w:pPr>
          <w:r>
            <w:rPr>
              <w:b/>
              <w:color w:val="535959"/>
              <w:sz w:val="20"/>
            </w:rPr>
            <w:t xml:space="preserve">Version: </w:t>
          </w:r>
        </w:p>
      </w:tc>
      <w:tc>
        <w:tcPr>
          <w:tcW w:w="251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E44842F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3.0 </w:t>
          </w:r>
        </w:p>
      </w:tc>
    </w:tr>
    <w:tr w:rsidR="00575853" w14:paraId="6A21DEDE" w14:textId="77777777">
      <w:trPr>
        <w:trHeight w:val="264"/>
      </w:trPr>
      <w:tc>
        <w:tcPr>
          <w:tcW w:w="215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7AD796CC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Effective Date: </w:t>
          </w:r>
        </w:p>
      </w:tc>
      <w:tc>
        <w:tcPr>
          <w:tcW w:w="252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3BC10752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December 2019 </w:t>
          </w:r>
        </w:p>
      </w:tc>
      <w:tc>
        <w:tcPr>
          <w:tcW w:w="216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7742AE53" w14:textId="77777777" w:rsidR="00575853" w:rsidRDefault="00712E57">
          <w:pPr>
            <w:spacing w:after="0" w:line="259" w:lineRule="auto"/>
            <w:ind w:left="0" w:right="37" w:firstLine="0"/>
            <w:jc w:val="right"/>
          </w:pPr>
          <w:r>
            <w:rPr>
              <w:b/>
              <w:color w:val="535959"/>
              <w:sz w:val="20"/>
            </w:rPr>
            <w:t xml:space="preserve">Last Revision Date: </w:t>
          </w:r>
        </w:p>
      </w:tc>
      <w:tc>
        <w:tcPr>
          <w:tcW w:w="251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426A8AD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January 10, </w:t>
          </w:r>
          <w:proofErr w:type="gramStart"/>
          <w:r>
            <w:rPr>
              <w:color w:val="535959"/>
              <w:sz w:val="20"/>
            </w:rPr>
            <w:t>2024</w:t>
          </w:r>
          <w:proofErr w:type="gramEnd"/>
          <w:r>
            <w:rPr>
              <w:color w:val="535959"/>
              <w:sz w:val="20"/>
            </w:rPr>
            <w:t xml:space="preserve"> </w:t>
          </w:r>
        </w:p>
      </w:tc>
    </w:tr>
    <w:tr w:rsidR="00575853" w14:paraId="345A01BC" w14:textId="77777777">
      <w:trPr>
        <w:trHeight w:val="262"/>
      </w:trPr>
      <w:tc>
        <w:tcPr>
          <w:tcW w:w="215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306FEBAD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Policy Owner: </w:t>
          </w:r>
        </w:p>
      </w:tc>
      <w:tc>
        <w:tcPr>
          <w:tcW w:w="252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0B11D72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Amy Brown Coffin </w:t>
          </w:r>
        </w:p>
      </w:tc>
      <w:tc>
        <w:tcPr>
          <w:tcW w:w="216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35C370D6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Approved By: </w:t>
          </w:r>
        </w:p>
      </w:tc>
      <w:tc>
        <w:tcPr>
          <w:tcW w:w="251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25CC9417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UIPA Board </w:t>
          </w:r>
        </w:p>
      </w:tc>
    </w:tr>
  </w:tbl>
  <w:p w14:paraId="7C0158CB" w14:textId="77777777" w:rsidR="00575853" w:rsidRDefault="00712E57">
    <w:pPr>
      <w:spacing w:after="782" w:line="259" w:lineRule="auto"/>
      <w:ind w:left="46" w:firstLine="0"/>
      <w:jc w:val="center"/>
    </w:pPr>
    <w:r>
      <w:t xml:space="preserve"> </w:t>
    </w:r>
  </w:p>
  <w:p w14:paraId="5AB8593B" w14:textId="77777777" w:rsidR="00575853" w:rsidRDefault="00712E57">
    <w:pPr>
      <w:spacing w:after="19" w:line="259" w:lineRule="auto"/>
      <w:ind w:left="0" w:right="-46" w:firstLine="0"/>
      <w:jc w:val="right"/>
    </w:pPr>
    <w:r>
      <w:rPr>
        <w:color w:val="535959"/>
      </w:rPr>
      <w:t xml:space="preserve"> </w:t>
    </w:r>
  </w:p>
  <w:p w14:paraId="6D442571" w14:textId="77777777" w:rsidR="00575853" w:rsidRDefault="00712E57">
    <w:pPr>
      <w:spacing w:after="0" w:line="259" w:lineRule="auto"/>
      <w:ind w:left="0" w:right="-1" w:firstLine="0"/>
      <w:jc w:val="right"/>
    </w:pPr>
    <w:r>
      <w:rPr>
        <w:color w:val="53595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535959"/>
        <w:sz w:val="24"/>
      </w:rPr>
      <w:t>10</w:t>
    </w:r>
    <w:r>
      <w:rPr>
        <w:b/>
        <w:color w:val="535959"/>
        <w:sz w:val="24"/>
      </w:rPr>
      <w:fldChar w:fldCharType="end"/>
    </w:r>
    <w:r>
      <w:rPr>
        <w:color w:val="535959"/>
      </w:rPr>
      <w:t xml:space="preserve"> of </w:t>
    </w:r>
    <w:fldSimple w:instr=" NUMPAGES   \* MERGEFORMAT ">
      <w:r w:rsidR="00575853">
        <w:rPr>
          <w:b/>
          <w:color w:val="535959"/>
          <w:sz w:val="24"/>
        </w:rPr>
        <w:t>52</w:t>
      </w:r>
    </w:fldSimple>
    <w:r>
      <w:rPr>
        <w:color w:val="535959"/>
      </w:rPr>
      <w:t xml:space="preserve"> </w:t>
    </w:r>
  </w:p>
  <w:p w14:paraId="6A5D474D" w14:textId="77777777" w:rsidR="00575853" w:rsidRDefault="00712E57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875A6" w14:textId="77777777" w:rsidR="00575853" w:rsidRDefault="00712E57">
    <w:pPr>
      <w:spacing w:after="782" w:line="259" w:lineRule="auto"/>
      <w:ind w:left="46" w:firstLine="0"/>
      <w:jc w:val="center"/>
    </w:pPr>
    <w:r>
      <w:t xml:space="preserve"> </w:t>
    </w:r>
  </w:p>
  <w:p w14:paraId="5C364EC6" w14:textId="77777777" w:rsidR="00575853" w:rsidRDefault="00712E57">
    <w:pPr>
      <w:spacing w:after="19" w:line="259" w:lineRule="auto"/>
      <w:ind w:left="0" w:right="-46" w:firstLine="0"/>
      <w:jc w:val="right"/>
    </w:pPr>
    <w:r>
      <w:rPr>
        <w:color w:val="535959"/>
      </w:rPr>
      <w:t xml:space="preserve"> </w:t>
    </w:r>
  </w:p>
  <w:p w14:paraId="2A78EA3B" w14:textId="77777777" w:rsidR="00575853" w:rsidRDefault="00712E57">
    <w:pPr>
      <w:spacing w:after="0" w:line="259" w:lineRule="auto"/>
      <w:ind w:left="0" w:right="-1" w:firstLine="0"/>
      <w:jc w:val="right"/>
    </w:pPr>
    <w:r>
      <w:rPr>
        <w:color w:val="53595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535959"/>
        <w:sz w:val="24"/>
      </w:rPr>
      <w:t>10</w:t>
    </w:r>
    <w:r>
      <w:rPr>
        <w:b/>
        <w:color w:val="535959"/>
        <w:sz w:val="24"/>
      </w:rPr>
      <w:fldChar w:fldCharType="end"/>
    </w:r>
    <w:r>
      <w:rPr>
        <w:color w:val="535959"/>
      </w:rPr>
      <w:t xml:space="preserve"> of </w:t>
    </w:r>
    <w:fldSimple w:instr=" NUMPAGES   \* MERGEFORMAT ">
      <w:r w:rsidR="00575853">
        <w:rPr>
          <w:b/>
          <w:color w:val="535959"/>
          <w:sz w:val="24"/>
        </w:rPr>
        <w:t>52</w:t>
      </w:r>
    </w:fldSimple>
    <w:r>
      <w:rPr>
        <w:color w:val="535959"/>
      </w:rPr>
      <w:t xml:space="preserve"> </w:t>
    </w:r>
  </w:p>
  <w:p w14:paraId="7BBEAD46" w14:textId="77777777" w:rsidR="00575853" w:rsidRDefault="00712E57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445" w:tblpY="13471"/>
      <w:tblOverlap w:val="never"/>
      <w:tblW w:w="9350" w:type="dxa"/>
      <w:tblInd w:w="0" w:type="dxa"/>
      <w:tblCellMar>
        <w:top w:w="5" w:type="dxa"/>
        <w:left w:w="108" w:type="dxa"/>
        <w:right w:w="70" w:type="dxa"/>
      </w:tblCellMar>
      <w:tblLook w:val="04A0" w:firstRow="1" w:lastRow="0" w:firstColumn="1" w:lastColumn="0" w:noHBand="0" w:noVBand="1"/>
    </w:tblPr>
    <w:tblGrid>
      <w:gridCol w:w="2155"/>
      <w:gridCol w:w="2520"/>
      <w:gridCol w:w="2160"/>
      <w:gridCol w:w="2515"/>
    </w:tblGrid>
    <w:tr w:rsidR="00575853" w14:paraId="07BA102B" w14:textId="77777777">
      <w:trPr>
        <w:trHeight w:val="262"/>
      </w:trPr>
      <w:tc>
        <w:tcPr>
          <w:tcW w:w="215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11CBE03F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Document Number: </w:t>
          </w:r>
        </w:p>
      </w:tc>
      <w:tc>
        <w:tcPr>
          <w:tcW w:w="252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5669898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BP-07 </w:t>
          </w:r>
        </w:p>
      </w:tc>
      <w:tc>
        <w:tcPr>
          <w:tcW w:w="216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BF8D28A" w14:textId="77777777" w:rsidR="00575853" w:rsidRDefault="00712E57">
          <w:pPr>
            <w:spacing w:after="0" w:line="259" w:lineRule="auto"/>
            <w:ind w:left="0" w:right="38" w:firstLine="0"/>
            <w:jc w:val="right"/>
          </w:pPr>
          <w:r>
            <w:rPr>
              <w:b/>
              <w:color w:val="535959"/>
              <w:sz w:val="20"/>
            </w:rPr>
            <w:t xml:space="preserve">Version: </w:t>
          </w:r>
        </w:p>
      </w:tc>
      <w:tc>
        <w:tcPr>
          <w:tcW w:w="251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73B1D15F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3.0 </w:t>
          </w:r>
        </w:p>
      </w:tc>
    </w:tr>
    <w:tr w:rsidR="00575853" w14:paraId="29C38711" w14:textId="77777777">
      <w:trPr>
        <w:trHeight w:val="264"/>
      </w:trPr>
      <w:tc>
        <w:tcPr>
          <w:tcW w:w="215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080AEF68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Effective Date: </w:t>
          </w:r>
        </w:p>
      </w:tc>
      <w:tc>
        <w:tcPr>
          <w:tcW w:w="252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268F1B96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December 2019 </w:t>
          </w:r>
        </w:p>
      </w:tc>
      <w:tc>
        <w:tcPr>
          <w:tcW w:w="216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5B2202D0" w14:textId="77777777" w:rsidR="00575853" w:rsidRDefault="00712E57">
          <w:pPr>
            <w:spacing w:after="0" w:line="259" w:lineRule="auto"/>
            <w:ind w:left="0" w:right="37" w:firstLine="0"/>
            <w:jc w:val="right"/>
          </w:pPr>
          <w:r>
            <w:rPr>
              <w:b/>
              <w:color w:val="535959"/>
              <w:sz w:val="20"/>
            </w:rPr>
            <w:t xml:space="preserve">Last Revision Date: </w:t>
          </w:r>
        </w:p>
      </w:tc>
      <w:tc>
        <w:tcPr>
          <w:tcW w:w="251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42D2BDAE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January 10, </w:t>
          </w:r>
          <w:proofErr w:type="gramStart"/>
          <w:r>
            <w:rPr>
              <w:color w:val="535959"/>
              <w:sz w:val="20"/>
            </w:rPr>
            <w:t>2024</w:t>
          </w:r>
          <w:proofErr w:type="gramEnd"/>
          <w:r>
            <w:rPr>
              <w:color w:val="535959"/>
              <w:sz w:val="20"/>
            </w:rPr>
            <w:t xml:space="preserve"> </w:t>
          </w:r>
        </w:p>
      </w:tc>
    </w:tr>
    <w:tr w:rsidR="00575853" w14:paraId="639125C0" w14:textId="77777777">
      <w:trPr>
        <w:trHeight w:val="262"/>
      </w:trPr>
      <w:tc>
        <w:tcPr>
          <w:tcW w:w="215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4D215C42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Policy Owner: </w:t>
          </w:r>
        </w:p>
      </w:tc>
      <w:tc>
        <w:tcPr>
          <w:tcW w:w="252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13DD3BF4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Amy Brown Coffin </w:t>
          </w:r>
        </w:p>
      </w:tc>
      <w:tc>
        <w:tcPr>
          <w:tcW w:w="2160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2951A94D" w14:textId="77777777" w:rsidR="00575853" w:rsidRDefault="00712E57">
          <w:pPr>
            <w:spacing w:after="0" w:line="259" w:lineRule="auto"/>
            <w:ind w:left="0" w:right="40" w:firstLine="0"/>
            <w:jc w:val="right"/>
          </w:pPr>
          <w:r>
            <w:rPr>
              <w:b/>
              <w:color w:val="535959"/>
              <w:sz w:val="20"/>
            </w:rPr>
            <w:t xml:space="preserve">Approved By: </w:t>
          </w:r>
        </w:p>
      </w:tc>
      <w:tc>
        <w:tcPr>
          <w:tcW w:w="2515" w:type="dxa"/>
          <w:tcBorders>
            <w:top w:val="single" w:sz="4" w:space="0" w:color="909595"/>
            <w:left w:val="single" w:sz="4" w:space="0" w:color="909595"/>
            <w:bottom w:val="single" w:sz="4" w:space="0" w:color="909595"/>
            <w:right w:val="single" w:sz="4" w:space="0" w:color="909595"/>
          </w:tcBorders>
        </w:tcPr>
        <w:p w14:paraId="3CD8C883" w14:textId="77777777" w:rsidR="00575853" w:rsidRDefault="00712E57">
          <w:pPr>
            <w:spacing w:after="0" w:line="259" w:lineRule="auto"/>
            <w:ind w:left="0" w:firstLine="0"/>
          </w:pPr>
          <w:r>
            <w:rPr>
              <w:color w:val="535959"/>
              <w:sz w:val="20"/>
            </w:rPr>
            <w:t xml:space="preserve">UIPA Board </w:t>
          </w:r>
        </w:p>
      </w:tc>
    </w:tr>
  </w:tbl>
  <w:p w14:paraId="5262209F" w14:textId="77777777" w:rsidR="00575853" w:rsidRDefault="00712E57">
    <w:pPr>
      <w:spacing w:after="782" w:line="259" w:lineRule="auto"/>
      <w:ind w:left="46" w:firstLine="0"/>
      <w:jc w:val="center"/>
    </w:pPr>
    <w:r>
      <w:t xml:space="preserve"> </w:t>
    </w:r>
  </w:p>
  <w:p w14:paraId="198A66DB" w14:textId="77777777" w:rsidR="00575853" w:rsidRDefault="00712E57">
    <w:pPr>
      <w:spacing w:after="19" w:line="259" w:lineRule="auto"/>
      <w:ind w:left="0" w:right="-46" w:firstLine="0"/>
      <w:jc w:val="right"/>
    </w:pPr>
    <w:r>
      <w:rPr>
        <w:color w:val="535959"/>
      </w:rPr>
      <w:t xml:space="preserve"> </w:t>
    </w:r>
  </w:p>
  <w:p w14:paraId="6D989308" w14:textId="77777777" w:rsidR="00575853" w:rsidRDefault="00712E57">
    <w:pPr>
      <w:spacing w:after="0" w:line="259" w:lineRule="auto"/>
      <w:ind w:left="0" w:right="-1" w:firstLine="0"/>
      <w:jc w:val="right"/>
    </w:pPr>
    <w:r>
      <w:rPr>
        <w:color w:val="53595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535959"/>
        <w:sz w:val="24"/>
      </w:rPr>
      <w:t>10</w:t>
    </w:r>
    <w:r>
      <w:rPr>
        <w:b/>
        <w:color w:val="535959"/>
        <w:sz w:val="24"/>
      </w:rPr>
      <w:fldChar w:fldCharType="end"/>
    </w:r>
    <w:r>
      <w:rPr>
        <w:color w:val="535959"/>
      </w:rPr>
      <w:t xml:space="preserve"> of </w:t>
    </w:r>
    <w:fldSimple w:instr=" NUMPAGES   \* MERGEFORMAT ">
      <w:r w:rsidR="00575853">
        <w:rPr>
          <w:b/>
          <w:color w:val="535959"/>
          <w:sz w:val="24"/>
        </w:rPr>
        <w:t>52</w:t>
      </w:r>
    </w:fldSimple>
    <w:r>
      <w:rPr>
        <w:color w:val="535959"/>
      </w:rPr>
      <w:t xml:space="preserve"> </w:t>
    </w:r>
  </w:p>
  <w:p w14:paraId="114D91F2" w14:textId="77777777" w:rsidR="00575853" w:rsidRDefault="00712E57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E1C79" w14:textId="77777777" w:rsidR="00386F1E" w:rsidRDefault="00386F1E">
      <w:pPr>
        <w:spacing w:after="0" w:line="240" w:lineRule="auto"/>
      </w:pPr>
      <w:r>
        <w:separator/>
      </w:r>
    </w:p>
  </w:footnote>
  <w:footnote w:type="continuationSeparator" w:id="0">
    <w:p w14:paraId="4874D734" w14:textId="77777777" w:rsidR="00386F1E" w:rsidRDefault="0038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F983" w14:textId="77777777" w:rsidR="00575853" w:rsidRDefault="00712E57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763F9F0" wp14:editId="217820A4">
          <wp:simplePos x="0" y="0"/>
          <wp:positionH relativeFrom="page">
            <wp:posOffset>6007099</wp:posOffset>
          </wp:positionH>
          <wp:positionV relativeFrom="page">
            <wp:posOffset>457200</wp:posOffset>
          </wp:positionV>
          <wp:extent cx="970280" cy="914264"/>
          <wp:effectExtent l="0" t="0" r="0" b="0"/>
          <wp:wrapSquare wrapText="bothSides"/>
          <wp:docPr id="1634634419" name="Picture 16346344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914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</w:rPr>
      <w:t xml:space="preserve"> </w:t>
    </w:r>
    <w:r>
      <w:rPr>
        <w:b/>
        <w:sz w:val="40"/>
      </w:rPr>
      <w:tab/>
      <w:t xml:space="preserve"> </w:t>
    </w:r>
  </w:p>
  <w:p w14:paraId="164CCEA4" w14:textId="77777777" w:rsidR="00575853" w:rsidRDefault="00712E57">
    <w:pPr>
      <w:spacing w:after="0" w:line="259" w:lineRule="auto"/>
      <w:ind w:left="0" w:firstLine="0"/>
    </w:pPr>
    <w:r>
      <w:rPr>
        <w:b/>
        <w:sz w:val="40"/>
      </w:rPr>
      <w:t xml:space="preserve"> </w:t>
    </w:r>
  </w:p>
  <w:p w14:paraId="1BA017F6" w14:textId="77777777" w:rsidR="00575853" w:rsidRDefault="00712E57">
    <w:pPr>
      <w:spacing w:after="0" w:line="259" w:lineRule="auto"/>
      <w:ind w:left="0" w:firstLine="0"/>
    </w:pPr>
    <w:r>
      <w:rPr>
        <w:b/>
        <w:color w:val="535959"/>
        <w:sz w:val="28"/>
      </w:rPr>
      <w:t>BP-07</w:t>
    </w:r>
    <w:r>
      <w:rPr>
        <w:b/>
        <w:color w:val="535959"/>
      </w:rPr>
      <w:t xml:space="preserve"> </w:t>
    </w:r>
    <w:r>
      <w:rPr>
        <w:b/>
        <w:color w:val="535959"/>
        <w:sz w:val="28"/>
      </w:rPr>
      <w:t>P</w:t>
    </w:r>
    <w:r>
      <w:rPr>
        <w:b/>
        <w:color w:val="535959"/>
      </w:rPr>
      <w:t>ROCUREMENT</w:t>
    </w:r>
    <w:r>
      <w:rPr>
        <w:b/>
        <w:color w:val="535959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C924D" w14:textId="6E483ADC" w:rsidR="00575853" w:rsidRDefault="00712E57">
    <w:pPr>
      <w:spacing w:after="0" w:line="259" w:lineRule="auto"/>
      <w:ind w:left="0" w:firstLine="0"/>
    </w:pPr>
    <w:r>
      <w:rPr>
        <w:b/>
        <w:sz w:val="40"/>
      </w:rPr>
      <w:t xml:space="preserve"> </w:t>
    </w:r>
    <w:r>
      <w:rPr>
        <w:b/>
        <w:sz w:val="40"/>
      </w:rPr>
      <w:tab/>
      <w:t xml:space="preserve"> </w:t>
    </w:r>
  </w:p>
  <w:p w14:paraId="31456F16" w14:textId="77777777" w:rsidR="00575853" w:rsidRDefault="00712E57">
    <w:pPr>
      <w:spacing w:after="0" w:line="259" w:lineRule="auto"/>
      <w:ind w:left="0" w:firstLine="0"/>
    </w:pPr>
    <w:r>
      <w:rPr>
        <w:b/>
        <w:sz w:val="40"/>
      </w:rPr>
      <w:t xml:space="preserve"> </w:t>
    </w:r>
  </w:p>
  <w:p w14:paraId="4FC37409" w14:textId="01C81A31" w:rsidR="00575853" w:rsidRDefault="00155662">
    <w:pPr>
      <w:spacing w:after="0" w:line="259" w:lineRule="auto"/>
      <w:ind w:left="0" w:firstLine="0"/>
    </w:pPr>
    <w:r>
      <w:rPr>
        <w:b/>
        <w:color w:val="535959"/>
        <w:sz w:val="28"/>
      </w:rPr>
      <w:t>Policy 01-</w:t>
    </w:r>
    <w:r w:rsidR="00712E57">
      <w:rPr>
        <w:b/>
        <w:color w:val="535959"/>
      </w:rPr>
      <w:t xml:space="preserve"> </w:t>
    </w:r>
    <w:r w:rsidR="00712E57">
      <w:rPr>
        <w:b/>
        <w:color w:val="535959"/>
        <w:sz w:val="28"/>
      </w:rPr>
      <w:t>P</w:t>
    </w:r>
    <w:r w:rsidR="00712E57">
      <w:rPr>
        <w:b/>
        <w:color w:val="535959"/>
      </w:rPr>
      <w:t>ROCUREMENT</w:t>
    </w:r>
    <w:r w:rsidR="00712E57">
      <w:rPr>
        <w:b/>
        <w:color w:val="535959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2E5BB" w14:textId="77777777" w:rsidR="00575853" w:rsidRDefault="00712E57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9504" behindDoc="0" locked="0" layoutInCell="1" allowOverlap="0" wp14:anchorId="1240BC8F" wp14:editId="588E7E48">
          <wp:simplePos x="0" y="0"/>
          <wp:positionH relativeFrom="page">
            <wp:posOffset>6007099</wp:posOffset>
          </wp:positionH>
          <wp:positionV relativeFrom="page">
            <wp:posOffset>457200</wp:posOffset>
          </wp:positionV>
          <wp:extent cx="970280" cy="914264"/>
          <wp:effectExtent l="0" t="0" r="0" b="0"/>
          <wp:wrapSquare wrapText="bothSides"/>
          <wp:docPr id="1298983329" name="Picture 1298983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914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</w:rPr>
      <w:t xml:space="preserve"> </w:t>
    </w:r>
    <w:r>
      <w:rPr>
        <w:b/>
        <w:sz w:val="40"/>
      </w:rPr>
      <w:tab/>
      <w:t xml:space="preserve"> </w:t>
    </w:r>
  </w:p>
  <w:p w14:paraId="3FD41B7D" w14:textId="77777777" w:rsidR="00575853" w:rsidRDefault="00712E57">
    <w:pPr>
      <w:spacing w:after="0" w:line="259" w:lineRule="auto"/>
      <w:ind w:left="0" w:firstLine="0"/>
    </w:pPr>
    <w:r>
      <w:rPr>
        <w:b/>
        <w:sz w:val="40"/>
      </w:rPr>
      <w:t xml:space="preserve"> </w:t>
    </w:r>
  </w:p>
  <w:p w14:paraId="472F5B42" w14:textId="77777777" w:rsidR="00575853" w:rsidRDefault="00712E57">
    <w:pPr>
      <w:spacing w:after="0" w:line="259" w:lineRule="auto"/>
      <w:ind w:left="0" w:firstLine="0"/>
    </w:pPr>
    <w:r>
      <w:rPr>
        <w:b/>
        <w:color w:val="535959"/>
        <w:sz w:val="28"/>
      </w:rPr>
      <w:t>BP-07</w:t>
    </w:r>
    <w:r>
      <w:rPr>
        <w:b/>
        <w:color w:val="535959"/>
      </w:rPr>
      <w:t xml:space="preserve"> </w:t>
    </w:r>
    <w:r>
      <w:rPr>
        <w:b/>
        <w:color w:val="535959"/>
        <w:sz w:val="28"/>
      </w:rPr>
      <w:t>P</w:t>
    </w:r>
    <w:r>
      <w:rPr>
        <w:b/>
        <w:color w:val="535959"/>
      </w:rPr>
      <w:t>ROCUREMENT</w:t>
    </w:r>
    <w:r>
      <w:rPr>
        <w:b/>
        <w:color w:val="535959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F4027"/>
    <w:multiLevelType w:val="hybridMultilevel"/>
    <w:tmpl w:val="DCE0F924"/>
    <w:lvl w:ilvl="0" w:tplc="D68681E6">
      <w:start w:val="1"/>
      <w:numFmt w:val="lowerLetter"/>
      <w:lvlText w:val="(%1)"/>
      <w:lvlJc w:val="left"/>
      <w:pPr>
        <w:ind w:left="1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num w:numId="1" w16cid:durableId="171018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53"/>
    <w:rsid w:val="000347B3"/>
    <w:rsid w:val="00047737"/>
    <w:rsid w:val="00057BAE"/>
    <w:rsid w:val="000839E0"/>
    <w:rsid w:val="00147E10"/>
    <w:rsid w:val="00152EB6"/>
    <w:rsid w:val="00155662"/>
    <w:rsid w:val="00164512"/>
    <w:rsid w:val="001B542A"/>
    <w:rsid w:val="001E19B4"/>
    <w:rsid w:val="001E2E80"/>
    <w:rsid w:val="00217A33"/>
    <w:rsid w:val="00244B10"/>
    <w:rsid w:val="00276BCF"/>
    <w:rsid w:val="00305383"/>
    <w:rsid w:val="00323A38"/>
    <w:rsid w:val="00363DF6"/>
    <w:rsid w:val="00386F1E"/>
    <w:rsid w:val="003A3353"/>
    <w:rsid w:val="003D78EF"/>
    <w:rsid w:val="0041358F"/>
    <w:rsid w:val="00416BAF"/>
    <w:rsid w:val="00417B49"/>
    <w:rsid w:val="00424212"/>
    <w:rsid w:val="00445861"/>
    <w:rsid w:val="00494DED"/>
    <w:rsid w:val="004B4DFB"/>
    <w:rsid w:val="004F058A"/>
    <w:rsid w:val="0051150F"/>
    <w:rsid w:val="0051418E"/>
    <w:rsid w:val="0052429A"/>
    <w:rsid w:val="00536D91"/>
    <w:rsid w:val="00575853"/>
    <w:rsid w:val="0058233C"/>
    <w:rsid w:val="005B0A4B"/>
    <w:rsid w:val="005C0861"/>
    <w:rsid w:val="005D3538"/>
    <w:rsid w:val="006358B5"/>
    <w:rsid w:val="00646204"/>
    <w:rsid w:val="006542FB"/>
    <w:rsid w:val="00660885"/>
    <w:rsid w:val="00676A78"/>
    <w:rsid w:val="006A03A6"/>
    <w:rsid w:val="006E6D46"/>
    <w:rsid w:val="006F137D"/>
    <w:rsid w:val="00712E57"/>
    <w:rsid w:val="00774E8B"/>
    <w:rsid w:val="00796B4C"/>
    <w:rsid w:val="007A5E36"/>
    <w:rsid w:val="007C1769"/>
    <w:rsid w:val="007C34D4"/>
    <w:rsid w:val="00800732"/>
    <w:rsid w:val="008129FB"/>
    <w:rsid w:val="00845A21"/>
    <w:rsid w:val="00894C6D"/>
    <w:rsid w:val="008B4B1F"/>
    <w:rsid w:val="008C6ED5"/>
    <w:rsid w:val="00910793"/>
    <w:rsid w:val="00915997"/>
    <w:rsid w:val="00952F6D"/>
    <w:rsid w:val="00980A57"/>
    <w:rsid w:val="0098312C"/>
    <w:rsid w:val="00996740"/>
    <w:rsid w:val="009C2055"/>
    <w:rsid w:val="009D2C74"/>
    <w:rsid w:val="00A47F16"/>
    <w:rsid w:val="00A47F65"/>
    <w:rsid w:val="00AC7031"/>
    <w:rsid w:val="00AC7BCC"/>
    <w:rsid w:val="00B116EB"/>
    <w:rsid w:val="00B37256"/>
    <w:rsid w:val="00B50C35"/>
    <w:rsid w:val="00B97743"/>
    <w:rsid w:val="00BB3577"/>
    <w:rsid w:val="00BB6347"/>
    <w:rsid w:val="00C1192B"/>
    <w:rsid w:val="00C56DC8"/>
    <w:rsid w:val="00C70B8E"/>
    <w:rsid w:val="00C72453"/>
    <w:rsid w:val="00CA336D"/>
    <w:rsid w:val="00CA3DED"/>
    <w:rsid w:val="00CB4463"/>
    <w:rsid w:val="00CE2FF6"/>
    <w:rsid w:val="00D14F57"/>
    <w:rsid w:val="00D44881"/>
    <w:rsid w:val="00D51DE8"/>
    <w:rsid w:val="00DF3F82"/>
    <w:rsid w:val="00E07889"/>
    <w:rsid w:val="00E30C19"/>
    <w:rsid w:val="00E30FB1"/>
    <w:rsid w:val="00E56C12"/>
    <w:rsid w:val="00E95F57"/>
    <w:rsid w:val="00EB1E90"/>
    <w:rsid w:val="00EB20CC"/>
    <w:rsid w:val="00ED5A06"/>
    <w:rsid w:val="00F216FE"/>
    <w:rsid w:val="00F27E30"/>
    <w:rsid w:val="00F32FA9"/>
    <w:rsid w:val="00F579BE"/>
    <w:rsid w:val="00FC54B3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801DB"/>
  <w15:docId w15:val="{71E27558-41D8-47E2-A9DE-066CDE49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32"/>
    <w:pPr>
      <w:spacing w:after="5" w:line="269" w:lineRule="auto"/>
      <w:ind w:left="751" w:hanging="9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 w:line="256" w:lineRule="auto"/>
      <w:ind w:left="1877" w:hanging="10"/>
      <w:outlineLvl w:val="0"/>
    </w:pPr>
    <w:rPr>
      <w:rFonts w:ascii="Calibri" w:eastAsia="Calibri" w:hAnsi="Calibri" w:cs="Calibri"/>
      <w:b/>
      <w:color w:val="5FBAC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" w:line="256" w:lineRule="auto"/>
      <w:ind w:left="1877" w:hanging="10"/>
      <w:outlineLvl w:val="1"/>
    </w:pPr>
    <w:rPr>
      <w:rFonts w:ascii="Calibri" w:eastAsia="Calibri" w:hAnsi="Calibri" w:cs="Calibri"/>
      <w:b/>
      <w:color w:val="5FBAC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6" w:line="256" w:lineRule="auto"/>
      <w:ind w:left="1877" w:hanging="10"/>
      <w:outlineLvl w:val="2"/>
    </w:pPr>
    <w:rPr>
      <w:rFonts w:ascii="Calibri" w:eastAsia="Calibri" w:hAnsi="Calibri" w:cs="Calibri"/>
      <w:b/>
      <w:color w:val="5FBAC3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6" w:line="256" w:lineRule="auto"/>
      <w:ind w:left="1877" w:hanging="10"/>
      <w:outlineLvl w:val="3"/>
    </w:pPr>
    <w:rPr>
      <w:rFonts w:ascii="Calibri" w:eastAsia="Calibri" w:hAnsi="Calibri" w:cs="Calibri"/>
      <w:b/>
      <w:color w:val="5FBAC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5FBAC3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5FBAC3"/>
      <w:sz w:val="24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FBAC3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5FBAC3"/>
      <w:sz w:val="24"/>
    </w:rPr>
  </w:style>
  <w:style w:type="paragraph" w:styleId="TOC1">
    <w:name w:val="toc 1"/>
    <w:hidden/>
    <w:uiPriority w:val="39"/>
    <w:pPr>
      <w:spacing w:after="1" w:line="356" w:lineRule="auto"/>
      <w:ind w:left="36" w:right="15" w:hanging="10"/>
      <w:jc w:val="both"/>
    </w:pPr>
    <w:rPr>
      <w:rFonts w:ascii="Calibri" w:eastAsia="Calibri" w:hAnsi="Calibri" w:cs="Calibri"/>
      <w:b/>
      <w:color w:val="535959"/>
      <w:sz w:val="22"/>
    </w:rPr>
  </w:style>
  <w:style w:type="paragraph" w:styleId="TOC2">
    <w:name w:val="toc 2"/>
    <w:hidden/>
    <w:uiPriority w:val="39"/>
    <w:pPr>
      <w:spacing w:after="1" w:line="356" w:lineRule="auto"/>
      <w:ind w:left="905" w:right="15" w:hanging="8"/>
      <w:jc w:val="both"/>
    </w:pPr>
    <w:rPr>
      <w:rFonts w:ascii="Calibri" w:eastAsia="Calibri" w:hAnsi="Calibri" w:cs="Calibri"/>
      <w:color w:val="535959"/>
      <w:sz w:val="22"/>
    </w:rPr>
  </w:style>
  <w:style w:type="paragraph" w:styleId="TOC3">
    <w:name w:val="toc 3"/>
    <w:hidden/>
    <w:uiPriority w:val="39"/>
    <w:pPr>
      <w:spacing w:after="109" w:line="356" w:lineRule="auto"/>
      <w:ind w:left="905" w:right="16" w:hanging="8"/>
      <w:jc w:val="both"/>
    </w:pPr>
    <w:rPr>
      <w:rFonts w:ascii="Calibri" w:eastAsia="Calibri" w:hAnsi="Calibri" w:cs="Calibri"/>
      <w:color w:val="53595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37256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41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29F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0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88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885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2">
    <w:name w:val="p2"/>
    <w:basedOn w:val="Normal"/>
    <w:rsid w:val="004242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D78E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55662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 Buys</dc:creator>
  <cp:keywords/>
  <cp:lastModifiedBy>Benn Buys</cp:lastModifiedBy>
  <cp:revision>14</cp:revision>
  <dcterms:created xsi:type="dcterms:W3CDTF">2024-10-07T14:03:00Z</dcterms:created>
  <dcterms:modified xsi:type="dcterms:W3CDTF">2024-11-12T20:12:00Z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61352d834bddc59551685113e1752e5c3cc4577ead38dfe721eb5ec9ea4307cc</vt:lpwstr>
  </property>
</Properties>
</file>