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2362C" w:rsidRDefault="00000000">
      <w:pPr>
        <w:pStyle w:val="Title"/>
        <w:spacing w:after="0"/>
      </w:pPr>
      <w:r>
        <w:t>LAKE POINT ANNEXATION POLICY PLAN</w:t>
      </w:r>
    </w:p>
    <w:p w14:paraId="00000002" w14:textId="77777777" w:rsidR="0022362C" w:rsidRDefault="00000000">
      <w:pPr>
        <w:keepLines/>
        <w:pBdr>
          <w:top w:val="nil"/>
          <w:left w:val="nil"/>
          <w:bottom w:val="nil"/>
          <w:right w:val="nil"/>
          <w:between w:val="nil"/>
        </w:pBdr>
        <w:spacing w:before="120" w:after="120"/>
        <w:ind w:left="720"/>
        <w:jc w:val="center"/>
        <w:rPr>
          <w:rFonts w:ascii="Arial" w:eastAsia="Arial" w:hAnsi="Arial" w:cs="Arial"/>
          <w:color w:val="000000"/>
        </w:rPr>
      </w:pPr>
      <w:r>
        <w:rPr>
          <w:rFonts w:ascii="Arial" w:eastAsia="Arial" w:hAnsi="Arial" w:cs="Arial"/>
          <w:color w:val="000000"/>
        </w:rPr>
        <w:t>ADOPTED (MONTH) 2025</w:t>
      </w:r>
    </w:p>
    <w:p w14:paraId="00000003" w14:textId="77777777" w:rsidR="0022362C" w:rsidRDefault="00000000">
      <w:pPr>
        <w:pStyle w:val="Heading1"/>
      </w:pPr>
      <w:r>
        <w:t>Section 1: Introduction</w:t>
      </w:r>
    </w:p>
    <w:p w14:paraId="00000004"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highlight w:val="white"/>
        </w:rPr>
        <w:t>Utah Code Annotated (UCA) 10-2-4 requires that all municipalities in the State of Utah adopt an Annexation Policy Plan. Within that Annexation Policy Plan, cities must provide a map of the areas the city will consider for annexation into its municipal boundaries. Additionally, cities are required to outline the conditions under which they will consider annexation and the process for managing such requests. The Annexation Policy Plan enables cities to guide the growth and development of the city.</w:t>
      </w:r>
    </w:p>
    <w:p w14:paraId="00000005" w14:textId="77777777" w:rsidR="0022362C" w:rsidRDefault="00000000">
      <w:pPr>
        <w:pStyle w:val="Heading1"/>
      </w:pPr>
      <w:r>
        <w:t>Section 2: Purpose</w:t>
      </w:r>
    </w:p>
    <w:p w14:paraId="00000006" w14:textId="18FB4009" w:rsidR="0022362C" w:rsidRDefault="00000000">
      <w:pPr>
        <w:keepLines/>
        <w:pBdr>
          <w:top w:val="nil"/>
          <w:left w:val="nil"/>
          <w:bottom w:val="nil"/>
          <w:right w:val="nil"/>
          <w:between w:val="nil"/>
        </w:pBdr>
        <w:spacing w:before="120" w:after="120"/>
        <w:ind w:left="720"/>
        <w:rPr>
          <w:rFonts w:ascii="Arial" w:eastAsia="Arial" w:hAnsi="Arial" w:cs="Arial"/>
          <w:color w:val="000000"/>
          <w:highlight w:val="white"/>
        </w:rPr>
      </w:pPr>
      <w:r>
        <w:rPr>
          <w:rFonts w:ascii="Arial" w:eastAsia="Arial" w:hAnsi="Arial" w:cs="Arial"/>
          <w:color w:val="000000"/>
          <w:highlight w:val="white"/>
        </w:rPr>
        <w:t>This plan not only ensures legal compliance</w:t>
      </w:r>
      <w:sdt>
        <w:sdtPr>
          <w:tag w:val="goog_rdk_0"/>
          <w:id w:val="-1221818236"/>
          <w:showingPlcHdr/>
        </w:sdtPr>
        <w:sdtContent>
          <w:r w:rsidR="00270A28">
            <w:t xml:space="preserve">     </w:t>
          </w:r>
        </w:sdtContent>
      </w:sdt>
      <w:r>
        <w:rPr>
          <w:rFonts w:ascii="Arial" w:eastAsia="Arial" w:hAnsi="Arial" w:cs="Arial"/>
          <w:color w:val="000000"/>
          <w:highlight w:val="white"/>
        </w:rPr>
        <w:t xml:space="preserve"> but also reflects Lake Point’s Vision and Core Values—to preserve its rural character, promote family-friendly growth, and safeguard the natural beauty and heritage of the community.</w:t>
      </w:r>
    </w:p>
    <w:p w14:paraId="00000007"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highlight w:val="white"/>
        </w:rPr>
      </w:pPr>
      <w:r>
        <w:rPr>
          <w:rFonts w:ascii="Arial" w:eastAsia="Arial" w:hAnsi="Arial" w:cs="Arial"/>
          <w:color w:val="000000"/>
          <w:highlight w:val="white"/>
        </w:rPr>
        <w:t xml:space="preserve">It is the intent of this plan to protect </w:t>
      </w:r>
      <w:proofErr w:type="gramStart"/>
      <w:r>
        <w:rPr>
          <w:rFonts w:ascii="Arial" w:eastAsia="Arial" w:hAnsi="Arial" w:cs="Arial"/>
          <w:color w:val="000000"/>
          <w:highlight w:val="white"/>
        </w:rPr>
        <w:t>the  rights</w:t>
      </w:r>
      <w:proofErr w:type="gramEnd"/>
      <w:r>
        <w:rPr>
          <w:rFonts w:ascii="Arial" w:eastAsia="Arial" w:hAnsi="Arial" w:cs="Arial"/>
          <w:color w:val="000000"/>
          <w:highlight w:val="white"/>
        </w:rPr>
        <w:t xml:space="preserve"> of property owners within the municipal boundaries and in the unincorporated areas surrounding the city. It is further the intent that the regulations contained herein shall encourage sound planning practices and reduce problems that may be associated with the annexations.</w:t>
      </w:r>
    </w:p>
    <w:p w14:paraId="00000008" w14:textId="77777777" w:rsidR="0022362C" w:rsidRDefault="00000000">
      <w:pPr>
        <w:pStyle w:val="Heading1"/>
      </w:pPr>
      <w:r>
        <w:t>Section 3: Roles and Responsibilities</w:t>
      </w:r>
    </w:p>
    <w:p w14:paraId="00000009"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Listed below are some of the roles and responsibilities for key parties involved in the municipal annexation process in Utah. Refer to Utah Code Title 10, Chapter 2 for complete and current roles and responsibilities. </w:t>
      </w: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0"/>
        <w:gridCol w:w="5440"/>
      </w:tblGrid>
      <w:tr w:rsidR="0022362C" w14:paraId="462A6559" w14:textId="77777777">
        <w:trPr>
          <w:trHeight w:val="290"/>
        </w:trPr>
        <w:tc>
          <w:tcPr>
            <w:tcW w:w="3910" w:type="dxa"/>
            <w:shd w:val="clear" w:color="auto" w:fill="auto"/>
            <w:vAlign w:val="center"/>
          </w:tcPr>
          <w:p w14:paraId="0000000A" w14:textId="77777777" w:rsidR="0022362C" w:rsidRDefault="00000000">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Party</w:t>
            </w:r>
          </w:p>
        </w:tc>
        <w:tc>
          <w:tcPr>
            <w:tcW w:w="5440" w:type="dxa"/>
            <w:shd w:val="clear" w:color="auto" w:fill="auto"/>
            <w:vAlign w:val="center"/>
          </w:tcPr>
          <w:p w14:paraId="0000000B" w14:textId="77777777" w:rsidR="0022362C" w:rsidRDefault="00000000">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Roles and Responsibilities</w:t>
            </w:r>
          </w:p>
        </w:tc>
      </w:tr>
      <w:tr w:rsidR="0022362C" w14:paraId="637EE750" w14:textId="77777777">
        <w:trPr>
          <w:trHeight w:val="290"/>
        </w:trPr>
        <w:tc>
          <w:tcPr>
            <w:tcW w:w="3910" w:type="dxa"/>
            <w:shd w:val="clear" w:color="auto" w:fill="auto"/>
            <w:vAlign w:val="center"/>
          </w:tcPr>
          <w:p w14:paraId="0000000C" w14:textId="77777777" w:rsidR="0022362C" w:rsidRDefault="00000000">
            <w:pPr>
              <w:pBdr>
                <w:top w:val="nil"/>
                <w:left w:val="nil"/>
                <w:bottom w:val="nil"/>
                <w:right w:val="nil"/>
                <w:between w:val="nil"/>
              </w:pBdr>
              <w:spacing w:before="60" w:after="60" w:line="240" w:lineRule="auto"/>
              <w:rPr>
                <w:rFonts w:ascii="Arial" w:eastAsia="Arial" w:hAnsi="Arial" w:cs="Arial"/>
                <w:color w:val="000000"/>
              </w:rPr>
            </w:pPr>
            <w:r>
              <w:rPr>
                <w:rFonts w:ascii="Arial" w:eastAsia="Arial" w:hAnsi="Arial" w:cs="Arial"/>
                <w:color w:val="000000"/>
              </w:rPr>
              <w:t>Property Owners / Petitioners</w:t>
            </w:r>
          </w:p>
        </w:tc>
        <w:tc>
          <w:tcPr>
            <w:tcW w:w="5440" w:type="dxa"/>
            <w:shd w:val="clear" w:color="auto" w:fill="auto"/>
            <w:vAlign w:val="center"/>
          </w:tcPr>
          <w:p w14:paraId="0000000D"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Initiate the annexation by submitting a </w:t>
            </w:r>
            <w:proofErr w:type="gramStart"/>
            <w:r>
              <w:rPr>
                <w:rFonts w:ascii="Arial" w:eastAsia="Arial" w:hAnsi="Arial" w:cs="Arial"/>
                <w:color w:val="000000"/>
              </w:rPr>
              <w:t>petition;</w:t>
            </w:r>
            <w:proofErr w:type="gramEnd"/>
          </w:p>
          <w:p w14:paraId="0000000E"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Provide legal descriptions and </w:t>
            </w:r>
            <w:proofErr w:type="gramStart"/>
            <w:r>
              <w:rPr>
                <w:rFonts w:ascii="Arial" w:eastAsia="Arial" w:hAnsi="Arial" w:cs="Arial"/>
                <w:color w:val="000000"/>
              </w:rPr>
              <w:t>maps;</w:t>
            </w:r>
            <w:proofErr w:type="gramEnd"/>
          </w:p>
          <w:p w14:paraId="0000000F"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Coordinate with city staff.</w:t>
            </w:r>
          </w:p>
        </w:tc>
      </w:tr>
      <w:tr w:rsidR="0022362C" w14:paraId="167CDC0E" w14:textId="77777777">
        <w:trPr>
          <w:trHeight w:val="290"/>
        </w:trPr>
        <w:tc>
          <w:tcPr>
            <w:tcW w:w="3910" w:type="dxa"/>
            <w:shd w:val="clear" w:color="auto" w:fill="auto"/>
            <w:vAlign w:val="center"/>
          </w:tcPr>
          <w:p w14:paraId="00000010" w14:textId="77777777" w:rsidR="0022362C" w:rsidRDefault="00000000">
            <w:pPr>
              <w:pBdr>
                <w:top w:val="nil"/>
                <w:left w:val="nil"/>
                <w:bottom w:val="nil"/>
                <w:right w:val="nil"/>
                <w:between w:val="nil"/>
              </w:pBdr>
              <w:spacing w:before="60" w:after="60" w:line="240" w:lineRule="auto"/>
              <w:rPr>
                <w:rFonts w:ascii="Arial" w:eastAsia="Arial" w:hAnsi="Arial" w:cs="Arial"/>
                <w:color w:val="000000"/>
              </w:rPr>
            </w:pPr>
            <w:r>
              <w:rPr>
                <w:rFonts w:ascii="Arial" w:eastAsia="Arial" w:hAnsi="Arial" w:cs="Arial"/>
                <w:color w:val="000000"/>
              </w:rPr>
              <w:t>Municipal Government</w:t>
            </w:r>
          </w:p>
          <w:p w14:paraId="00000011" w14:textId="77777777" w:rsidR="0022362C" w:rsidRDefault="00000000">
            <w:pPr>
              <w:pBdr>
                <w:top w:val="nil"/>
                <w:left w:val="nil"/>
                <w:bottom w:val="nil"/>
                <w:right w:val="nil"/>
                <w:between w:val="nil"/>
              </w:pBdr>
              <w:spacing w:before="60" w:after="60" w:line="240" w:lineRule="auto"/>
              <w:rPr>
                <w:rFonts w:ascii="Arial" w:eastAsia="Arial" w:hAnsi="Arial" w:cs="Arial"/>
                <w:color w:val="000000"/>
              </w:rPr>
            </w:pPr>
            <w:r>
              <w:rPr>
                <w:rFonts w:ascii="Arial" w:eastAsia="Arial" w:hAnsi="Arial" w:cs="Arial"/>
                <w:color w:val="000000"/>
              </w:rPr>
              <w:t>(City Council, Planning and Zoning Commission, City Employees, City Contractors, etc.)</w:t>
            </w:r>
          </w:p>
        </w:tc>
        <w:tc>
          <w:tcPr>
            <w:tcW w:w="5440" w:type="dxa"/>
            <w:shd w:val="clear" w:color="auto" w:fill="auto"/>
            <w:vAlign w:val="center"/>
          </w:tcPr>
          <w:p w14:paraId="00000012"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Receive and certify </w:t>
            </w:r>
            <w:proofErr w:type="gramStart"/>
            <w:r>
              <w:rPr>
                <w:rFonts w:ascii="Arial" w:eastAsia="Arial" w:hAnsi="Arial" w:cs="Arial"/>
                <w:color w:val="000000"/>
              </w:rPr>
              <w:t>petition;</w:t>
            </w:r>
            <w:proofErr w:type="gramEnd"/>
          </w:p>
          <w:p w14:paraId="00000013"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Notify affected </w:t>
            </w:r>
            <w:proofErr w:type="gramStart"/>
            <w:r>
              <w:rPr>
                <w:rFonts w:ascii="Arial" w:eastAsia="Arial" w:hAnsi="Arial" w:cs="Arial"/>
                <w:color w:val="000000"/>
              </w:rPr>
              <w:t>entities;</w:t>
            </w:r>
            <w:proofErr w:type="gramEnd"/>
          </w:p>
          <w:p w14:paraId="00000014"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Publish public </w:t>
            </w:r>
            <w:proofErr w:type="gramStart"/>
            <w:r>
              <w:rPr>
                <w:rFonts w:ascii="Arial" w:eastAsia="Arial" w:hAnsi="Arial" w:cs="Arial"/>
                <w:color w:val="000000"/>
              </w:rPr>
              <w:t>notices;</w:t>
            </w:r>
            <w:proofErr w:type="gramEnd"/>
          </w:p>
          <w:p w14:paraId="00000015"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Conduct </w:t>
            </w:r>
            <w:proofErr w:type="gramStart"/>
            <w:r>
              <w:rPr>
                <w:rFonts w:ascii="Arial" w:eastAsia="Arial" w:hAnsi="Arial" w:cs="Arial"/>
                <w:color w:val="000000"/>
              </w:rPr>
              <w:t>hearings;</w:t>
            </w:r>
            <w:proofErr w:type="gramEnd"/>
          </w:p>
          <w:p w14:paraId="00000016"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Evaluate </w:t>
            </w:r>
            <w:proofErr w:type="gramStart"/>
            <w:r>
              <w:rPr>
                <w:rFonts w:ascii="Arial" w:eastAsia="Arial" w:hAnsi="Arial" w:cs="Arial"/>
                <w:color w:val="000000"/>
              </w:rPr>
              <w:t>annexation;</w:t>
            </w:r>
            <w:proofErr w:type="gramEnd"/>
          </w:p>
          <w:p w14:paraId="00000017"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Adopt </w:t>
            </w:r>
            <w:proofErr w:type="gramStart"/>
            <w:r>
              <w:rPr>
                <w:rFonts w:ascii="Arial" w:eastAsia="Arial" w:hAnsi="Arial" w:cs="Arial"/>
                <w:color w:val="000000"/>
              </w:rPr>
              <w:t>ordinance;</w:t>
            </w:r>
            <w:proofErr w:type="gramEnd"/>
          </w:p>
          <w:p w14:paraId="00000018"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Update zoning and services.</w:t>
            </w:r>
          </w:p>
        </w:tc>
      </w:tr>
      <w:tr w:rsidR="0022362C" w14:paraId="4F12BF74" w14:textId="77777777">
        <w:trPr>
          <w:trHeight w:val="290"/>
        </w:trPr>
        <w:tc>
          <w:tcPr>
            <w:tcW w:w="3910" w:type="dxa"/>
            <w:shd w:val="clear" w:color="auto" w:fill="auto"/>
            <w:vAlign w:val="center"/>
          </w:tcPr>
          <w:p w14:paraId="00000019" w14:textId="77777777" w:rsidR="0022362C" w:rsidRDefault="00000000">
            <w:pPr>
              <w:pBdr>
                <w:top w:val="nil"/>
                <w:left w:val="nil"/>
                <w:bottom w:val="nil"/>
                <w:right w:val="nil"/>
                <w:between w:val="nil"/>
              </w:pBdr>
              <w:spacing w:before="60" w:after="60" w:line="240" w:lineRule="auto"/>
              <w:rPr>
                <w:rFonts w:ascii="Arial" w:eastAsia="Arial" w:hAnsi="Arial" w:cs="Arial"/>
                <w:color w:val="000000"/>
              </w:rPr>
            </w:pPr>
            <w:r>
              <w:rPr>
                <w:rFonts w:ascii="Arial" w:eastAsia="Arial" w:hAnsi="Arial" w:cs="Arial"/>
                <w:color w:val="000000"/>
              </w:rPr>
              <w:t>County Government</w:t>
            </w:r>
          </w:p>
        </w:tc>
        <w:tc>
          <w:tcPr>
            <w:tcW w:w="5440" w:type="dxa"/>
            <w:shd w:val="clear" w:color="auto" w:fill="auto"/>
            <w:vAlign w:val="center"/>
          </w:tcPr>
          <w:p w14:paraId="0000001A"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Review and comment on the </w:t>
            </w:r>
            <w:proofErr w:type="gramStart"/>
            <w:r>
              <w:rPr>
                <w:rFonts w:ascii="Arial" w:eastAsia="Arial" w:hAnsi="Arial" w:cs="Arial"/>
                <w:color w:val="000000"/>
              </w:rPr>
              <w:t>annexation;</w:t>
            </w:r>
            <w:proofErr w:type="gramEnd"/>
          </w:p>
          <w:p w14:paraId="0000001B"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Ensure interlocal </w:t>
            </w:r>
            <w:proofErr w:type="gramStart"/>
            <w:r>
              <w:rPr>
                <w:rFonts w:ascii="Arial" w:eastAsia="Arial" w:hAnsi="Arial" w:cs="Arial"/>
                <w:color w:val="000000"/>
              </w:rPr>
              <w:t>compliance;</w:t>
            </w:r>
            <w:proofErr w:type="gramEnd"/>
          </w:p>
          <w:p w14:paraId="0000001C"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Coordinate boundary adjustments with cities.</w:t>
            </w:r>
          </w:p>
        </w:tc>
      </w:tr>
      <w:tr w:rsidR="0022362C" w14:paraId="1D47B217" w14:textId="77777777">
        <w:trPr>
          <w:trHeight w:val="290"/>
        </w:trPr>
        <w:tc>
          <w:tcPr>
            <w:tcW w:w="3910" w:type="dxa"/>
            <w:shd w:val="clear" w:color="auto" w:fill="auto"/>
            <w:vAlign w:val="center"/>
          </w:tcPr>
          <w:p w14:paraId="0000001D" w14:textId="77777777" w:rsidR="0022362C" w:rsidRDefault="00000000">
            <w:pPr>
              <w:pBdr>
                <w:top w:val="nil"/>
                <w:left w:val="nil"/>
                <w:bottom w:val="nil"/>
                <w:right w:val="nil"/>
                <w:between w:val="nil"/>
              </w:pBdr>
              <w:spacing w:before="60" w:after="60" w:line="240" w:lineRule="auto"/>
              <w:rPr>
                <w:rFonts w:ascii="Arial" w:eastAsia="Arial" w:hAnsi="Arial" w:cs="Arial"/>
                <w:color w:val="000000"/>
              </w:rPr>
            </w:pPr>
            <w:r>
              <w:rPr>
                <w:rFonts w:ascii="Arial" w:eastAsia="Arial" w:hAnsi="Arial" w:cs="Arial"/>
                <w:color w:val="000000"/>
              </w:rPr>
              <w:t>Affected Entities</w:t>
            </w:r>
          </w:p>
        </w:tc>
        <w:tc>
          <w:tcPr>
            <w:tcW w:w="5440" w:type="dxa"/>
            <w:shd w:val="clear" w:color="auto" w:fill="auto"/>
            <w:vAlign w:val="center"/>
          </w:tcPr>
          <w:p w14:paraId="0000001E"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Submit comments or </w:t>
            </w:r>
            <w:proofErr w:type="gramStart"/>
            <w:r>
              <w:rPr>
                <w:rFonts w:ascii="Arial" w:eastAsia="Arial" w:hAnsi="Arial" w:cs="Arial"/>
                <w:color w:val="000000"/>
              </w:rPr>
              <w:t>objections;</w:t>
            </w:r>
            <w:proofErr w:type="gramEnd"/>
          </w:p>
          <w:p w14:paraId="0000001F"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Adjust service plans if annexation is approved.</w:t>
            </w:r>
          </w:p>
        </w:tc>
      </w:tr>
      <w:tr w:rsidR="0022362C" w14:paraId="6287D3E0" w14:textId="77777777">
        <w:trPr>
          <w:trHeight w:val="70"/>
        </w:trPr>
        <w:tc>
          <w:tcPr>
            <w:tcW w:w="3910" w:type="dxa"/>
            <w:shd w:val="clear" w:color="auto" w:fill="auto"/>
            <w:vAlign w:val="center"/>
          </w:tcPr>
          <w:p w14:paraId="00000020" w14:textId="77777777" w:rsidR="0022362C" w:rsidRDefault="00000000">
            <w:pPr>
              <w:pBdr>
                <w:top w:val="nil"/>
                <w:left w:val="nil"/>
                <w:bottom w:val="nil"/>
                <w:right w:val="nil"/>
                <w:between w:val="nil"/>
              </w:pBdr>
              <w:spacing w:before="60" w:after="60" w:line="240" w:lineRule="auto"/>
              <w:rPr>
                <w:rFonts w:ascii="Arial" w:eastAsia="Arial" w:hAnsi="Arial" w:cs="Arial"/>
                <w:color w:val="000000"/>
              </w:rPr>
            </w:pPr>
            <w:r>
              <w:rPr>
                <w:rFonts w:ascii="Arial" w:eastAsia="Arial" w:hAnsi="Arial" w:cs="Arial"/>
                <w:color w:val="000000"/>
              </w:rPr>
              <w:t>Utah Lieutenant Governor’s Office</w:t>
            </w:r>
          </w:p>
        </w:tc>
        <w:tc>
          <w:tcPr>
            <w:tcW w:w="5440" w:type="dxa"/>
            <w:shd w:val="clear" w:color="auto" w:fill="auto"/>
            <w:vAlign w:val="center"/>
          </w:tcPr>
          <w:p w14:paraId="00000021"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Record boundary changes</w:t>
            </w:r>
          </w:p>
          <w:p w14:paraId="00000022"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lastRenderedPageBreak/>
              <w:t>Issue Certificate of Annexation.</w:t>
            </w:r>
          </w:p>
        </w:tc>
      </w:tr>
      <w:tr w:rsidR="0022362C" w14:paraId="0FD82912" w14:textId="77777777">
        <w:trPr>
          <w:trHeight w:val="98"/>
        </w:trPr>
        <w:tc>
          <w:tcPr>
            <w:tcW w:w="3910" w:type="dxa"/>
            <w:shd w:val="clear" w:color="auto" w:fill="auto"/>
            <w:vAlign w:val="center"/>
          </w:tcPr>
          <w:p w14:paraId="00000023" w14:textId="77777777" w:rsidR="0022362C" w:rsidRDefault="00000000">
            <w:pPr>
              <w:pBdr>
                <w:top w:val="nil"/>
                <w:left w:val="nil"/>
                <w:bottom w:val="nil"/>
                <w:right w:val="nil"/>
                <w:between w:val="nil"/>
              </w:pBdr>
              <w:spacing w:before="60" w:after="60" w:line="240" w:lineRule="auto"/>
              <w:rPr>
                <w:rFonts w:ascii="Arial" w:eastAsia="Arial" w:hAnsi="Arial" w:cs="Arial"/>
                <w:color w:val="000000"/>
              </w:rPr>
            </w:pPr>
            <w:r>
              <w:rPr>
                <w:rFonts w:ascii="Arial" w:eastAsia="Arial" w:hAnsi="Arial" w:cs="Arial"/>
                <w:color w:val="000000"/>
              </w:rPr>
              <w:lastRenderedPageBreak/>
              <w:t>General Public / Community Members</w:t>
            </w:r>
          </w:p>
        </w:tc>
        <w:tc>
          <w:tcPr>
            <w:tcW w:w="5440" w:type="dxa"/>
            <w:shd w:val="clear" w:color="auto" w:fill="auto"/>
            <w:vAlign w:val="center"/>
          </w:tcPr>
          <w:p w14:paraId="00000024"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Attend public </w:t>
            </w:r>
            <w:proofErr w:type="gramStart"/>
            <w:r>
              <w:rPr>
                <w:rFonts w:ascii="Arial" w:eastAsia="Arial" w:hAnsi="Arial" w:cs="Arial"/>
                <w:color w:val="000000"/>
              </w:rPr>
              <w:t>hearings;</w:t>
            </w:r>
            <w:proofErr w:type="gramEnd"/>
          </w:p>
          <w:p w14:paraId="00000025"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Voice support or </w:t>
            </w:r>
            <w:proofErr w:type="gramStart"/>
            <w:r>
              <w:rPr>
                <w:rFonts w:ascii="Arial" w:eastAsia="Arial" w:hAnsi="Arial" w:cs="Arial"/>
                <w:color w:val="000000"/>
              </w:rPr>
              <w:t>opposition;</w:t>
            </w:r>
            <w:proofErr w:type="gramEnd"/>
          </w:p>
          <w:p w14:paraId="00000026"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 xml:space="preserve">Submit written </w:t>
            </w:r>
            <w:proofErr w:type="gramStart"/>
            <w:r>
              <w:rPr>
                <w:rFonts w:ascii="Arial" w:eastAsia="Arial" w:hAnsi="Arial" w:cs="Arial"/>
                <w:color w:val="000000"/>
              </w:rPr>
              <w:t>comments;</w:t>
            </w:r>
            <w:proofErr w:type="gramEnd"/>
          </w:p>
          <w:p w14:paraId="00000027" w14:textId="77777777" w:rsidR="0022362C" w:rsidRDefault="00000000">
            <w:pPr>
              <w:keepLines/>
              <w:numPr>
                <w:ilvl w:val="0"/>
                <w:numId w:val="2"/>
              </w:numPr>
              <w:pBdr>
                <w:top w:val="nil"/>
                <w:left w:val="nil"/>
                <w:bottom w:val="nil"/>
                <w:right w:val="nil"/>
                <w:between w:val="nil"/>
              </w:pBdr>
              <w:spacing w:after="0" w:line="240" w:lineRule="auto"/>
            </w:pPr>
            <w:r>
              <w:rPr>
                <w:rFonts w:ascii="Arial" w:eastAsia="Arial" w:hAnsi="Arial" w:cs="Arial"/>
                <w:color w:val="000000"/>
              </w:rPr>
              <w:t>Engage with representatives.</w:t>
            </w:r>
          </w:p>
        </w:tc>
      </w:tr>
    </w:tbl>
    <w:p w14:paraId="00000028" w14:textId="77777777" w:rsidR="0022362C" w:rsidRDefault="00000000">
      <w:pPr>
        <w:pStyle w:val="Heading1"/>
      </w:pPr>
      <w:r>
        <w:t>Section 4: Public Engagement</w:t>
      </w:r>
    </w:p>
    <w:p w14:paraId="00000029"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In Utah, municipal annexation is the legal process by which a city or town expands its boundaries to incorporate adjacent unincorporated land.</w:t>
      </w:r>
      <w:sdt>
        <w:sdtPr>
          <w:tag w:val="goog_rdk_1"/>
          <w:id w:val="-447238220"/>
        </w:sdtPr>
        <w:sdtContent>
          <w:commentRangeStart w:id="0"/>
        </w:sdtContent>
      </w:sdt>
      <w:r>
        <w:rPr>
          <w:rFonts w:ascii="Arial" w:eastAsia="Arial" w:hAnsi="Arial" w:cs="Arial"/>
          <w:color w:val="000000"/>
        </w:rPr>
        <w:t xml:space="preserve"> </w:t>
      </w:r>
      <w:commentRangeEnd w:id="0"/>
      <w:r>
        <w:commentReference w:id="0"/>
      </w:r>
      <w:r>
        <w:rPr>
          <w:rFonts w:ascii="Arial" w:eastAsia="Arial" w:hAnsi="Arial" w:cs="Arial"/>
          <w:color w:val="000000"/>
        </w:rPr>
        <w:t xml:space="preserve">Once a petition is submitted, the municipality must provide notice to affected entities and the public, allowing for input and objections. Public hearings are held to discuss the proposed annexation, giving residents and stakeholders an opportunity to voice their support or concerns. While Utah law does not require annexation decisions to be made through public elections, the process ensures community members have avenues to participate and influence the outcome through petitions, public notices, and hearings. </w:t>
      </w:r>
    </w:p>
    <w:p w14:paraId="0000002A" w14:textId="77777777" w:rsidR="0022362C" w:rsidRDefault="00000000">
      <w:pPr>
        <w:pStyle w:val="Heading1"/>
      </w:pPr>
      <w:r>
        <w:t>Section 5: Legislative Policy</w:t>
      </w:r>
    </w:p>
    <w:p w14:paraId="0000002B"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The following statements are reflected in the State Law governing annexations and are included as a part of this Annexation Policy Plan:</w:t>
      </w:r>
    </w:p>
    <w:p w14:paraId="0000002C" w14:textId="77777777" w:rsidR="0022362C" w:rsidRDefault="00000000">
      <w:pPr>
        <w:pStyle w:val="Heading2"/>
        <w:numPr>
          <w:ilvl w:val="0"/>
          <w:numId w:val="1"/>
        </w:numPr>
        <w:spacing w:after="0"/>
      </w:pPr>
      <w:r>
        <w:t xml:space="preserve">Sound development within towns and cities is essential to the continued economic development of the State of </w:t>
      </w:r>
      <w:proofErr w:type="gramStart"/>
      <w:r>
        <w:t>Utah;</w:t>
      </w:r>
      <w:proofErr w:type="gramEnd"/>
    </w:p>
    <w:p w14:paraId="0000002D" w14:textId="77777777" w:rsidR="0022362C" w:rsidRDefault="00000000">
      <w:pPr>
        <w:pStyle w:val="Heading2"/>
        <w:numPr>
          <w:ilvl w:val="0"/>
          <w:numId w:val="1"/>
        </w:numPr>
        <w:spacing w:before="0" w:after="0"/>
      </w:pPr>
      <w:r>
        <w:t xml:space="preserve">Municipalities are primarily created to provide urban-type governmental services essential for development and for the protection of public health, safety and welfare in residential, commercial, and industrial areas, and in areas under-going </w:t>
      </w:r>
      <w:proofErr w:type="gramStart"/>
      <w:r>
        <w:t>development;</w:t>
      </w:r>
      <w:proofErr w:type="gramEnd"/>
    </w:p>
    <w:p w14:paraId="0000002E" w14:textId="77777777" w:rsidR="0022362C" w:rsidRDefault="00000000">
      <w:pPr>
        <w:pStyle w:val="Heading2"/>
        <w:numPr>
          <w:ilvl w:val="0"/>
          <w:numId w:val="1"/>
        </w:numPr>
        <w:spacing w:before="0" w:after="0"/>
      </w:pPr>
      <w:r>
        <w:t xml:space="preserve">Municipal boundaries should be extended, in accordance with specific standards, to include areas where urban-type governmental services are needed and can be provided for the protection of public health, safety and welfare, and to avoid the inequities of double-taxation and the proliferation of special service </w:t>
      </w:r>
      <w:proofErr w:type="gramStart"/>
      <w:r>
        <w:t>districts;</w:t>
      </w:r>
      <w:proofErr w:type="gramEnd"/>
    </w:p>
    <w:p w14:paraId="0000002F" w14:textId="77777777" w:rsidR="0022362C" w:rsidRDefault="00000000">
      <w:pPr>
        <w:pStyle w:val="Heading2"/>
        <w:numPr>
          <w:ilvl w:val="0"/>
          <w:numId w:val="1"/>
        </w:numPr>
        <w:spacing w:before="0" w:after="0"/>
      </w:pPr>
      <w:r>
        <w:t xml:space="preserve">Areas annexed to municipalities in accordance with appropriate standards should receive the services provided by the annexing municipality consistent with a planned extension </w:t>
      </w:r>
      <w:proofErr w:type="gramStart"/>
      <w:r>
        <w:t>policy;</w:t>
      </w:r>
      <w:proofErr w:type="gramEnd"/>
    </w:p>
    <w:p w14:paraId="00000030" w14:textId="77777777" w:rsidR="0022362C" w:rsidRDefault="00000000">
      <w:pPr>
        <w:pStyle w:val="Heading2"/>
        <w:numPr>
          <w:ilvl w:val="0"/>
          <w:numId w:val="1"/>
        </w:numPr>
        <w:spacing w:before="0" w:after="0"/>
      </w:pPr>
      <w:r>
        <w:t xml:space="preserve">Areas annexed to municipalities should include </w:t>
      </w:r>
      <w:proofErr w:type="gramStart"/>
      <w:r>
        <w:t>all of</w:t>
      </w:r>
      <w:proofErr w:type="gramEnd"/>
      <w:r>
        <w:t xml:space="preserve"> the urbanized unincorporated areas surrounding municipalities, securing the residents within these areas a voice in the selection of their government and the services they shall </w:t>
      </w:r>
      <w:proofErr w:type="gramStart"/>
      <w:r>
        <w:t>receive;</w:t>
      </w:r>
      <w:proofErr w:type="gramEnd"/>
    </w:p>
    <w:p w14:paraId="00000031" w14:textId="77777777" w:rsidR="0022362C" w:rsidRDefault="00000000">
      <w:pPr>
        <w:pStyle w:val="Heading2"/>
        <w:numPr>
          <w:ilvl w:val="0"/>
          <w:numId w:val="1"/>
        </w:numPr>
        <w:spacing w:before="0" w:after="0"/>
      </w:pPr>
      <w:r>
        <w:t>Decisions with respect to municipal boundaries and urban development need to be made with adequate consideration of the effect of the proposed actions on adjacent areas and on the interests of other government units, on the cost of needed local government services, the ability to deliver the services under the proposed actions, and on factors related to population growth and density of the geographic area</w:t>
      </w:r>
    </w:p>
    <w:p w14:paraId="00000032" w14:textId="77777777" w:rsidR="0022362C" w:rsidRDefault="00000000">
      <w:pPr>
        <w:pStyle w:val="Heading2"/>
        <w:numPr>
          <w:ilvl w:val="0"/>
          <w:numId w:val="1"/>
        </w:numPr>
        <w:spacing w:before="0"/>
      </w:pPr>
      <w:r>
        <w:t>The economic and financial impacts of annexation to existing towns and cities must be evaluated to ensure that annexation is financially desirable.</w:t>
      </w:r>
    </w:p>
    <w:p w14:paraId="00000033" w14:textId="77777777" w:rsidR="0022362C" w:rsidRDefault="00000000">
      <w:pPr>
        <w:pStyle w:val="Heading1"/>
      </w:pPr>
      <w:r>
        <w:t>Section 6: Annexation Process Summary</w:t>
      </w:r>
    </w:p>
    <w:p w14:paraId="00000034"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Listed below is a summary of the annexation process. Refer to Utah Code Title 10, Chapter 2 for complete and current processes. </w:t>
      </w:r>
    </w:p>
    <w:tbl>
      <w:tblPr>
        <w:tblStyle w:val="a5"/>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1800"/>
        <w:gridCol w:w="7200"/>
      </w:tblGrid>
      <w:tr w:rsidR="0022362C" w14:paraId="6F0FE624" w14:textId="77777777">
        <w:tc>
          <w:tcPr>
            <w:tcW w:w="360" w:type="dxa"/>
            <w:vAlign w:val="center"/>
          </w:tcPr>
          <w:p w14:paraId="00000035" w14:textId="77777777" w:rsidR="0022362C" w:rsidRDefault="0022362C">
            <w:pPr>
              <w:pBdr>
                <w:top w:val="nil"/>
                <w:left w:val="nil"/>
                <w:bottom w:val="nil"/>
                <w:right w:val="nil"/>
                <w:between w:val="nil"/>
              </w:pBdr>
              <w:spacing w:before="60" w:after="60"/>
              <w:rPr>
                <w:rFonts w:ascii="Arial" w:eastAsia="Arial" w:hAnsi="Arial" w:cs="Arial"/>
                <w:b/>
                <w:color w:val="000000"/>
                <w:sz w:val="24"/>
                <w:szCs w:val="24"/>
              </w:rPr>
            </w:pPr>
          </w:p>
        </w:tc>
        <w:tc>
          <w:tcPr>
            <w:tcW w:w="1800" w:type="dxa"/>
            <w:vAlign w:val="center"/>
          </w:tcPr>
          <w:p w14:paraId="00000036" w14:textId="77777777" w:rsidR="0022362C"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Activity</w:t>
            </w:r>
          </w:p>
        </w:tc>
        <w:tc>
          <w:tcPr>
            <w:tcW w:w="7200" w:type="dxa"/>
            <w:vAlign w:val="center"/>
          </w:tcPr>
          <w:p w14:paraId="00000037" w14:textId="77777777" w:rsidR="0022362C"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Details</w:t>
            </w:r>
          </w:p>
        </w:tc>
      </w:tr>
      <w:tr w:rsidR="0022362C" w14:paraId="4FFCEC63" w14:textId="77777777">
        <w:tc>
          <w:tcPr>
            <w:tcW w:w="360" w:type="dxa"/>
            <w:vAlign w:val="center"/>
          </w:tcPr>
          <w:p w14:paraId="00000038"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1</w:t>
            </w:r>
          </w:p>
        </w:tc>
        <w:tc>
          <w:tcPr>
            <w:tcW w:w="1800" w:type="dxa"/>
            <w:vAlign w:val="center"/>
          </w:tcPr>
          <w:p w14:paraId="00000039"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Pre-Application Meeting</w:t>
            </w:r>
          </w:p>
        </w:tc>
        <w:tc>
          <w:tcPr>
            <w:tcW w:w="7200" w:type="dxa"/>
            <w:vAlign w:val="center"/>
          </w:tcPr>
          <w:p w14:paraId="0000003A"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Applicants meet with City staff to review feasibility and requirements.</w:t>
            </w:r>
          </w:p>
        </w:tc>
      </w:tr>
      <w:tr w:rsidR="0022362C" w14:paraId="35056ECD" w14:textId="77777777">
        <w:tc>
          <w:tcPr>
            <w:tcW w:w="360" w:type="dxa"/>
            <w:vAlign w:val="center"/>
          </w:tcPr>
          <w:p w14:paraId="0000003B"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2</w:t>
            </w:r>
          </w:p>
        </w:tc>
        <w:tc>
          <w:tcPr>
            <w:tcW w:w="1800" w:type="dxa"/>
            <w:vAlign w:val="center"/>
          </w:tcPr>
          <w:p w14:paraId="0000003C"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Notice of Intent to Annex</w:t>
            </w:r>
          </w:p>
        </w:tc>
        <w:tc>
          <w:tcPr>
            <w:tcW w:w="7200" w:type="dxa"/>
            <w:vAlign w:val="center"/>
          </w:tcPr>
          <w:p w14:paraId="0000003D"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The annexation process typically begins with property owners filing a notice of intent with the city recorder.</w:t>
            </w:r>
          </w:p>
          <w:p w14:paraId="0000003E"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This notice must include an accurate map of the proposed annexation area.</w:t>
            </w:r>
          </w:p>
          <w:p w14:paraId="0000003F"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Copies of the notice are sent to the county clerk and all affected entities, such as utility districts and neighboring municipalities.</w:t>
            </w:r>
          </w:p>
        </w:tc>
      </w:tr>
      <w:tr w:rsidR="0022362C" w14:paraId="2C788A56" w14:textId="77777777">
        <w:tc>
          <w:tcPr>
            <w:tcW w:w="360" w:type="dxa"/>
            <w:vAlign w:val="center"/>
          </w:tcPr>
          <w:p w14:paraId="00000040"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3</w:t>
            </w:r>
          </w:p>
        </w:tc>
        <w:tc>
          <w:tcPr>
            <w:tcW w:w="1800" w:type="dxa"/>
            <w:vAlign w:val="center"/>
          </w:tcPr>
          <w:p w14:paraId="00000041"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Filing the Annexation Petition</w:t>
            </w:r>
          </w:p>
        </w:tc>
        <w:tc>
          <w:tcPr>
            <w:tcW w:w="7200" w:type="dxa"/>
            <w:vAlign w:val="center"/>
          </w:tcPr>
          <w:p w14:paraId="00000042"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Property owners submit a formal annexation petition to the city.</w:t>
            </w:r>
          </w:p>
          <w:p w14:paraId="00000043"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 xml:space="preserve">The petition must be signed by owners representing </w:t>
            </w:r>
            <w:proofErr w:type="gramStart"/>
            <w:r>
              <w:rPr>
                <w:rFonts w:ascii="Arial" w:eastAsia="Arial" w:hAnsi="Arial" w:cs="Arial"/>
                <w:color w:val="000000"/>
              </w:rPr>
              <w:t>a majority of</w:t>
            </w:r>
            <w:proofErr w:type="gramEnd"/>
            <w:r>
              <w:rPr>
                <w:rFonts w:ascii="Arial" w:eastAsia="Arial" w:hAnsi="Arial" w:cs="Arial"/>
                <w:color w:val="000000"/>
              </w:rPr>
              <w:t xml:space="preserve"> the land area and at least one-third of the assessed property value within the proposed annexation area.</w:t>
            </w:r>
          </w:p>
          <w:p w14:paraId="00000044"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An accurate, recordable plat map prepared by a licensed surveyor must accompany the petition.</w:t>
            </w:r>
          </w:p>
        </w:tc>
      </w:tr>
      <w:tr w:rsidR="0022362C" w14:paraId="528A7EF9" w14:textId="77777777">
        <w:tc>
          <w:tcPr>
            <w:tcW w:w="360" w:type="dxa"/>
            <w:vAlign w:val="center"/>
          </w:tcPr>
          <w:p w14:paraId="00000045"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4</w:t>
            </w:r>
          </w:p>
        </w:tc>
        <w:tc>
          <w:tcPr>
            <w:tcW w:w="1800" w:type="dxa"/>
            <w:vAlign w:val="center"/>
          </w:tcPr>
          <w:p w14:paraId="00000046"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Petition Review and Certification</w:t>
            </w:r>
          </w:p>
        </w:tc>
        <w:tc>
          <w:tcPr>
            <w:tcW w:w="7200" w:type="dxa"/>
            <w:vAlign w:val="center"/>
          </w:tcPr>
          <w:p w14:paraId="00000047"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The</w:t>
            </w:r>
            <w:sdt>
              <w:sdtPr>
                <w:tag w:val="goog_rdk_2"/>
                <w:id w:val="1321157743"/>
              </w:sdtPr>
              <w:sdtContent>
                <w:commentRangeStart w:id="1"/>
              </w:sdtContent>
            </w:sdt>
            <w:r>
              <w:rPr>
                <w:rFonts w:ascii="Arial" w:eastAsia="Arial" w:hAnsi="Arial" w:cs="Arial"/>
                <w:color w:val="000000"/>
              </w:rPr>
              <w:t xml:space="preserve"> city council reviews the petition at its next meeting, at least 14 days after filing.</w:t>
            </w:r>
            <w:commentRangeEnd w:id="1"/>
            <w:r>
              <w:commentReference w:id="1"/>
            </w:r>
          </w:p>
          <w:p w14:paraId="00000048"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If accepted, the city recorder collaborates with county officials to verify that the petition meets statutory requirements.</w:t>
            </w:r>
          </w:p>
          <w:p w14:paraId="00000049"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Upon successful verification, the petition is certified, allowing the process to proceed.</w:t>
            </w:r>
          </w:p>
        </w:tc>
      </w:tr>
      <w:tr w:rsidR="0022362C" w14:paraId="2635F58B" w14:textId="77777777">
        <w:tc>
          <w:tcPr>
            <w:tcW w:w="360" w:type="dxa"/>
            <w:vAlign w:val="center"/>
          </w:tcPr>
          <w:p w14:paraId="0000004A"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5</w:t>
            </w:r>
          </w:p>
        </w:tc>
        <w:tc>
          <w:tcPr>
            <w:tcW w:w="1800" w:type="dxa"/>
            <w:vAlign w:val="center"/>
          </w:tcPr>
          <w:p w14:paraId="0000004B"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Public Notice and Protest Period</w:t>
            </w:r>
          </w:p>
        </w:tc>
        <w:tc>
          <w:tcPr>
            <w:tcW w:w="7200" w:type="dxa"/>
            <w:vAlign w:val="center"/>
          </w:tcPr>
          <w:p w14:paraId="0000004C"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Following certification, the city publishes notices in the proposed annexation area and notifies affected entities.</w:t>
            </w:r>
          </w:p>
          <w:p w14:paraId="0000004D"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A 30-day protest period commences, during which eligible parties (e.g., affected entities or property owners) may file formal objections.</w:t>
            </w:r>
          </w:p>
        </w:tc>
      </w:tr>
      <w:tr w:rsidR="0022362C" w14:paraId="7F199C3A" w14:textId="77777777">
        <w:tc>
          <w:tcPr>
            <w:tcW w:w="360" w:type="dxa"/>
            <w:vAlign w:val="center"/>
          </w:tcPr>
          <w:p w14:paraId="0000004E"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6</w:t>
            </w:r>
          </w:p>
        </w:tc>
        <w:tc>
          <w:tcPr>
            <w:tcW w:w="1800" w:type="dxa"/>
            <w:vAlign w:val="center"/>
          </w:tcPr>
          <w:p w14:paraId="0000004F"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Public Hearing and Council Decision</w:t>
            </w:r>
          </w:p>
        </w:tc>
        <w:tc>
          <w:tcPr>
            <w:tcW w:w="7200" w:type="dxa"/>
            <w:vAlign w:val="center"/>
          </w:tcPr>
          <w:p w14:paraId="00000050"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If no valid protests are filed, or after resolving any protests, the city council holds a public hearing to discuss the annexation.</w:t>
            </w:r>
          </w:p>
          <w:p w14:paraId="00000051"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The council then votes to approve or deny the annexation.</w:t>
            </w:r>
          </w:p>
          <w:p w14:paraId="00000052"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If approved, the council adopts an annexation ordinance formalizing the decision.</w:t>
            </w:r>
          </w:p>
        </w:tc>
      </w:tr>
      <w:tr w:rsidR="0022362C" w14:paraId="148B48E5" w14:textId="77777777">
        <w:tc>
          <w:tcPr>
            <w:tcW w:w="360" w:type="dxa"/>
            <w:vAlign w:val="center"/>
          </w:tcPr>
          <w:p w14:paraId="00000053"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7</w:t>
            </w:r>
          </w:p>
        </w:tc>
        <w:tc>
          <w:tcPr>
            <w:tcW w:w="1800" w:type="dxa"/>
            <w:vAlign w:val="center"/>
          </w:tcPr>
          <w:p w14:paraId="00000054"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Finalization and Recording</w:t>
            </w:r>
          </w:p>
        </w:tc>
        <w:tc>
          <w:tcPr>
            <w:tcW w:w="7200" w:type="dxa"/>
            <w:vAlign w:val="center"/>
          </w:tcPr>
          <w:p w14:paraId="00000055"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The city submits the annexation documents to the Utah Lieutenant Governor’s Office for final certification.</w:t>
            </w:r>
          </w:p>
          <w:p w14:paraId="00000056" w14:textId="77777777" w:rsidR="0022362C" w:rsidRDefault="00000000">
            <w:pPr>
              <w:keepLines/>
              <w:numPr>
                <w:ilvl w:val="0"/>
                <w:numId w:val="2"/>
              </w:numPr>
              <w:pBdr>
                <w:top w:val="nil"/>
                <w:left w:val="nil"/>
                <w:bottom w:val="nil"/>
                <w:right w:val="nil"/>
                <w:between w:val="nil"/>
              </w:pBdr>
            </w:pPr>
            <w:r>
              <w:rPr>
                <w:rFonts w:ascii="Arial" w:eastAsia="Arial" w:hAnsi="Arial" w:cs="Arial"/>
                <w:color w:val="000000"/>
              </w:rPr>
              <w:t>The annexation becomes official upon issuance of a Certificate of Annexation and recording with the county recorder.</w:t>
            </w:r>
          </w:p>
        </w:tc>
      </w:tr>
      <w:tr w:rsidR="0022362C" w14:paraId="435FB5AF" w14:textId="77777777">
        <w:tc>
          <w:tcPr>
            <w:tcW w:w="360" w:type="dxa"/>
            <w:vAlign w:val="center"/>
          </w:tcPr>
          <w:p w14:paraId="00000057" w14:textId="79D46A6A" w:rsidR="0022362C" w:rsidRDefault="00000000">
            <w:pPr>
              <w:pBdr>
                <w:top w:val="nil"/>
                <w:left w:val="nil"/>
                <w:bottom w:val="nil"/>
                <w:right w:val="nil"/>
                <w:between w:val="nil"/>
              </w:pBdr>
              <w:spacing w:before="60" w:after="60"/>
              <w:rPr>
                <w:rFonts w:ascii="Arial" w:eastAsia="Arial" w:hAnsi="Arial" w:cs="Arial"/>
                <w:color w:val="000000"/>
              </w:rPr>
            </w:pPr>
            <w:sdt>
              <w:sdtPr>
                <w:tag w:val="goog_rdk_4"/>
                <w:id w:val="2096057107"/>
                <w:showingPlcHdr/>
              </w:sdtPr>
              <w:sdtContent>
                <w:r w:rsidR="00270A28">
                  <w:t xml:space="preserve">     </w:t>
                </w:r>
              </w:sdtContent>
            </w:sdt>
          </w:p>
        </w:tc>
        <w:tc>
          <w:tcPr>
            <w:tcW w:w="1800" w:type="dxa"/>
            <w:vAlign w:val="center"/>
          </w:tcPr>
          <w:p w14:paraId="00000058" w14:textId="35FA2694" w:rsidR="0022362C" w:rsidRDefault="00000000">
            <w:pPr>
              <w:pBdr>
                <w:top w:val="nil"/>
                <w:left w:val="nil"/>
                <w:bottom w:val="nil"/>
                <w:right w:val="nil"/>
                <w:between w:val="nil"/>
              </w:pBdr>
              <w:spacing w:before="60" w:after="60"/>
              <w:rPr>
                <w:rFonts w:ascii="Arial" w:eastAsia="Arial" w:hAnsi="Arial" w:cs="Arial"/>
                <w:color w:val="000000"/>
              </w:rPr>
            </w:pPr>
            <w:sdt>
              <w:sdtPr>
                <w:tag w:val="goog_rdk_6"/>
                <w:id w:val="14438879"/>
              </w:sdtPr>
              <w:sdtContent>
                <w:sdt>
                  <w:sdtPr>
                    <w:tag w:val="goog_rdk_7"/>
                    <w:id w:val="1733269907"/>
                  </w:sdtPr>
                  <w:sdtContent>
                    <w:commentRangeStart w:id="2"/>
                  </w:sdtContent>
                </w:sdt>
              </w:sdtContent>
            </w:sdt>
            <w:commentRangeEnd w:id="2"/>
            <w:r>
              <w:commentReference w:id="2"/>
            </w:r>
          </w:p>
        </w:tc>
        <w:tc>
          <w:tcPr>
            <w:tcW w:w="7200" w:type="dxa"/>
            <w:vAlign w:val="center"/>
          </w:tcPr>
          <w:p w14:paraId="0000005C" w14:textId="21B4F5C2" w:rsidR="0022362C" w:rsidRDefault="00000000">
            <w:pPr>
              <w:keepLines/>
              <w:numPr>
                <w:ilvl w:val="0"/>
                <w:numId w:val="2"/>
              </w:numPr>
              <w:pBdr>
                <w:top w:val="nil"/>
                <w:left w:val="nil"/>
                <w:bottom w:val="nil"/>
                <w:right w:val="nil"/>
                <w:between w:val="nil"/>
              </w:pBdr>
            </w:pPr>
            <w:sdt>
              <w:sdtPr>
                <w:tag w:val="goog_rdk_10"/>
                <w:id w:val="920067295"/>
              </w:sdtPr>
              <w:sdtContent>
                <w:sdt>
                  <w:sdtPr>
                    <w:tag w:val="goog_rdk_9"/>
                    <w:id w:val="-2144795338"/>
                    <w:showingPlcHdr/>
                  </w:sdtPr>
                  <w:sdtContent>
                    <w:r w:rsidR="00270A28">
                      <w:t xml:space="preserve">     </w:t>
                    </w:r>
                  </w:sdtContent>
                </w:sdt>
              </w:sdtContent>
            </w:sdt>
            <w:sdt>
              <w:sdtPr>
                <w:tag w:val="goog_rdk_12"/>
                <w:id w:val="1646475906"/>
              </w:sdtPr>
              <w:sdtContent>
                <w:sdt>
                  <w:sdtPr>
                    <w:tag w:val="goog_rdk_11"/>
                    <w:id w:val="-721834184"/>
                    <w:showingPlcHdr/>
                  </w:sdtPr>
                  <w:sdtContent>
                    <w:r w:rsidR="00270A28">
                      <w:t xml:space="preserve">     </w:t>
                    </w:r>
                  </w:sdtContent>
                </w:sdt>
              </w:sdtContent>
            </w:sdt>
            <w:sdt>
              <w:sdtPr>
                <w:tag w:val="goog_rdk_14"/>
                <w:id w:val="1013658981"/>
              </w:sdtPr>
              <w:sdtContent>
                <w:sdt>
                  <w:sdtPr>
                    <w:tag w:val="goog_rdk_13"/>
                    <w:id w:val="-818957109"/>
                    <w:showingPlcHdr/>
                  </w:sdtPr>
                  <w:sdtContent>
                    <w:r w:rsidR="00270A28">
                      <w:t xml:space="preserve">     </w:t>
                    </w:r>
                  </w:sdtContent>
                </w:sdt>
              </w:sdtContent>
            </w:sdt>
            <w:sdt>
              <w:sdtPr>
                <w:tag w:val="goog_rdk_15"/>
                <w:id w:val="-966655945"/>
                <w:showingPlcHdr/>
              </w:sdtPr>
              <w:sdtContent>
                <w:r w:rsidR="00270A28">
                  <w:t xml:space="preserve">     </w:t>
                </w:r>
              </w:sdtContent>
            </w:sdt>
          </w:p>
        </w:tc>
      </w:tr>
    </w:tbl>
    <w:p w14:paraId="0000005D" w14:textId="77777777" w:rsidR="0022362C" w:rsidRDefault="00000000">
      <w:pPr>
        <w:pStyle w:val="Heading1"/>
      </w:pPr>
      <w:r>
        <w:lastRenderedPageBreak/>
        <w:t>Section 7: Annexation Criteria</w:t>
      </w:r>
    </w:p>
    <w:p w14:paraId="0000005E"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The following criteria shall guide Lake Point’s decisions about future annexation petitions:</w:t>
      </w:r>
    </w:p>
    <w:p w14:paraId="0000005F" w14:textId="77777777" w:rsidR="0022362C" w:rsidRDefault="00000000">
      <w:pPr>
        <w:pStyle w:val="Heading1"/>
      </w:pPr>
      <w:r>
        <w:t>Section 7.1: The need for municipal services</w:t>
      </w:r>
    </w:p>
    <w:p w14:paraId="00000060"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Municipal services would likely be provided either by the city or through special service districts, including but not limited to North Tooele Fire District, Lake Point Improvement </w:t>
      </w:r>
      <w:sdt>
        <w:sdtPr>
          <w:tag w:val="goog_rdk_16"/>
          <w:id w:val="-211809780"/>
        </w:sdtPr>
        <w:sdtContent>
          <w:sdt>
            <w:sdtPr>
              <w:tag w:val="goog_rdk_17"/>
              <w:id w:val="-1819033802"/>
            </w:sdtPr>
            <w:sdtContent>
              <w:commentRangeStart w:id="3"/>
            </w:sdtContent>
          </w:sdt>
          <w:r>
            <w:rPr>
              <w:rFonts w:ascii="Arial" w:eastAsia="Arial" w:hAnsi="Arial" w:cs="Arial"/>
              <w:color w:val="000000"/>
            </w:rPr>
            <w:t xml:space="preserve">Sewer </w:t>
          </w:r>
        </w:sdtContent>
      </w:sdt>
      <w:commentRangeEnd w:id="3"/>
      <w:r>
        <w:commentReference w:id="3"/>
      </w:r>
      <w:r>
        <w:rPr>
          <w:rFonts w:ascii="Arial" w:eastAsia="Arial" w:hAnsi="Arial" w:cs="Arial"/>
          <w:color w:val="000000"/>
        </w:rPr>
        <w:t>District, and Lake Point Cemetery and Park District.</w:t>
      </w:r>
    </w:p>
    <w:p w14:paraId="00000061"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Lake Point believes it is in the interest of its citizens and will provide public health, safety, and welfare to assure the responsibility for providing municipal services to the expansion area as adopted by the city. The provision of municipal services to this area will assure the city of the ability to protect the interests of its residents in maximizing the benefits of the economies of scale in the provision of municipal services and in minimizing the harmful impacts of conflicting uses of land that may be proposed or occur within the expansion area.</w:t>
      </w:r>
    </w:p>
    <w:p w14:paraId="00000062"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Petitioners must outline required services and financing plans. The city will determine service necessity and provision. Lake Point will ensure annexed areas receive appropriate municipal services either directly or through special service districts. Lake Point's approach to balancing development with resource availability is mirrored in Lake Point’s annexation strategy.</w:t>
      </w:r>
    </w:p>
    <w:p w14:paraId="00000063" w14:textId="77777777" w:rsidR="0022362C" w:rsidRDefault="00000000">
      <w:pPr>
        <w:pStyle w:val="Heading1"/>
      </w:pPr>
      <w:r>
        <w:t>Section 7.2: The character of the community</w:t>
      </w:r>
    </w:p>
    <w:p w14:paraId="00000064"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Lake Point is in Tooele County, Utah, has a rich history that dates to its original settlement in 1854. At that time, the area was established under the name of E.T. City. Early settlers were attracted to the region's open lands, proximity to water sources, and its potential for agriculture and livestock. They worked hard to establish a community, cultivating crops, raising livestock, and building homes. </w:t>
      </w:r>
    </w:p>
    <w:p w14:paraId="00000065"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Lake Point has a high potential to experience significant commercial development </w:t>
      </w:r>
      <w:proofErr w:type="gramStart"/>
      <w:r>
        <w:rPr>
          <w:rFonts w:ascii="Arial" w:eastAsia="Arial" w:hAnsi="Arial" w:cs="Arial"/>
          <w:color w:val="000000"/>
        </w:rPr>
        <w:t>in the near future</w:t>
      </w:r>
      <w:proofErr w:type="gramEnd"/>
      <w:r>
        <w:rPr>
          <w:rFonts w:ascii="Arial" w:eastAsia="Arial" w:hAnsi="Arial" w:cs="Arial"/>
          <w:color w:val="000000"/>
        </w:rPr>
        <w:t xml:space="preserve">. Recent developments in the Lake Point area have focused on expanding </w:t>
      </w:r>
      <w:sdt>
        <w:sdtPr>
          <w:tag w:val="goog_rdk_18"/>
          <w:id w:val="-233084279"/>
        </w:sdtPr>
        <w:sdtContent>
          <w:commentRangeStart w:id="4"/>
        </w:sdtContent>
      </w:sdt>
      <w:r>
        <w:rPr>
          <w:rFonts w:ascii="Arial" w:eastAsia="Arial" w:hAnsi="Arial" w:cs="Arial"/>
          <w:color w:val="000000"/>
        </w:rPr>
        <w:t xml:space="preserve">residential </w:t>
      </w:r>
      <w:commentRangeEnd w:id="4"/>
      <w:r>
        <w:commentReference w:id="4"/>
      </w:r>
      <w:r>
        <w:rPr>
          <w:rFonts w:ascii="Arial" w:eastAsia="Arial" w:hAnsi="Arial" w:cs="Arial"/>
          <w:color w:val="000000"/>
        </w:rPr>
        <w:t>areas to accommodate the increasing population in the region. As a rapidly growing community, Lake Point is strategically positioned near the employment centers of the Wasatch Front and Tooele County, and benefits from its proximity to major transportation corridors, including Interstate 80. Looking ahead, Lake Point is expected to continue its upward trajectory, with projected growth in both residential and commercial</w:t>
      </w:r>
      <w:sdt>
        <w:sdtPr>
          <w:tag w:val="goog_rdk_19"/>
          <w:id w:val="1117637263"/>
        </w:sdtPr>
        <w:sdtContent>
          <w:commentRangeStart w:id="5"/>
        </w:sdtContent>
      </w:sdt>
      <w:r>
        <w:rPr>
          <w:rFonts w:ascii="Arial" w:eastAsia="Arial" w:hAnsi="Arial" w:cs="Arial"/>
          <w:color w:val="000000"/>
        </w:rPr>
        <w:t xml:space="preserve"> sectors</w:t>
      </w:r>
      <w:commentRangeEnd w:id="5"/>
      <w:r>
        <w:commentReference w:id="5"/>
      </w:r>
      <w:r>
        <w:rPr>
          <w:rFonts w:ascii="Arial" w:eastAsia="Arial" w:hAnsi="Arial" w:cs="Arial"/>
          <w:color w:val="000000"/>
        </w:rPr>
        <w:t>.</w:t>
      </w:r>
    </w:p>
    <w:p w14:paraId="00000066"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Lake Point’s Vision and Core Values preserve our rural lifestyle and heritage. We welcome new residents and ask all to share our commitment to maintaining a peaceful and self-sufficient way of life. We believe that the natural beauty, gorgeous sunsets, and resources of Lake Point provide ample opportunities for individuals and families to live fulfilling lives, free from the stresses and pressures of metro area living.</w:t>
      </w:r>
    </w:p>
    <w:p w14:paraId="00000067" w14:textId="77777777" w:rsidR="0022362C" w:rsidRDefault="00000000">
      <w:pPr>
        <w:pStyle w:val="Heading1"/>
      </w:pPr>
      <w:r>
        <w:lastRenderedPageBreak/>
        <w:t>Section 7.3: Plans for extension of municipal services</w:t>
      </w:r>
    </w:p>
    <w:p w14:paraId="00000068"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Lake Point provides Waste Services. Infrastructure studies have been done or are in process by Lake Point regarding stormwater and drainage management, geotechnical studies, transportation master planning and similar, along with other information which guides service expansion. </w:t>
      </w:r>
    </w:p>
    <w:p w14:paraId="00000069"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Development, franchise, interlocal, and any other applicable partnership agreements, will ensure infrastructure alignment with city planning, city ordinances, and the general plan. Lake Point will extend services efficiently while maintaining budget constraints and leveraging partnerships with service districts for Sewer, Water, Fire and Cemetery and Parks where applicable. The use of phased infrastructure expansion will also be considered in Lake Point to support sustainable development.</w:t>
      </w:r>
    </w:p>
    <w:p w14:paraId="0000006A" w14:textId="77777777" w:rsidR="0022362C" w:rsidRDefault="00000000">
      <w:pPr>
        <w:pStyle w:val="Heading1"/>
      </w:pPr>
      <w:r>
        <w:t>Section 7.4: How the services shall be financed</w:t>
      </w:r>
    </w:p>
    <w:p w14:paraId="0000006B"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Lake Point welcomes moderate population growth at a reasonable pace and believes that new growth should pay its own way. Water, sewer, stormwater, and emergency services must be available or capable of being extended without excessive burden on existing residents. The table below contains a non-exhaustive list of ways in which municipal annexation can be paid for:</w:t>
      </w:r>
    </w:p>
    <w:tbl>
      <w:tblPr>
        <w:tblStyle w:val="a6"/>
        <w:tblW w:w="1098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1620"/>
        <w:gridCol w:w="1080"/>
        <w:gridCol w:w="2430"/>
        <w:gridCol w:w="2610"/>
        <w:gridCol w:w="2790"/>
      </w:tblGrid>
      <w:tr w:rsidR="0022362C" w14:paraId="0791CD22" w14:textId="77777777">
        <w:tc>
          <w:tcPr>
            <w:tcW w:w="450" w:type="dxa"/>
          </w:tcPr>
          <w:p w14:paraId="0000006C" w14:textId="77777777" w:rsidR="0022362C" w:rsidRDefault="0022362C">
            <w:pPr>
              <w:pBdr>
                <w:top w:val="nil"/>
                <w:left w:val="nil"/>
                <w:bottom w:val="nil"/>
                <w:right w:val="nil"/>
                <w:between w:val="nil"/>
              </w:pBdr>
              <w:spacing w:before="60" w:after="60"/>
              <w:jc w:val="center"/>
              <w:rPr>
                <w:rFonts w:ascii="Arial" w:eastAsia="Arial" w:hAnsi="Arial" w:cs="Arial"/>
                <w:b/>
                <w:color w:val="000000"/>
                <w:sz w:val="24"/>
                <w:szCs w:val="24"/>
              </w:rPr>
            </w:pPr>
          </w:p>
        </w:tc>
        <w:tc>
          <w:tcPr>
            <w:tcW w:w="1620" w:type="dxa"/>
          </w:tcPr>
          <w:p w14:paraId="0000006D" w14:textId="77777777" w:rsidR="0022362C"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Option</w:t>
            </w:r>
          </w:p>
        </w:tc>
        <w:tc>
          <w:tcPr>
            <w:tcW w:w="1080" w:type="dxa"/>
          </w:tcPr>
          <w:p w14:paraId="0000006E" w14:textId="77777777" w:rsidR="0022362C"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Utah Code</w:t>
            </w:r>
          </w:p>
        </w:tc>
        <w:tc>
          <w:tcPr>
            <w:tcW w:w="2430" w:type="dxa"/>
          </w:tcPr>
          <w:p w14:paraId="0000006F" w14:textId="77777777" w:rsidR="0022362C"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Used For</w:t>
            </w:r>
          </w:p>
        </w:tc>
        <w:tc>
          <w:tcPr>
            <w:tcW w:w="2610" w:type="dxa"/>
          </w:tcPr>
          <w:p w14:paraId="00000070" w14:textId="77777777" w:rsidR="0022362C"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How it Works</w:t>
            </w:r>
          </w:p>
        </w:tc>
        <w:tc>
          <w:tcPr>
            <w:tcW w:w="2790" w:type="dxa"/>
          </w:tcPr>
          <w:p w14:paraId="00000071" w14:textId="77777777" w:rsidR="0022362C"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Approval Process</w:t>
            </w:r>
          </w:p>
        </w:tc>
      </w:tr>
      <w:tr w:rsidR="0022362C" w14:paraId="7F77517D" w14:textId="77777777">
        <w:tc>
          <w:tcPr>
            <w:tcW w:w="450" w:type="dxa"/>
          </w:tcPr>
          <w:p w14:paraId="00000072"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1</w:t>
            </w:r>
          </w:p>
        </w:tc>
        <w:tc>
          <w:tcPr>
            <w:tcW w:w="1620" w:type="dxa"/>
          </w:tcPr>
          <w:p w14:paraId="00000073"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Special Assessment Area (SAA)</w:t>
            </w:r>
          </w:p>
        </w:tc>
        <w:tc>
          <w:tcPr>
            <w:tcW w:w="1080" w:type="dxa"/>
          </w:tcPr>
          <w:p w14:paraId="00000074"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 xml:space="preserve">Title 11, Chapter 42 </w:t>
            </w:r>
          </w:p>
        </w:tc>
        <w:tc>
          <w:tcPr>
            <w:tcW w:w="2430" w:type="dxa"/>
          </w:tcPr>
          <w:p w14:paraId="00000075"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Funding infrastructure improvements (roads, water, sewer, storm drainage, sidewalks, etc.) in a specific area affected by a development.</w:t>
            </w:r>
          </w:p>
        </w:tc>
        <w:tc>
          <w:tcPr>
            <w:tcW w:w="2610" w:type="dxa"/>
          </w:tcPr>
          <w:p w14:paraId="00000076"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The city or county creates an SAA, and property owners within the area pay an assessment to fund the infrastructure improvements.</w:t>
            </w:r>
          </w:p>
        </w:tc>
        <w:tc>
          <w:tcPr>
            <w:tcW w:w="2790" w:type="dxa"/>
          </w:tcPr>
          <w:p w14:paraId="00000077"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Requires notice and public hearings; in some cases, property owners can protest the assessment if they represent more than 50% of the area.</w:t>
            </w:r>
          </w:p>
        </w:tc>
      </w:tr>
      <w:tr w:rsidR="0022362C" w14:paraId="1F7E14D5" w14:textId="77777777">
        <w:tc>
          <w:tcPr>
            <w:tcW w:w="450" w:type="dxa"/>
          </w:tcPr>
          <w:p w14:paraId="00000078"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2</w:t>
            </w:r>
          </w:p>
        </w:tc>
        <w:tc>
          <w:tcPr>
            <w:tcW w:w="1620" w:type="dxa"/>
          </w:tcPr>
          <w:p w14:paraId="00000079"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Community Reinvestment Area (CRA)</w:t>
            </w:r>
          </w:p>
        </w:tc>
        <w:tc>
          <w:tcPr>
            <w:tcW w:w="1080" w:type="dxa"/>
          </w:tcPr>
          <w:p w14:paraId="0000007A"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Title 17C</w:t>
            </w:r>
          </w:p>
        </w:tc>
        <w:tc>
          <w:tcPr>
            <w:tcW w:w="2430" w:type="dxa"/>
          </w:tcPr>
          <w:p w14:paraId="0000007B"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Funding public infrastructure and economic development through Tax Increment Financing (TIF).</w:t>
            </w:r>
          </w:p>
        </w:tc>
        <w:tc>
          <w:tcPr>
            <w:tcW w:w="2610" w:type="dxa"/>
          </w:tcPr>
          <w:p w14:paraId="0000007C"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As new development increases property values, a portion of the increased property tax revenue (tax increment) is redirected to finance infrastructure.</w:t>
            </w:r>
          </w:p>
        </w:tc>
        <w:tc>
          <w:tcPr>
            <w:tcW w:w="2790" w:type="dxa"/>
          </w:tcPr>
          <w:p w14:paraId="0000007D"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The city establishes a Community Reinvestment Agency (CRA) and adopts a project plan. Affected taxing entities (schools, counties, etc.) may negotiate tax participation.</w:t>
            </w:r>
          </w:p>
        </w:tc>
      </w:tr>
      <w:tr w:rsidR="0022362C" w14:paraId="42F202ED" w14:textId="77777777">
        <w:tc>
          <w:tcPr>
            <w:tcW w:w="450" w:type="dxa"/>
          </w:tcPr>
          <w:p w14:paraId="0000007E"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3</w:t>
            </w:r>
          </w:p>
        </w:tc>
        <w:tc>
          <w:tcPr>
            <w:tcW w:w="1620" w:type="dxa"/>
          </w:tcPr>
          <w:p w14:paraId="0000007F"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Public Infrastructure District (PID)</w:t>
            </w:r>
          </w:p>
        </w:tc>
        <w:tc>
          <w:tcPr>
            <w:tcW w:w="1080" w:type="dxa"/>
          </w:tcPr>
          <w:p w14:paraId="00000080"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Title 17D, Chapter 4</w:t>
            </w:r>
          </w:p>
        </w:tc>
        <w:tc>
          <w:tcPr>
            <w:tcW w:w="2430" w:type="dxa"/>
          </w:tcPr>
          <w:p w14:paraId="00000081"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 xml:space="preserve">Large-scale infrastructure projects in new developments, </w:t>
            </w:r>
            <w:proofErr w:type="gramStart"/>
            <w:r>
              <w:rPr>
                <w:rFonts w:ascii="Arial" w:eastAsia="Arial" w:hAnsi="Arial" w:cs="Arial"/>
                <w:color w:val="000000"/>
              </w:rPr>
              <w:t>similar to</w:t>
            </w:r>
            <w:proofErr w:type="gramEnd"/>
            <w:r>
              <w:rPr>
                <w:rFonts w:ascii="Arial" w:eastAsia="Arial" w:hAnsi="Arial" w:cs="Arial"/>
                <w:color w:val="000000"/>
              </w:rPr>
              <w:t xml:space="preserve"> a metropolitan district.</w:t>
            </w:r>
          </w:p>
        </w:tc>
        <w:tc>
          <w:tcPr>
            <w:tcW w:w="2610" w:type="dxa"/>
          </w:tcPr>
          <w:p w14:paraId="00000082"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Developers and the city create a PID, which issues bonds to fund public infrastructure, repaid by property taxes or fees from the benefiting properties.</w:t>
            </w:r>
          </w:p>
        </w:tc>
        <w:tc>
          <w:tcPr>
            <w:tcW w:w="2790" w:type="dxa"/>
          </w:tcPr>
          <w:p w14:paraId="00000083"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Requires city council approval and agreement with property owners within the district.</w:t>
            </w:r>
          </w:p>
        </w:tc>
      </w:tr>
      <w:tr w:rsidR="0022362C" w14:paraId="596705E1" w14:textId="77777777">
        <w:tc>
          <w:tcPr>
            <w:tcW w:w="450" w:type="dxa"/>
          </w:tcPr>
          <w:p w14:paraId="00000084"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4</w:t>
            </w:r>
          </w:p>
        </w:tc>
        <w:tc>
          <w:tcPr>
            <w:tcW w:w="1620" w:type="dxa"/>
          </w:tcPr>
          <w:p w14:paraId="00000085"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Impact Fees</w:t>
            </w:r>
          </w:p>
        </w:tc>
        <w:tc>
          <w:tcPr>
            <w:tcW w:w="1080" w:type="dxa"/>
          </w:tcPr>
          <w:p w14:paraId="00000086"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Title 11, Chapter 36a</w:t>
            </w:r>
          </w:p>
        </w:tc>
        <w:tc>
          <w:tcPr>
            <w:tcW w:w="2430" w:type="dxa"/>
          </w:tcPr>
          <w:p w14:paraId="00000087"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Charging developers a one-time fee to offset the costs of new infrastructure required by their development.</w:t>
            </w:r>
          </w:p>
        </w:tc>
        <w:tc>
          <w:tcPr>
            <w:tcW w:w="2610" w:type="dxa"/>
          </w:tcPr>
          <w:p w14:paraId="00000088"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 xml:space="preserve">The city adopts an Impact Fee Facilities Plan (IFFP) that calculates fees based </w:t>
            </w:r>
            <w:r>
              <w:rPr>
                <w:rFonts w:ascii="Arial" w:eastAsia="Arial" w:hAnsi="Arial" w:cs="Arial"/>
                <w:color w:val="000000"/>
              </w:rPr>
              <w:lastRenderedPageBreak/>
              <w:t>on projected infrastructure costs.</w:t>
            </w:r>
          </w:p>
        </w:tc>
        <w:tc>
          <w:tcPr>
            <w:tcW w:w="2790" w:type="dxa"/>
          </w:tcPr>
          <w:p w14:paraId="00000089" w14:textId="77777777" w:rsidR="0022362C" w:rsidRDefault="00000000">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lastRenderedPageBreak/>
              <w:t xml:space="preserve">Requires a public hearing and compliance with state law limiting the use of funds to specific </w:t>
            </w:r>
            <w:r>
              <w:rPr>
                <w:rFonts w:ascii="Arial" w:eastAsia="Arial" w:hAnsi="Arial" w:cs="Arial"/>
                <w:color w:val="000000"/>
              </w:rPr>
              <w:lastRenderedPageBreak/>
              <w:t>infrastructure improvements.</w:t>
            </w:r>
          </w:p>
        </w:tc>
      </w:tr>
    </w:tbl>
    <w:p w14:paraId="0000008A"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lastRenderedPageBreak/>
        <w:t>A long-range financing plan shall be developed consistent with the General Plan to extend services to new areas. A uniform financing plan that outlines the cost of providing new services to annexed areas shall be developed with each annexation, as well as how these costs shall be met. The cost to provide new services to annexed areas shall be financed by the lands in that area unless otherwise determined by the city council</w:t>
      </w:r>
    </w:p>
    <w:p w14:paraId="0000008B" w14:textId="77777777" w:rsidR="0022362C" w:rsidRDefault="00000000">
      <w:pPr>
        <w:pStyle w:val="Heading1"/>
      </w:pPr>
      <w:r>
        <w:t>Section 7.5: An estimate of the tax consequences</w:t>
      </w:r>
    </w:p>
    <w:p w14:paraId="0000008C" w14:textId="3644C4C8"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Annexed areas must sustain municipal service costs to avoid undue tax </w:t>
      </w:r>
      <w:sdt>
        <w:sdtPr>
          <w:tag w:val="goog_rdk_20"/>
          <w:id w:val="-1062027152"/>
        </w:sdtPr>
        <w:sdtContent>
          <w:commentRangeStart w:id="6"/>
        </w:sdtContent>
      </w:sdt>
      <w:r>
        <w:rPr>
          <w:rFonts w:ascii="Arial" w:eastAsia="Arial" w:hAnsi="Arial" w:cs="Arial"/>
          <w:color w:val="000000"/>
        </w:rPr>
        <w:t>burdens</w:t>
      </w:r>
      <w:commentRangeEnd w:id="6"/>
      <w:r>
        <w:commentReference w:id="6"/>
      </w:r>
      <w:r>
        <w:rPr>
          <w:rFonts w:ascii="Arial" w:eastAsia="Arial" w:hAnsi="Arial" w:cs="Arial"/>
          <w:color w:val="000000"/>
        </w:rPr>
        <w:t xml:space="preserve">. Tax evaluations </w:t>
      </w:r>
      <w:sdt>
        <w:sdtPr>
          <w:tag w:val="goog_rdk_21"/>
          <w:id w:val="-1586837385"/>
          <w:showingPlcHdr/>
        </w:sdtPr>
        <w:sdtContent>
          <w:r w:rsidR="00270A28">
            <w:t xml:space="preserve">     </w:t>
          </w:r>
        </w:sdtContent>
      </w:sdt>
      <w:r>
        <w:rPr>
          <w:rFonts w:ascii="Arial" w:eastAsia="Arial" w:hAnsi="Arial" w:cs="Arial"/>
          <w:color w:val="000000"/>
        </w:rPr>
        <w:t>accompany annexation petitions. Commercial and industrial developments will be encouraged in strategic annexation areas to offset tax burdens on residential properties.</w:t>
      </w:r>
    </w:p>
    <w:p w14:paraId="0000008D"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The expansion area map in Attachment A includes areas which may be suitable for industrial and commercial development. Lake Point’s property tax base relies primarily upon taxing residential property. The development of non-residential uses in some newly annexed areas could ultimately result in some relief for the residential properties throughout the city. </w:t>
      </w:r>
    </w:p>
    <w:p w14:paraId="0000008E"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It is generally believed that annexation in the general areas shown in the expansion area map in Attachment A, if monitored by the city to assure a satisfactory balance of land uses, would not alter the distribution of taxes to any great extent. It is recognized also that the potential exists for commercial development and the generation of sales taxes to augment the city’s revenues. </w:t>
      </w:r>
    </w:p>
    <w:p w14:paraId="0000008F"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The areas shown as favorable for annexation are all or partially within the Lake Point Improvement Sewer District, Oquirrh Mountain Water Company District, North Tooele Fire District, and the Tooele Valley Mosquito Abatement District and </w:t>
      </w:r>
      <w:sdt>
        <w:sdtPr>
          <w:tag w:val="goog_rdk_22"/>
          <w:id w:val="-151290868"/>
        </w:sdtPr>
        <w:sdtContent>
          <w:commentRangeStart w:id="7"/>
        </w:sdtContent>
      </w:sdt>
      <w:r>
        <w:rPr>
          <w:rFonts w:ascii="Arial" w:eastAsia="Arial" w:hAnsi="Arial" w:cs="Arial"/>
          <w:color w:val="000000"/>
        </w:rPr>
        <w:t xml:space="preserve">are </w:t>
      </w:r>
      <w:commentRangeEnd w:id="7"/>
      <w:r>
        <w:commentReference w:id="7"/>
      </w:r>
      <w:r>
        <w:rPr>
          <w:rFonts w:ascii="Arial" w:eastAsia="Arial" w:hAnsi="Arial" w:cs="Arial"/>
          <w:color w:val="000000"/>
        </w:rPr>
        <w:t>subject to tax levies imposed by these special districts.</w:t>
      </w:r>
    </w:p>
    <w:p w14:paraId="00000090" w14:textId="77777777" w:rsidR="0022362C" w:rsidRDefault="00000000">
      <w:pPr>
        <w:pStyle w:val="Heading1"/>
      </w:pPr>
      <w:r>
        <w:t>Section 7.6: The interests of all affected entities</w:t>
      </w:r>
    </w:p>
    <w:p w14:paraId="00000091" w14:textId="6EC8E79F"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Entities potentially impacted by annexation may include</w:t>
      </w:r>
      <w:sdt>
        <w:sdtPr>
          <w:tag w:val="goog_rdk_23"/>
          <w:id w:val="1780834856"/>
          <w:showingPlcHdr/>
        </w:sdtPr>
        <w:sdtContent>
          <w:r w:rsidR="00270A28">
            <w:t xml:space="preserve">     </w:t>
          </w:r>
        </w:sdtContent>
      </w:sdt>
      <w:r>
        <w:rPr>
          <w:rFonts w:ascii="Arial" w:eastAsia="Arial" w:hAnsi="Arial" w:cs="Arial"/>
          <w:color w:val="000000"/>
        </w:rPr>
        <w:t xml:space="preserve"> but are not limited</w:t>
      </w:r>
      <w:sdt>
        <w:sdtPr>
          <w:tag w:val="goog_rdk_24"/>
          <w:id w:val="-125935985"/>
          <w:showingPlcHdr/>
        </w:sdtPr>
        <w:sdtContent>
          <w:r w:rsidR="00270A28">
            <w:t xml:space="preserve">     </w:t>
          </w:r>
        </w:sdtContent>
      </w:sdt>
      <w:r>
        <w:rPr>
          <w:rFonts w:ascii="Arial" w:eastAsia="Arial" w:hAnsi="Arial" w:cs="Arial"/>
          <w:color w:val="000000"/>
        </w:rPr>
        <w:t xml:space="preserve"> to Tooele County School District, North Tooele Fire District, Lake Point Improvement District (sewer), Lake Point Cemetery and Park District, Tooele Valley Mosquito Abatement District, Tooele County Sheriff, Unincorporated Tooele County, BLM, and water conservancy districts. </w:t>
      </w:r>
    </w:p>
    <w:p w14:paraId="00000093" w14:textId="12CE8247" w:rsidR="0022362C" w:rsidRDefault="00000000">
      <w:pPr>
        <w:keepLines/>
        <w:pBdr>
          <w:top w:val="nil"/>
          <w:left w:val="nil"/>
          <w:bottom w:val="nil"/>
          <w:right w:val="nil"/>
          <w:between w:val="nil"/>
        </w:pBdr>
        <w:spacing w:before="120" w:after="120"/>
        <w:ind w:left="720"/>
        <w:rPr>
          <w:rFonts w:ascii="Arial" w:eastAsia="Arial" w:hAnsi="Arial" w:cs="Arial"/>
          <w:color w:val="000000"/>
        </w:rPr>
      </w:pPr>
      <w:sdt>
        <w:sdtPr>
          <w:tag w:val="goog_rdk_27"/>
          <w:id w:val="1000771270"/>
        </w:sdtPr>
        <w:sdtContent>
          <w:r>
            <w:rPr>
              <w:rFonts w:ascii="Arial" w:eastAsia="Arial" w:hAnsi="Arial" w:cs="Arial"/>
              <w:color w:val="000000"/>
            </w:rPr>
            <w:t xml:space="preserve">Input from these entities will be sought, mirroring Lake Point’s practice of consulting impacted jurisdictions to ensure seamless service transitions. Additionally, interlocal agreements, </w:t>
          </w:r>
          <w:proofErr w:type="gramStart"/>
          <w:r>
            <w:rPr>
              <w:rFonts w:ascii="Arial" w:eastAsia="Arial" w:hAnsi="Arial" w:cs="Arial"/>
              <w:color w:val="000000"/>
            </w:rPr>
            <w:t>similar to</w:t>
          </w:r>
          <w:proofErr w:type="gramEnd"/>
          <w:r>
            <w:rPr>
              <w:rFonts w:ascii="Arial" w:eastAsia="Arial" w:hAnsi="Arial" w:cs="Arial"/>
              <w:color w:val="000000"/>
            </w:rPr>
            <w:t xml:space="preserve"> those used by Lake Point</w:t>
          </w:r>
          <w:sdt>
            <w:sdtPr>
              <w:tag w:val="goog_rdk_25"/>
              <w:id w:val="-191144221"/>
              <w:showingPlcHdr/>
            </w:sdtPr>
            <w:sdtContent>
              <w:r w:rsidR="00270A28">
                <w:t xml:space="preserve">     </w:t>
              </w:r>
            </w:sdtContent>
          </w:sdt>
          <w:r>
            <w:rPr>
              <w:rFonts w:ascii="Arial" w:eastAsia="Arial" w:hAnsi="Arial" w:cs="Arial"/>
              <w:color w:val="000000"/>
            </w:rPr>
            <w:t xml:space="preserve"> will be considered to streamline the integration of services in newly annexed areas.</w:t>
          </w:r>
          <w:sdt>
            <w:sdtPr>
              <w:tag w:val="goog_rdk_26"/>
              <w:id w:val="-2107261435"/>
            </w:sdtPr>
            <w:sdtContent/>
          </w:sdt>
        </w:sdtContent>
      </w:sdt>
      <w:sdt>
        <w:sdtPr>
          <w:tag w:val="goog_rdk_28"/>
          <w:id w:val="-1514982640"/>
          <w:showingPlcHdr/>
        </w:sdtPr>
        <w:sdtContent>
          <w:r w:rsidR="00270A28">
            <w:t xml:space="preserve">     </w:t>
          </w:r>
        </w:sdtContent>
      </w:sdt>
      <w:r>
        <w:rPr>
          <w:rFonts w:ascii="Arial" w:eastAsia="Arial" w:hAnsi="Arial" w:cs="Arial"/>
          <w:color w:val="000000"/>
        </w:rPr>
        <w:t>.</w:t>
      </w:r>
    </w:p>
    <w:p w14:paraId="00000094" w14:textId="77777777" w:rsidR="0022362C" w:rsidRDefault="00000000">
      <w:pPr>
        <w:pStyle w:val="Heading1"/>
      </w:pPr>
      <w:r>
        <w:t>Section 7.7: General Plan Consistency</w:t>
      </w:r>
    </w:p>
    <w:p w14:paraId="00000095"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Annexations must align with the General Plan’s objectives, ensuring that growth is thoughtfully integrated with infrastructure capacity and long-term city planning. Lake Point is committed to maintaining annexation policies that support strategic development while preserving the city’s vision for the future. A structured annexation review process will be implemented to ensure consistency with broader municipal goals.</w:t>
      </w:r>
    </w:p>
    <w:p w14:paraId="00000096" w14:textId="77777777" w:rsidR="0022362C" w:rsidRDefault="00000000">
      <w:pPr>
        <w:keepLines/>
        <w:pBdr>
          <w:top w:val="nil"/>
          <w:left w:val="nil"/>
          <w:bottom w:val="nil"/>
          <w:right w:val="nil"/>
          <w:between w:val="nil"/>
        </w:pBdr>
        <w:spacing w:before="120" w:after="120"/>
        <w:ind w:left="720"/>
        <w:rPr>
          <w:color w:val="000000"/>
        </w:rPr>
      </w:pPr>
      <w:r>
        <w:rPr>
          <w:rFonts w:ascii="Arial" w:eastAsia="Arial" w:hAnsi="Arial" w:cs="Arial"/>
          <w:color w:val="000000"/>
        </w:rPr>
        <w:lastRenderedPageBreak/>
        <w:t>As part of this approach, Lake Point will carefully assess the impact of zoning and growth on the area’s rural character, agricultural uses, and residential neighborhoods. The city remains dedicated to preserving its small-town atmosphere and open spaces while fostering responsible development. Consideration will also be given to how land use changes affect natural resources and the overall aesthetic of the community, ensuring that expansion enhances rather than diminishes Lake Point’s unique identity.</w:t>
      </w:r>
    </w:p>
    <w:p w14:paraId="00000097" w14:textId="77777777" w:rsidR="0022362C" w:rsidRDefault="00000000">
      <w:pPr>
        <w:pStyle w:val="Heading1"/>
      </w:pPr>
      <w:r>
        <w:t>Section 7.8: 20 Year Population Projection</w:t>
      </w:r>
    </w:p>
    <w:p w14:paraId="00000098"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The 20-year population projection required by Utah law, is included in Table I below:</w:t>
      </w:r>
    </w:p>
    <w:tbl>
      <w:tblPr>
        <w:tblStyle w:val="a7"/>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1530"/>
        <w:gridCol w:w="1260"/>
        <w:gridCol w:w="1440"/>
        <w:gridCol w:w="1440"/>
        <w:gridCol w:w="1350"/>
      </w:tblGrid>
      <w:tr w:rsidR="0022362C" w14:paraId="1C1051E2" w14:textId="77777777">
        <w:trPr>
          <w:trHeight w:val="301"/>
        </w:trPr>
        <w:tc>
          <w:tcPr>
            <w:tcW w:w="2160" w:type="dxa"/>
            <w:shd w:val="clear" w:color="auto" w:fill="auto"/>
          </w:tcPr>
          <w:p w14:paraId="00000099" w14:textId="77777777" w:rsidR="0022362C" w:rsidRDefault="0022362C">
            <w:pPr>
              <w:pBdr>
                <w:top w:val="nil"/>
                <w:left w:val="nil"/>
                <w:bottom w:val="nil"/>
                <w:right w:val="nil"/>
                <w:between w:val="nil"/>
              </w:pBdr>
              <w:spacing w:after="0" w:line="240" w:lineRule="auto"/>
              <w:rPr>
                <w:rFonts w:ascii="Arial" w:eastAsia="Arial" w:hAnsi="Arial" w:cs="Arial"/>
                <w:b/>
                <w:color w:val="000000"/>
              </w:rPr>
            </w:pPr>
            <w:bookmarkStart w:id="8" w:name="_heading=h.4bphzn23n9n" w:colFirst="0" w:colLast="0"/>
            <w:bookmarkEnd w:id="8"/>
          </w:p>
        </w:tc>
        <w:tc>
          <w:tcPr>
            <w:tcW w:w="1530" w:type="dxa"/>
            <w:shd w:val="clear" w:color="auto" w:fill="auto"/>
          </w:tcPr>
          <w:p w14:paraId="0000009A" w14:textId="77777777" w:rsidR="0022362C" w:rsidRDefault="00000000">
            <w:pPr>
              <w:pBdr>
                <w:top w:val="nil"/>
                <w:left w:val="nil"/>
                <w:bottom w:val="nil"/>
                <w:right w:val="nil"/>
                <w:between w:val="nil"/>
              </w:pBdr>
              <w:spacing w:after="0" w:line="240" w:lineRule="auto"/>
              <w:rPr>
                <w:rFonts w:ascii="Arial" w:eastAsia="Arial" w:hAnsi="Arial" w:cs="Arial"/>
                <w:b/>
                <w:color w:val="000000"/>
              </w:rPr>
            </w:pPr>
            <w:r>
              <w:rPr>
                <w:rFonts w:ascii="Times New Roman" w:eastAsia="Times New Roman" w:hAnsi="Times New Roman" w:cs="Times New Roman"/>
                <w:b/>
                <w:color w:val="000000"/>
              </w:rPr>
              <w:t>2020</w:t>
            </w:r>
          </w:p>
        </w:tc>
        <w:tc>
          <w:tcPr>
            <w:tcW w:w="1260" w:type="dxa"/>
            <w:shd w:val="clear" w:color="auto" w:fill="auto"/>
          </w:tcPr>
          <w:p w14:paraId="0000009B" w14:textId="77777777" w:rsidR="0022362C" w:rsidRDefault="00000000">
            <w:pPr>
              <w:pBdr>
                <w:top w:val="nil"/>
                <w:left w:val="nil"/>
                <w:bottom w:val="nil"/>
                <w:right w:val="nil"/>
                <w:between w:val="nil"/>
              </w:pBdr>
              <w:spacing w:after="0" w:line="240" w:lineRule="auto"/>
              <w:rPr>
                <w:rFonts w:ascii="Arial" w:eastAsia="Arial" w:hAnsi="Arial" w:cs="Arial"/>
                <w:b/>
                <w:color w:val="000000"/>
              </w:rPr>
            </w:pPr>
            <w:r>
              <w:rPr>
                <w:rFonts w:ascii="Times New Roman" w:eastAsia="Times New Roman" w:hAnsi="Times New Roman" w:cs="Times New Roman"/>
                <w:b/>
                <w:color w:val="000000"/>
              </w:rPr>
              <w:t>2025</w:t>
            </w:r>
          </w:p>
        </w:tc>
        <w:tc>
          <w:tcPr>
            <w:tcW w:w="1440" w:type="dxa"/>
            <w:shd w:val="clear" w:color="auto" w:fill="auto"/>
          </w:tcPr>
          <w:p w14:paraId="0000009C" w14:textId="77777777" w:rsidR="0022362C" w:rsidRDefault="00000000">
            <w:pPr>
              <w:pBdr>
                <w:top w:val="nil"/>
                <w:left w:val="nil"/>
                <w:bottom w:val="nil"/>
                <w:right w:val="nil"/>
                <w:between w:val="nil"/>
              </w:pBdr>
              <w:spacing w:after="0" w:line="240" w:lineRule="auto"/>
              <w:rPr>
                <w:rFonts w:ascii="Arial" w:eastAsia="Arial" w:hAnsi="Arial" w:cs="Arial"/>
                <w:b/>
                <w:color w:val="000000"/>
              </w:rPr>
            </w:pPr>
            <w:r>
              <w:rPr>
                <w:rFonts w:ascii="Times New Roman" w:eastAsia="Times New Roman" w:hAnsi="Times New Roman" w:cs="Times New Roman"/>
                <w:b/>
                <w:color w:val="000000"/>
              </w:rPr>
              <w:t>2030</w:t>
            </w:r>
          </w:p>
        </w:tc>
        <w:tc>
          <w:tcPr>
            <w:tcW w:w="1440" w:type="dxa"/>
            <w:shd w:val="clear" w:color="auto" w:fill="auto"/>
          </w:tcPr>
          <w:p w14:paraId="0000009D" w14:textId="77777777" w:rsidR="0022362C" w:rsidRDefault="00000000">
            <w:pPr>
              <w:pBdr>
                <w:top w:val="nil"/>
                <w:left w:val="nil"/>
                <w:bottom w:val="nil"/>
                <w:right w:val="nil"/>
                <w:between w:val="nil"/>
              </w:pBdr>
              <w:spacing w:after="0" w:line="240" w:lineRule="auto"/>
              <w:rPr>
                <w:rFonts w:ascii="Arial" w:eastAsia="Arial" w:hAnsi="Arial" w:cs="Arial"/>
                <w:b/>
                <w:color w:val="000000"/>
              </w:rPr>
            </w:pPr>
            <w:r>
              <w:rPr>
                <w:rFonts w:ascii="Times New Roman" w:eastAsia="Times New Roman" w:hAnsi="Times New Roman" w:cs="Times New Roman"/>
                <w:b/>
                <w:color w:val="000000"/>
              </w:rPr>
              <w:t>2035</w:t>
            </w:r>
          </w:p>
        </w:tc>
        <w:tc>
          <w:tcPr>
            <w:tcW w:w="1350" w:type="dxa"/>
            <w:shd w:val="clear" w:color="auto" w:fill="auto"/>
          </w:tcPr>
          <w:p w14:paraId="0000009E" w14:textId="77777777" w:rsidR="0022362C" w:rsidRDefault="00000000">
            <w:pPr>
              <w:pBdr>
                <w:top w:val="nil"/>
                <w:left w:val="nil"/>
                <w:bottom w:val="nil"/>
                <w:right w:val="nil"/>
                <w:between w:val="nil"/>
              </w:pBdr>
              <w:spacing w:after="0" w:line="240" w:lineRule="auto"/>
              <w:rPr>
                <w:rFonts w:ascii="Arial" w:eastAsia="Arial" w:hAnsi="Arial" w:cs="Arial"/>
                <w:b/>
                <w:color w:val="000000"/>
              </w:rPr>
            </w:pPr>
            <w:r>
              <w:rPr>
                <w:rFonts w:ascii="Times New Roman" w:eastAsia="Times New Roman" w:hAnsi="Times New Roman" w:cs="Times New Roman"/>
                <w:b/>
                <w:color w:val="000000"/>
              </w:rPr>
              <w:t>2040</w:t>
            </w:r>
          </w:p>
        </w:tc>
      </w:tr>
      <w:tr w:rsidR="0022362C" w14:paraId="3921FBCE" w14:textId="77777777">
        <w:trPr>
          <w:trHeight w:val="70"/>
        </w:trPr>
        <w:tc>
          <w:tcPr>
            <w:tcW w:w="2160" w:type="dxa"/>
          </w:tcPr>
          <w:p w14:paraId="0000009F" w14:textId="77777777" w:rsidR="0022362C" w:rsidRDefault="00000000">
            <w:pPr>
              <w:pBdr>
                <w:top w:val="nil"/>
                <w:left w:val="nil"/>
                <w:bottom w:val="nil"/>
                <w:right w:val="nil"/>
                <w:between w:val="nil"/>
              </w:pBdr>
              <w:spacing w:before="60" w:after="60" w:line="240" w:lineRule="auto"/>
              <w:rPr>
                <w:rFonts w:ascii="Arial" w:eastAsia="Arial" w:hAnsi="Arial" w:cs="Arial"/>
                <w:color w:val="000000"/>
              </w:rPr>
            </w:pPr>
            <w:r>
              <w:rPr>
                <w:rFonts w:ascii="Arial" w:eastAsia="Arial" w:hAnsi="Arial" w:cs="Arial"/>
                <w:color w:val="000000"/>
              </w:rPr>
              <w:t>Lake Point</w:t>
            </w:r>
          </w:p>
        </w:tc>
        <w:tc>
          <w:tcPr>
            <w:tcW w:w="1530" w:type="dxa"/>
          </w:tcPr>
          <w:p w14:paraId="000000A0" w14:textId="77777777" w:rsidR="0022362C" w:rsidRDefault="0022362C">
            <w:pPr>
              <w:pBdr>
                <w:top w:val="nil"/>
                <w:left w:val="nil"/>
                <w:bottom w:val="nil"/>
                <w:right w:val="nil"/>
                <w:between w:val="nil"/>
              </w:pBdr>
              <w:spacing w:before="60" w:after="60" w:line="240" w:lineRule="auto"/>
              <w:rPr>
                <w:rFonts w:ascii="Arial" w:eastAsia="Arial" w:hAnsi="Arial" w:cs="Arial"/>
                <w:color w:val="000000"/>
              </w:rPr>
            </w:pPr>
          </w:p>
        </w:tc>
        <w:tc>
          <w:tcPr>
            <w:tcW w:w="1260" w:type="dxa"/>
          </w:tcPr>
          <w:p w14:paraId="000000A1" w14:textId="77777777" w:rsidR="0022362C" w:rsidRDefault="0022362C">
            <w:pPr>
              <w:pBdr>
                <w:top w:val="nil"/>
                <w:left w:val="nil"/>
                <w:bottom w:val="nil"/>
                <w:right w:val="nil"/>
                <w:between w:val="nil"/>
              </w:pBdr>
              <w:spacing w:before="60" w:after="60" w:line="240" w:lineRule="auto"/>
              <w:rPr>
                <w:rFonts w:ascii="Arial" w:eastAsia="Arial" w:hAnsi="Arial" w:cs="Arial"/>
                <w:color w:val="000000"/>
              </w:rPr>
            </w:pPr>
          </w:p>
        </w:tc>
        <w:tc>
          <w:tcPr>
            <w:tcW w:w="1440" w:type="dxa"/>
          </w:tcPr>
          <w:p w14:paraId="000000A2" w14:textId="77777777" w:rsidR="0022362C" w:rsidRDefault="0022362C">
            <w:pPr>
              <w:pBdr>
                <w:top w:val="nil"/>
                <w:left w:val="nil"/>
                <w:bottom w:val="nil"/>
                <w:right w:val="nil"/>
                <w:between w:val="nil"/>
              </w:pBdr>
              <w:spacing w:before="60" w:after="60" w:line="240" w:lineRule="auto"/>
              <w:rPr>
                <w:rFonts w:ascii="Arial" w:eastAsia="Arial" w:hAnsi="Arial" w:cs="Arial"/>
                <w:color w:val="000000"/>
              </w:rPr>
            </w:pPr>
          </w:p>
        </w:tc>
        <w:tc>
          <w:tcPr>
            <w:tcW w:w="1440" w:type="dxa"/>
          </w:tcPr>
          <w:p w14:paraId="000000A3" w14:textId="77777777" w:rsidR="0022362C" w:rsidRDefault="0022362C">
            <w:pPr>
              <w:pBdr>
                <w:top w:val="nil"/>
                <w:left w:val="nil"/>
                <w:bottom w:val="nil"/>
                <w:right w:val="nil"/>
                <w:between w:val="nil"/>
              </w:pBdr>
              <w:spacing w:before="60" w:after="60" w:line="240" w:lineRule="auto"/>
              <w:rPr>
                <w:rFonts w:ascii="Arial" w:eastAsia="Arial" w:hAnsi="Arial" w:cs="Arial"/>
                <w:color w:val="000000"/>
              </w:rPr>
            </w:pPr>
          </w:p>
        </w:tc>
        <w:tc>
          <w:tcPr>
            <w:tcW w:w="1350" w:type="dxa"/>
          </w:tcPr>
          <w:p w14:paraId="000000A4" w14:textId="77777777" w:rsidR="0022362C" w:rsidRDefault="0022362C">
            <w:pPr>
              <w:pBdr>
                <w:top w:val="nil"/>
                <w:left w:val="nil"/>
                <w:bottom w:val="nil"/>
                <w:right w:val="nil"/>
                <w:between w:val="nil"/>
              </w:pBdr>
              <w:spacing w:before="60" w:after="60" w:line="240" w:lineRule="auto"/>
              <w:rPr>
                <w:rFonts w:ascii="Arial" w:eastAsia="Arial" w:hAnsi="Arial" w:cs="Arial"/>
                <w:color w:val="000000"/>
              </w:rPr>
            </w:pPr>
          </w:p>
        </w:tc>
      </w:tr>
      <w:tr w:rsidR="0022362C" w14:paraId="67C5EA38" w14:textId="77777777">
        <w:trPr>
          <w:trHeight w:val="70"/>
        </w:trPr>
        <w:tc>
          <w:tcPr>
            <w:tcW w:w="2160" w:type="dxa"/>
          </w:tcPr>
          <w:p w14:paraId="000000A5" w14:textId="77777777" w:rsidR="0022362C" w:rsidRDefault="00000000">
            <w:pPr>
              <w:pBdr>
                <w:top w:val="nil"/>
                <w:left w:val="nil"/>
                <w:bottom w:val="nil"/>
                <w:right w:val="nil"/>
                <w:between w:val="nil"/>
              </w:pBdr>
              <w:spacing w:before="60" w:after="60" w:line="240" w:lineRule="auto"/>
              <w:rPr>
                <w:rFonts w:ascii="Arial" w:eastAsia="Arial" w:hAnsi="Arial" w:cs="Arial"/>
                <w:color w:val="000000"/>
              </w:rPr>
            </w:pPr>
            <w:r>
              <w:rPr>
                <w:rFonts w:ascii="Arial" w:eastAsia="Arial" w:hAnsi="Arial" w:cs="Arial"/>
                <w:color w:val="000000"/>
              </w:rPr>
              <w:t>Tooele County</w:t>
            </w:r>
          </w:p>
        </w:tc>
        <w:tc>
          <w:tcPr>
            <w:tcW w:w="1530" w:type="dxa"/>
          </w:tcPr>
          <w:p w14:paraId="000000A6" w14:textId="77777777" w:rsidR="0022362C" w:rsidRDefault="0022362C">
            <w:pPr>
              <w:pBdr>
                <w:top w:val="nil"/>
                <w:left w:val="nil"/>
                <w:bottom w:val="nil"/>
                <w:right w:val="nil"/>
                <w:between w:val="nil"/>
              </w:pBdr>
              <w:spacing w:before="60" w:after="60" w:line="240" w:lineRule="auto"/>
              <w:rPr>
                <w:rFonts w:ascii="Arial" w:eastAsia="Arial" w:hAnsi="Arial" w:cs="Arial"/>
                <w:color w:val="000000"/>
              </w:rPr>
            </w:pPr>
          </w:p>
        </w:tc>
        <w:tc>
          <w:tcPr>
            <w:tcW w:w="1260" w:type="dxa"/>
          </w:tcPr>
          <w:p w14:paraId="000000A7" w14:textId="77777777" w:rsidR="0022362C" w:rsidRDefault="0022362C">
            <w:pPr>
              <w:pBdr>
                <w:top w:val="nil"/>
                <w:left w:val="nil"/>
                <w:bottom w:val="nil"/>
                <w:right w:val="nil"/>
                <w:between w:val="nil"/>
              </w:pBdr>
              <w:spacing w:before="60" w:after="60" w:line="240" w:lineRule="auto"/>
              <w:rPr>
                <w:rFonts w:ascii="Arial" w:eastAsia="Arial" w:hAnsi="Arial" w:cs="Arial"/>
                <w:color w:val="000000"/>
              </w:rPr>
            </w:pPr>
          </w:p>
        </w:tc>
        <w:tc>
          <w:tcPr>
            <w:tcW w:w="1440" w:type="dxa"/>
          </w:tcPr>
          <w:p w14:paraId="000000A8" w14:textId="77777777" w:rsidR="0022362C" w:rsidRDefault="0022362C">
            <w:pPr>
              <w:pBdr>
                <w:top w:val="nil"/>
                <w:left w:val="nil"/>
                <w:bottom w:val="nil"/>
                <w:right w:val="nil"/>
                <w:between w:val="nil"/>
              </w:pBdr>
              <w:spacing w:before="60" w:after="60" w:line="240" w:lineRule="auto"/>
              <w:rPr>
                <w:rFonts w:ascii="Arial" w:eastAsia="Arial" w:hAnsi="Arial" w:cs="Arial"/>
                <w:color w:val="000000"/>
              </w:rPr>
            </w:pPr>
          </w:p>
        </w:tc>
        <w:tc>
          <w:tcPr>
            <w:tcW w:w="1440" w:type="dxa"/>
          </w:tcPr>
          <w:p w14:paraId="000000A9" w14:textId="77777777" w:rsidR="0022362C" w:rsidRDefault="0022362C">
            <w:pPr>
              <w:pBdr>
                <w:top w:val="nil"/>
                <w:left w:val="nil"/>
                <w:bottom w:val="nil"/>
                <w:right w:val="nil"/>
                <w:between w:val="nil"/>
              </w:pBdr>
              <w:spacing w:before="60" w:after="60" w:line="240" w:lineRule="auto"/>
              <w:rPr>
                <w:rFonts w:ascii="Arial" w:eastAsia="Arial" w:hAnsi="Arial" w:cs="Arial"/>
                <w:color w:val="000000"/>
              </w:rPr>
            </w:pPr>
          </w:p>
        </w:tc>
        <w:tc>
          <w:tcPr>
            <w:tcW w:w="1350" w:type="dxa"/>
          </w:tcPr>
          <w:p w14:paraId="000000AA" w14:textId="77777777" w:rsidR="0022362C" w:rsidRDefault="0022362C">
            <w:pPr>
              <w:pBdr>
                <w:top w:val="nil"/>
                <w:left w:val="nil"/>
                <w:bottom w:val="nil"/>
                <w:right w:val="nil"/>
                <w:between w:val="nil"/>
              </w:pBdr>
              <w:spacing w:before="60" w:after="60" w:line="240" w:lineRule="auto"/>
              <w:rPr>
                <w:rFonts w:ascii="Arial" w:eastAsia="Arial" w:hAnsi="Arial" w:cs="Arial"/>
                <w:color w:val="000000"/>
              </w:rPr>
            </w:pPr>
          </w:p>
        </w:tc>
      </w:tr>
    </w:tbl>
    <w:p w14:paraId="000000AB" w14:textId="1768A07B" w:rsidR="0022362C" w:rsidRDefault="00000000">
      <w:pPr>
        <w:keepLines/>
        <w:pBdr>
          <w:top w:val="nil"/>
          <w:left w:val="nil"/>
          <w:bottom w:val="nil"/>
          <w:right w:val="nil"/>
          <w:between w:val="nil"/>
        </w:pBdr>
        <w:spacing w:before="120" w:after="120"/>
        <w:ind w:left="720"/>
        <w:rPr>
          <w:rFonts w:ascii="Arial" w:eastAsia="Arial" w:hAnsi="Arial" w:cs="Arial"/>
          <w:color w:val="000000"/>
        </w:rPr>
      </w:pPr>
      <w:sdt>
        <w:sdtPr>
          <w:tag w:val="goog_rdk_30"/>
          <w:id w:val="1567529309"/>
          <w:showingPlcHdr/>
        </w:sdtPr>
        <w:sdtContent>
          <w:r w:rsidR="00270A28">
            <w:t xml:space="preserve">     </w:t>
          </w:r>
        </w:sdtContent>
      </w:sdt>
    </w:p>
    <w:p w14:paraId="000000AC" w14:textId="77777777" w:rsidR="0022362C" w:rsidRDefault="00000000">
      <w:pPr>
        <w:pStyle w:val="Heading1"/>
      </w:pPr>
      <w:r>
        <w:t>Section 7.9: Special considerations</w:t>
      </w:r>
    </w:p>
    <w:p w14:paraId="000000AD"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New annexations may include areas which are undeveloped, and which contain unique features and characteristics. Such areas may include historic sites, open space, riparian areas, shore lands, and natural resource areas. Expansion of the city into these areas will allow appropriate preservation while blending in development and providing appropriate growth and management opportunities to benefit property owners and the citizens of Lake Point.</w:t>
      </w:r>
    </w:p>
    <w:p w14:paraId="000000AE" w14:textId="77777777" w:rsidR="0022362C" w:rsidRDefault="00000000">
      <w:pPr>
        <w:pStyle w:val="Heading1"/>
      </w:pPr>
      <w:r>
        <w:t>Section 7.10: Expansion Area Map</w:t>
      </w:r>
    </w:p>
    <w:p w14:paraId="000000AF"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Attachment A contains the Annexation Expansion Area Map. This map </w:t>
      </w:r>
      <w:sdt>
        <w:sdtPr>
          <w:tag w:val="goog_rdk_31"/>
          <w:id w:val="-209273550"/>
        </w:sdtPr>
        <w:sdtContent>
          <w:commentRangeStart w:id="9"/>
        </w:sdtContent>
      </w:sdt>
      <w:r>
        <w:rPr>
          <w:rFonts w:ascii="Arial" w:eastAsia="Arial" w:hAnsi="Arial" w:cs="Arial"/>
          <w:color w:val="000000"/>
        </w:rPr>
        <w:t xml:space="preserve">defines </w:t>
      </w:r>
      <w:commentRangeEnd w:id="9"/>
      <w:r>
        <w:commentReference w:id="9"/>
      </w:r>
      <w:r>
        <w:rPr>
          <w:rFonts w:ascii="Arial" w:eastAsia="Arial" w:hAnsi="Arial" w:cs="Arial"/>
          <w:color w:val="000000"/>
        </w:rPr>
        <w:t xml:space="preserve">areas for expansion feasibility and long-term planning. </w:t>
      </w:r>
    </w:p>
    <w:p w14:paraId="000000B0"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sdt>
        <w:sdtPr>
          <w:tag w:val="goog_rdk_32"/>
          <w:id w:val="1477493515"/>
        </w:sdtPr>
        <w:sdtContent>
          <w:commentRangeStart w:id="10"/>
        </w:sdtContent>
      </w:sdt>
      <w:r>
        <w:rPr>
          <w:rFonts w:ascii="Arial" w:eastAsia="Arial" w:hAnsi="Arial" w:cs="Arial"/>
          <w:color w:val="000000"/>
        </w:rPr>
        <w:t xml:space="preserve">The Expansion Area </w:t>
      </w:r>
      <w:commentRangeEnd w:id="10"/>
      <w:r>
        <w:commentReference w:id="10"/>
      </w:r>
      <w:r>
        <w:rPr>
          <w:rFonts w:ascii="Arial" w:eastAsia="Arial" w:hAnsi="Arial" w:cs="Arial"/>
          <w:color w:val="000000"/>
        </w:rPr>
        <w:t xml:space="preserve">shall be of sufficient size to accommodate planned commercial, industrial, residential, agricultural, and recreational growth consistent with the General Plan, including but not limited to the following considerations: </w:t>
      </w:r>
    </w:p>
    <w:p w14:paraId="000000B1" w14:textId="77777777" w:rsidR="0022362C" w:rsidRDefault="00000000">
      <w:pPr>
        <w:keepLines/>
        <w:numPr>
          <w:ilvl w:val="0"/>
          <w:numId w:val="2"/>
        </w:numPr>
        <w:pBdr>
          <w:top w:val="nil"/>
          <w:left w:val="nil"/>
          <w:bottom w:val="nil"/>
          <w:right w:val="nil"/>
          <w:between w:val="nil"/>
        </w:pBdr>
        <w:spacing w:before="120" w:after="0"/>
      </w:pPr>
      <w:r>
        <w:rPr>
          <w:rFonts w:ascii="Arial" w:eastAsia="Arial" w:hAnsi="Arial" w:cs="Arial"/>
          <w:color w:val="000000"/>
        </w:rPr>
        <w:t xml:space="preserve">Geographic, topographic, and man-made features, including land with natural constraints (i.e., sensitive lands, water sheds, water drainage, cliffs, steep slopes, views, vegetation preservation) </w:t>
      </w:r>
    </w:p>
    <w:p w14:paraId="000000B2" w14:textId="77777777" w:rsidR="0022362C" w:rsidRDefault="00000000">
      <w:pPr>
        <w:keepLines/>
        <w:numPr>
          <w:ilvl w:val="0"/>
          <w:numId w:val="2"/>
        </w:numPr>
        <w:pBdr>
          <w:top w:val="nil"/>
          <w:left w:val="nil"/>
          <w:bottom w:val="nil"/>
          <w:right w:val="nil"/>
          <w:between w:val="nil"/>
        </w:pBdr>
        <w:spacing w:after="0"/>
      </w:pPr>
      <w:r>
        <w:rPr>
          <w:rFonts w:ascii="Arial" w:eastAsia="Arial" w:hAnsi="Arial" w:cs="Arial"/>
          <w:color w:val="000000"/>
        </w:rPr>
        <w:t>Existing and proposed streets per the Master Transportation Plan</w:t>
      </w:r>
    </w:p>
    <w:p w14:paraId="000000B3" w14:textId="77777777" w:rsidR="0022362C" w:rsidRDefault="00000000">
      <w:pPr>
        <w:keepLines/>
        <w:numPr>
          <w:ilvl w:val="0"/>
          <w:numId w:val="2"/>
        </w:numPr>
        <w:pBdr>
          <w:top w:val="nil"/>
          <w:left w:val="nil"/>
          <w:bottom w:val="nil"/>
          <w:right w:val="nil"/>
          <w:between w:val="nil"/>
        </w:pBdr>
        <w:spacing w:after="0"/>
      </w:pPr>
      <w:r>
        <w:rPr>
          <w:rFonts w:ascii="Arial" w:eastAsia="Arial" w:hAnsi="Arial" w:cs="Arial"/>
          <w:color w:val="000000"/>
        </w:rPr>
        <w:t>Land use patterns already created by existing subdivisions, large-lot divisions, and recorded plats, including those still in the process of being completed</w:t>
      </w:r>
    </w:p>
    <w:p w14:paraId="000000B4" w14:textId="77777777" w:rsidR="0022362C" w:rsidRDefault="00000000">
      <w:pPr>
        <w:keepLines/>
        <w:numPr>
          <w:ilvl w:val="0"/>
          <w:numId w:val="2"/>
        </w:numPr>
        <w:pBdr>
          <w:top w:val="nil"/>
          <w:left w:val="nil"/>
          <w:bottom w:val="nil"/>
          <w:right w:val="nil"/>
          <w:between w:val="nil"/>
        </w:pBdr>
        <w:spacing w:after="0"/>
      </w:pPr>
      <w:r>
        <w:rPr>
          <w:rFonts w:ascii="Arial" w:eastAsia="Arial" w:hAnsi="Arial" w:cs="Arial"/>
          <w:color w:val="000000"/>
        </w:rPr>
        <w:t>Preservation of public infrastructure, open space, parks, trails, and natural resources, including but not limited to water sources, forests, and wildlife areas</w:t>
      </w:r>
    </w:p>
    <w:p w14:paraId="000000B5" w14:textId="77777777" w:rsidR="0022362C" w:rsidRDefault="00000000">
      <w:pPr>
        <w:keepLines/>
        <w:numPr>
          <w:ilvl w:val="0"/>
          <w:numId w:val="2"/>
        </w:numPr>
        <w:pBdr>
          <w:top w:val="nil"/>
          <w:left w:val="nil"/>
          <w:bottom w:val="nil"/>
          <w:right w:val="nil"/>
          <w:between w:val="nil"/>
        </w:pBdr>
        <w:spacing w:after="0"/>
      </w:pPr>
      <w:r>
        <w:rPr>
          <w:rFonts w:ascii="Arial" w:eastAsia="Arial" w:hAnsi="Arial" w:cs="Arial"/>
          <w:color w:val="000000"/>
        </w:rPr>
        <w:t>Location of public facilities and services needed</w:t>
      </w:r>
    </w:p>
    <w:p w14:paraId="000000B6" w14:textId="77777777" w:rsidR="0022362C" w:rsidRDefault="00000000">
      <w:pPr>
        <w:keepLines/>
        <w:numPr>
          <w:ilvl w:val="0"/>
          <w:numId w:val="2"/>
        </w:numPr>
        <w:pBdr>
          <w:top w:val="nil"/>
          <w:left w:val="nil"/>
          <w:bottom w:val="nil"/>
          <w:right w:val="nil"/>
          <w:between w:val="nil"/>
        </w:pBdr>
        <w:spacing w:after="120"/>
      </w:pPr>
      <w:r>
        <w:rPr>
          <w:rFonts w:ascii="Arial" w:eastAsia="Arial" w:hAnsi="Arial" w:cs="Arial"/>
          <w:color w:val="000000"/>
        </w:rPr>
        <w:t>Population growth projections for the municipality and adjoining areas for the next 20 years as outlined in the General Plan</w:t>
      </w:r>
    </w:p>
    <w:p w14:paraId="000000B7" w14:textId="77777777" w:rsidR="0022362C" w:rsidRDefault="00000000">
      <w:pPr>
        <w:keepLines/>
        <w:pBdr>
          <w:top w:val="nil"/>
          <w:left w:val="nil"/>
          <w:bottom w:val="nil"/>
          <w:right w:val="nil"/>
          <w:between w:val="nil"/>
        </w:pBdr>
        <w:spacing w:before="120" w:after="120"/>
        <w:ind w:left="720"/>
        <w:rPr>
          <w:rFonts w:ascii="Arial" w:eastAsia="Arial" w:hAnsi="Arial" w:cs="Arial"/>
          <w:color w:val="000000"/>
        </w:rPr>
      </w:pPr>
      <w:r>
        <w:rPr>
          <w:rFonts w:ascii="Arial" w:eastAsia="Arial" w:hAnsi="Arial" w:cs="Arial"/>
          <w:color w:val="000000"/>
        </w:rPr>
        <w:t xml:space="preserve">Planning growth in this </w:t>
      </w:r>
      <w:sdt>
        <w:sdtPr>
          <w:tag w:val="goog_rdk_33"/>
          <w:id w:val="-1063256752"/>
        </w:sdtPr>
        <w:sdtContent>
          <w:commentRangeStart w:id="11"/>
        </w:sdtContent>
      </w:sdt>
      <w:r>
        <w:rPr>
          <w:rFonts w:ascii="Arial" w:eastAsia="Arial" w:hAnsi="Arial" w:cs="Arial"/>
          <w:color w:val="000000"/>
        </w:rPr>
        <w:t xml:space="preserve">way </w:t>
      </w:r>
      <w:commentRangeEnd w:id="11"/>
      <w:r>
        <w:commentReference w:id="11"/>
      </w:r>
      <w:r>
        <w:rPr>
          <w:rFonts w:ascii="Arial" w:eastAsia="Arial" w:hAnsi="Arial" w:cs="Arial"/>
          <w:color w:val="000000"/>
        </w:rPr>
        <w:t xml:space="preserve">shall provide the following advantages to Lake Point: </w:t>
      </w:r>
    </w:p>
    <w:p w14:paraId="000000B8" w14:textId="77777777" w:rsidR="0022362C" w:rsidRDefault="00000000">
      <w:pPr>
        <w:keepLines/>
        <w:numPr>
          <w:ilvl w:val="0"/>
          <w:numId w:val="2"/>
        </w:numPr>
        <w:pBdr>
          <w:top w:val="nil"/>
          <w:left w:val="nil"/>
          <w:bottom w:val="nil"/>
          <w:right w:val="nil"/>
          <w:between w:val="nil"/>
        </w:pBdr>
        <w:spacing w:before="120" w:after="0"/>
      </w:pPr>
      <w:r>
        <w:rPr>
          <w:rFonts w:ascii="Arial" w:eastAsia="Arial" w:hAnsi="Arial" w:cs="Arial"/>
          <w:color w:val="000000"/>
        </w:rPr>
        <w:t xml:space="preserve">Encourage an effective development pattern. </w:t>
      </w:r>
    </w:p>
    <w:p w14:paraId="000000B9" w14:textId="77777777" w:rsidR="0022362C" w:rsidRDefault="00000000">
      <w:pPr>
        <w:keepLines/>
        <w:numPr>
          <w:ilvl w:val="0"/>
          <w:numId w:val="2"/>
        </w:numPr>
        <w:pBdr>
          <w:top w:val="nil"/>
          <w:left w:val="nil"/>
          <w:bottom w:val="nil"/>
          <w:right w:val="nil"/>
          <w:between w:val="nil"/>
        </w:pBdr>
        <w:spacing w:after="0"/>
      </w:pPr>
      <w:r>
        <w:rPr>
          <w:rFonts w:ascii="Arial" w:eastAsia="Arial" w:hAnsi="Arial" w:cs="Arial"/>
          <w:color w:val="000000"/>
        </w:rPr>
        <w:lastRenderedPageBreak/>
        <w:t xml:space="preserve">Provide a focused plan for preserving existing public facilities and capital investments and extension of public facilities in the future. </w:t>
      </w:r>
    </w:p>
    <w:p w14:paraId="000000BA" w14:textId="77777777" w:rsidR="0022362C" w:rsidRDefault="00000000">
      <w:pPr>
        <w:keepLines/>
        <w:numPr>
          <w:ilvl w:val="0"/>
          <w:numId w:val="2"/>
        </w:numPr>
        <w:pBdr>
          <w:top w:val="nil"/>
          <w:left w:val="nil"/>
          <w:bottom w:val="nil"/>
          <w:right w:val="nil"/>
          <w:between w:val="nil"/>
        </w:pBdr>
        <w:spacing w:after="0"/>
      </w:pPr>
      <w:r>
        <w:rPr>
          <w:rFonts w:ascii="Arial" w:eastAsia="Arial" w:hAnsi="Arial" w:cs="Arial"/>
          <w:color w:val="000000"/>
        </w:rPr>
        <w:t xml:space="preserve">Develop and maintain fiscal integrity in city operations by encouraging the full utilization of existing streets and other public facilities. </w:t>
      </w:r>
    </w:p>
    <w:p w14:paraId="000000BB" w14:textId="77777777" w:rsidR="0022362C" w:rsidRDefault="00000000">
      <w:pPr>
        <w:keepLines/>
        <w:numPr>
          <w:ilvl w:val="0"/>
          <w:numId w:val="2"/>
        </w:numPr>
        <w:pBdr>
          <w:top w:val="nil"/>
          <w:left w:val="nil"/>
          <w:bottom w:val="nil"/>
          <w:right w:val="nil"/>
          <w:between w:val="nil"/>
        </w:pBdr>
        <w:spacing w:after="0"/>
      </w:pPr>
      <w:r>
        <w:rPr>
          <w:rFonts w:ascii="Arial" w:eastAsia="Arial" w:hAnsi="Arial" w:cs="Arial"/>
          <w:color w:val="000000"/>
        </w:rPr>
        <w:t xml:space="preserve">Diversify and strengthen the tax base of the community. </w:t>
      </w:r>
    </w:p>
    <w:p w14:paraId="000000BC" w14:textId="77777777" w:rsidR="0022362C" w:rsidRDefault="00000000">
      <w:pPr>
        <w:keepLines/>
        <w:numPr>
          <w:ilvl w:val="0"/>
          <w:numId w:val="2"/>
        </w:numPr>
        <w:pBdr>
          <w:top w:val="nil"/>
          <w:left w:val="nil"/>
          <w:bottom w:val="nil"/>
          <w:right w:val="nil"/>
          <w:between w:val="nil"/>
        </w:pBdr>
        <w:spacing w:after="120"/>
      </w:pPr>
      <w:r>
        <w:rPr>
          <w:rFonts w:ascii="Arial" w:eastAsia="Arial" w:hAnsi="Arial" w:cs="Arial"/>
          <w:color w:val="000000"/>
        </w:rPr>
        <w:t>Protect and preserve natural and environmental and rural features that are desired by the community.</w:t>
      </w:r>
    </w:p>
    <w:sectPr w:rsidR="0022362C">
      <w:footerReference w:type="default" r:id="rId11"/>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ori Chigbrow" w:date="2025-05-31T02:34:00Z" w:initials="">
    <w:p w14:paraId="000000C9"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Many people fear that annexation means the City will force an annexation /imminent domain. Could we add a sentence here that basically states  most annexations are initiated by property owners who want to join the city, however the City may also initiate annexation of surrounding  property.</w:t>
      </w:r>
    </w:p>
  </w:comment>
  <w:comment w:id="1" w:author="Lori Chigbrow" w:date="2025-05-31T02:43:00Z" w:initials="">
    <w:p w14:paraId="000000BE"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the Annexation plan not going to come before the P&amp;Z for the review - hearing - recommendation to City Council?</w:t>
      </w:r>
    </w:p>
    <w:p w14:paraId="000000BF"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https://www.google.com/search?q=Does+an+annexation+applicatio</w:t>
      </w:r>
    </w:p>
    <w:p w14:paraId="000000C0"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n+need+to+go+before+the+Planning+and+zoning+comission&amp;rlz=1C1GCEA_enUS916US916&amp;oq=Does+an+annexation+application+need+to+go+before+the+Planning+and+zoning+comission&amp;gs_lcrp=EgZjaHJvbWUyBggAEEUYOTIGCAEQIRgK0gEJMjY5NjdqMGo3qAIAsAIA&amp;sourceid=chrome&amp;ie=UTF-8</w:t>
      </w:r>
    </w:p>
  </w:comment>
  <w:comment w:id="2" w:author="Lori Chigbrow" w:date="2025-05-31T02:50:00Z" w:initials="">
    <w:p w14:paraId="000000C6"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LPID the only one we need to do a specific notice to?</w:t>
      </w:r>
    </w:p>
  </w:comment>
  <w:comment w:id="3" w:author="Lori Chigbrow" w:date="2025-05-31T02:51:00Z" w:initials="">
    <w:p w14:paraId="000000C1"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Sewer is not part of their name</w:t>
      </w:r>
    </w:p>
  </w:comment>
  <w:comment w:id="4" w:author="Lori Chigbrow" w:date="2025-05-31T02:54:00Z" w:initials="">
    <w:p w14:paraId="000000C4"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There has also been an increase in commercial areas</w:t>
      </w:r>
    </w:p>
  </w:comment>
  <w:comment w:id="5" w:author="Lori Chigbrow" w:date="2025-05-31T02:55:00Z" w:initials="">
    <w:p w14:paraId="000000C8"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We have an industrial zone as well.  should 'and light industrial be added here?</w:t>
      </w:r>
    </w:p>
  </w:comment>
  <w:comment w:id="6" w:author="Lori Chigbrow" w:date="2025-05-31T02:59:00Z" w:initials="">
    <w:p w14:paraId="000000CA"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should this say to existing residents?</w:t>
      </w:r>
    </w:p>
  </w:comment>
  <w:comment w:id="7" w:author="Lori Chigbrow" w:date="2025-05-31T03:03:00Z" w:initials="">
    <w:p w14:paraId="000000C3"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should this say are 'currently' or 'already'</w:t>
      </w:r>
    </w:p>
  </w:comment>
  <w:comment w:id="9" w:author="Lori Chigbrow" w:date="2025-05-31T03:10:00Z" w:initials="">
    <w:p w14:paraId="000000C2"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'defines' the proper term for the map?</w:t>
      </w:r>
    </w:p>
  </w:comment>
  <w:comment w:id="10" w:author="Lori Chigbrow" w:date="2025-05-31T03:11:00Z" w:initials="">
    <w:p w14:paraId="000000C5"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Should this sentence start with Per Utah Code,</w:t>
      </w:r>
    </w:p>
  </w:comment>
  <w:comment w:id="11" w:author="Lori Chigbrow" w:date="2025-05-31T03:12:00Z" w:initials="">
    <w:p w14:paraId="000000C7" w14:textId="77777777" w:rsidR="0022362C"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replace 'way' with ' in a manner consistent with this Annexation Plan, the City's General Plan, and related land use ordinances in affect,'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C9" w15:done="0"/>
  <w15:commentEx w15:paraId="000000C0" w15:done="0"/>
  <w15:commentEx w15:paraId="000000C6" w15:done="0"/>
  <w15:commentEx w15:paraId="000000C1" w15:done="0"/>
  <w15:commentEx w15:paraId="000000C4" w15:done="0"/>
  <w15:commentEx w15:paraId="000000C8" w15:done="0"/>
  <w15:commentEx w15:paraId="000000CA" w15:done="0"/>
  <w15:commentEx w15:paraId="000000C3" w15:done="0"/>
  <w15:commentEx w15:paraId="000000C2" w15:done="0"/>
  <w15:commentEx w15:paraId="000000C5" w15:done="0"/>
  <w15:commentEx w15:paraId="000000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C9" w16cid:durableId="000000C9"/>
  <w16cid:commentId w16cid:paraId="000000C0" w16cid:durableId="000000C0"/>
  <w16cid:commentId w16cid:paraId="000000C6" w16cid:durableId="000000C6"/>
  <w16cid:commentId w16cid:paraId="000000C1" w16cid:durableId="000000C1"/>
  <w16cid:commentId w16cid:paraId="000000C4" w16cid:durableId="000000C4"/>
  <w16cid:commentId w16cid:paraId="000000C8" w16cid:durableId="000000C8"/>
  <w16cid:commentId w16cid:paraId="000000CA" w16cid:durableId="000000CA"/>
  <w16cid:commentId w16cid:paraId="000000C3" w16cid:durableId="000000C3"/>
  <w16cid:commentId w16cid:paraId="000000C2" w16cid:durableId="000000C2"/>
  <w16cid:commentId w16cid:paraId="000000C5" w16cid:durableId="000000C5"/>
  <w16cid:commentId w16cid:paraId="000000C7" w16cid:durableId="000000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9E388" w14:textId="77777777" w:rsidR="003D0C55" w:rsidRDefault="003D0C55">
      <w:pPr>
        <w:spacing w:after="0" w:line="240" w:lineRule="auto"/>
      </w:pPr>
      <w:r>
        <w:separator/>
      </w:r>
    </w:p>
  </w:endnote>
  <w:endnote w:type="continuationSeparator" w:id="0">
    <w:p w14:paraId="2A01B5AB" w14:textId="77777777" w:rsidR="003D0C55" w:rsidRDefault="003D0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F1AAEF6-198C-7942-ACB3-2A704A5EE1AE}"/>
  </w:font>
  <w:font w:name="Courier New">
    <w:panose1 w:val="02070309020205020404"/>
    <w:charset w:val="00"/>
    <w:family w:val="modern"/>
    <w:pitch w:val="fixed"/>
    <w:sig w:usb0="E0002EFF" w:usb1="C0007843" w:usb2="00000009" w:usb3="00000000" w:csb0="000001FF" w:csb1="00000000"/>
    <w:embedRegular r:id="rId2" w:fontKey="{55B3DE26-FC15-854E-BC75-2778E3FF50D2}"/>
  </w:font>
  <w:font w:name="Calibri">
    <w:panose1 w:val="020F0502020204030204"/>
    <w:charset w:val="00"/>
    <w:family w:val="swiss"/>
    <w:pitch w:val="variable"/>
    <w:sig w:usb0="E4002EFF" w:usb1="C200247B" w:usb2="00000009" w:usb3="00000000" w:csb0="000001FF" w:csb1="00000000"/>
    <w:embedRegular r:id="rId3" w:fontKey="{84EE7D11-E127-654A-9FE3-28B1C0024DBE}"/>
    <w:embedBold r:id="rId4" w:fontKey="{F4B702FA-9E97-664D-9DE6-5C5EEA3F35B8}"/>
    <w:embedBoldItalic r:id="rId5" w:fontKey="{A9E2623A-88F6-004F-A830-5F9E54E96391}"/>
  </w:font>
  <w:font w:name="Arial">
    <w:panose1 w:val="020B0604020202020204"/>
    <w:charset w:val="00"/>
    <w:family w:val="swiss"/>
    <w:pitch w:val="variable"/>
    <w:sig w:usb0="E0002EFF" w:usb1="C000785B" w:usb2="00000009" w:usb3="00000000" w:csb0="000001FF" w:csb1="00000000"/>
    <w:embedRegular r:id="rId6" w:fontKey="{D2E6AED1-BD9E-E34C-8BBF-B6B3BD2E17C7}"/>
    <w:embedBold r:id="rId7" w:fontKey="{45093002-234D-2848-85EF-A4A462442912}"/>
    <w:embedBoldItalic r:id="rId8" w:fontKey="{B77CE77A-E1C8-9D4D-BA3E-119A7A1EF331}"/>
  </w:font>
  <w:font w:name="Times New Roman">
    <w:panose1 w:val="02020603050405020304"/>
    <w:charset w:val="00"/>
    <w:family w:val="roman"/>
    <w:pitch w:val="variable"/>
    <w:sig w:usb0="E0002EFF" w:usb1="C000785B" w:usb2="00000009" w:usb3="00000000" w:csb0="000001FF" w:csb1="00000000"/>
    <w:embedRegular r:id="rId9" w:fontKey="{DD17C370-A4CB-404E-BF48-F57999CE1F20}"/>
    <w:embedBold r:id="rId10" w:fontKey="{FA4CB742-E39D-7A41-99E1-3F9F1B7339A8}"/>
    <w:embedItalic r:id="rId11" w:fontKey="{ADA23172-0DE4-3B45-8E38-C1CF32EFD6CB}"/>
    <w:embedBoldItalic r:id="rId12" w:fontKey="{9BDE8456-9CCE-3445-9474-2B164944F3EB}"/>
  </w:font>
  <w:font w:name="Calibri Light">
    <w:panose1 w:val="020F0302020204030204"/>
    <w:charset w:val="00"/>
    <w:family w:val="swiss"/>
    <w:pitch w:val="variable"/>
    <w:sig w:usb0="E0002AFF" w:usb1="C000247B" w:usb2="00000009" w:usb3="00000000" w:csb0="000001FF" w:csb1="00000000"/>
    <w:embedRegular r:id="rId13" w:fontKey="{48CD06A4-DEEC-7449-97EE-327646CE9914}"/>
    <w:embedBold r:id="rId14" w:fontKey="{BC959E0A-DCB8-B64B-8066-015A16E02B26}"/>
    <w:embedItalic r:id="rId15" w:fontKey="{A4771133-0E00-F540-9ECF-3740B1F94261}"/>
  </w:font>
  <w:font w:name="Segoe UI">
    <w:panose1 w:val="020B0502040204020203"/>
    <w:charset w:val="00"/>
    <w:family w:val="swiss"/>
    <w:pitch w:val="variable"/>
    <w:sig w:usb0="E4002EFF" w:usb1="C000E47F" w:usb2="00000009" w:usb3="00000000" w:csb0="000001FF" w:csb1="00000000"/>
    <w:embedRegular r:id="rId16" w:fontKey="{19E5C669-67B2-324C-BFBC-8FB4A157CDF2}"/>
    <w:embedBold r:id="rId17" w:fontKey="{371501A0-3B22-D349-B6EC-CA220D3EF892}"/>
  </w:font>
  <w:font w:name="Century Gothic">
    <w:panose1 w:val="020B0502020202020204"/>
    <w:charset w:val="00"/>
    <w:family w:val="swiss"/>
    <w:pitch w:val="variable"/>
    <w:sig w:usb0="00000287" w:usb1="00000000" w:usb2="00000000" w:usb3="00000000" w:csb0="0000009F" w:csb1="00000000"/>
    <w:embedRegular r:id="rId18" w:fontKey="{53A5C7F7-3B83-2E4C-AEF7-2FCC74748E1E}"/>
    <w:embedBoldItalic r:id="rId19" w:fontKey="{F6F9EF78-AB5A-7144-A7E7-5553430FEABF}"/>
  </w:font>
  <w:font w:name="Tahoma">
    <w:panose1 w:val="020B0604030504040204"/>
    <w:charset w:val="00"/>
    <w:family w:val="swiss"/>
    <w:pitch w:val="variable"/>
    <w:sig w:usb0="E1002EFF" w:usb1="C000605B" w:usb2="00000029" w:usb3="00000000" w:csb0="000101FF" w:csb1="00000000"/>
    <w:embedRegular r:id="rId20" w:fontKey="{A7F3C8E2-9D5A-554E-8A83-337BDB14FE2F}"/>
  </w:font>
  <w:font w:name="New York">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22" w:fontKey="{BFFE8A27-92F9-7042-BA2E-1A7FC88A06A4}"/>
    <w:embedItalic r:id="rId23" w:fontKey="{CB644B16-4B85-C34A-8CBD-E973182EEA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D" w14:textId="648E16AD" w:rsidR="0022362C" w:rsidRDefault="00000000">
    <w:pPr>
      <w:jc w:val="right"/>
    </w:pPr>
    <w:r>
      <w:fldChar w:fldCharType="begin"/>
    </w:r>
    <w:r>
      <w:instrText>PAGE</w:instrText>
    </w:r>
    <w:r>
      <w:fldChar w:fldCharType="separate"/>
    </w:r>
    <w:r w:rsidR="00270A2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DFBBA" w14:textId="77777777" w:rsidR="003D0C55" w:rsidRDefault="003D0C55">
      <w:pPr>
        <w:spacing w:after="0" w:line="240" w:lineRule="auto"/>
      </w:pPr>
      <w:r>
        <w:separator/>
      </w:r>
    </w:p>
  </w:footnote>
  <w:footnote w:type="continuationSeparator" w:id="0">
    <w:p w14:paraId="005A3212" w14:textId="77777777" w:rsidR="003D0C55" w:rsidRDefault="003D0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B257C"/>
    <w:multiLevelType w:val="multilevel"/>
    <w:tmpl w:val="832475F8"/>
    <w:lvl w:ilvl="0">
      <w:start w:val="1"/>
      <w:numFmt w:val="decimal"/>
      <w:lvlText w:val="%1)"/>
      <w:lvlJc w:val="left"/>
      <w:pPr>
        <w:ind w:left="108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3DE77B0C"/>
    <w:multiLevelType w:val="multilevel"/>
    <w:tmpl w:val="A46E8212"/>
    <w:lvl w:ilvl="0">
      <w:start w:val="1"/>
      <w:numFmt w:val="bullet"/>
      <w:pStyle w:val="C-BulletList"/>
      <w:lvlText w:val="●"/>
      <w:lvlJc w:val="left"/>
      <w:pPr>
        <w:ind w:left="1980" w:hanging="360"/>
      </w:pPr>
      <w:rPr>
        <w:rFonts w:ascii="Noto Sans Symbols" w:eastAsia="Noto Sans Symbols" w:hAnsi="Noto Sans Symbols" w:cs="Noto Sans Symbols"/>
      </w:rPr>
    </w:lvl>
    <w:lvl w:ilvl="1">
      <w:start w:val="1"/>
      <w:numFmt w:val="bullet"/>
      <w:lvlText w:val="o"/>
      <w:lvlJc w:val="left"/>
      <w:pPr>
        <w:ind w:left="2700" w:hanging="360"/>
      </w:pPr>
      <w:rPr>
        <w:rFonts w:ascii="Courier New" w:eastAsia="Courier New" w:hAnsi="Courier New" w:cs="Courier New"/>
      </w:rPr>
    </w:lvl>
    <w:lvl w:ilvl="2">
      <w:start w:val="1"/>
      <w:numFmt w:val="bullet"/>
      <w:lvlText w:val="▪"/>
      <w:lvlJc w:val="left"/>
      <w:pPr>
        <w:ind w:left="3420" w:hanging="360"/>
      </w:pPr>
      <w:rPr>
        <w:rFonts w:ascii="Noto Sans Symbols" w:eastAsia="Noto Sans Symbols" w:hAnsi="Noto Sans Symbols" w:cs="Noto Sans Symbols"/>
      </w:rPr>
    </w:lvl>
    <w:lvl w:ilvl="3">
      <w:start w:val="1"/>
      <w:numFmt w:val="bullet"/>
      <w:lvlText w:val="●"/>
      <w:lvlJc w:val="left"/>
      <w:pPr>
        <w:ind w:left="4140" w:hanging="360"/>
      </w:pPr>
      <w:rPr>
        <w:rFonts w:ascii="Noto Sans Symbols" w:eastAsia="Noto Sans Symbols" w:hAnsi="Noto Sans Symbols" w:cs="Noto Sans Symbols"/>
      </w:rPr>
    </w:lvl>
    <w:lvl w:ilvl="4">
      <w:start w:val="1"/>
      <w:numFmt w:val="bullet"/>
      <w:lvlText w:val="o"/>
      <w:lvlJc w:val="left"/>
      <w:pPr>
        <w:ind w:left="4860" w:hanging="360"/>
      </w:pPr>
      <w:rPr>
        <w:rFonts w:ascii="Courier New" w:eastAsia="Courier New" w:hAnsi="Courier New" w:cs="Courier New"/>
      </w:rPr>
    </w:lvl>
    <w:lvl w:ilvl="5">
      <w:start w:val="1"/>
      <w:numFmt w:val="bullet"/>
      <w:lvlText w:val="▪"/>
      <w:lvlJc w:val="left"/>
      <w:pPr>
        <w:ind w:left="5580" w:hanging="360"/>
      </w:pPr>
      <w:rPr>
        <w:rFonts w:ascii="Noto Sans Symbols" w:eastAsia="Noto Sans Symbols" w:hAnsi="Noto Sans Symbols" w:cs="Noto Sans Symbols"/>
      </w:rPr>
    </w:lvl>
    <w:lvl w:ilvl="6">
      <w:start w:val="1"/>
      <w:numFmt w:val="bullet"/>
      <w:lvlText w:val="●"/>
      <w:lvlJc w:val="left"/>
      <w:pPr>
        <w:ind w:left="6300" w:hanging="360"/>
      </w:pPr>
      <w:rPr>
        <w:rFonts w:ascii="Noto Sans Symbols" w:eastAsia="Noto Sans Symbols" w:hAnsi="Noto Sans Symbols" w:cs="Noto Sans Symbols"/>
      </w:rPr>
    </w:lvl>
    <w:lvl w:ilvl="7">
      <w:start w:val="1"/>
      <w:numFmt w:val="bullet"/>
      <w:lvlText w:val="o"/>
      <w:lvlJc w:val="left"/>
      <w:pPr>
        <w:ind w:left="7020" w:hanging="360"/>
      </w:pPr>
      <w:rPr>
        <w:rFonts w:ascii="Courier New" w:eastAsia="Courier New" w:hAnsi="Courier New" w:cs="Courier New"/>
      </w:rPr>
    </w:lvl>
    <w:lvl w:ilvl="8">
      <w:start w:val="1"/>
      <w:numFmt w:val="bullet"/>
      <w:lvlText w:val="▪"/>
      <w:lvlJc w:val="left"/>
      <w:pPr>
        <w:ind w:left="7740" w:hanging="360"/>
      </w:pPr>
      <w:rPr>
        <w:rFonts w:ascii="Noto Sans Symbols" w:eastAsia="Noto Sans Symbols" w:hAnsi="Noto Sans Symbols" w:cs="Noto Sans Symbols"/>
      </w:rPr>
    </w:lvl>
  </w:abstractNum>
  <w:abstractNum w:abstractNumId="2" w15:restartNumberingAfterBreak="0">
    <w:nsid w:val="4A41531C"/>
    <w:multiLevelType w:val="multilevel"/>
    <w:tmpl w:val="547EF45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71202177">
    <w:abstractNumId w:val="0"/>
  </w:num>
  <w:num w:numId="2" w16cid:durableId="1446121631">
    <w:abstractNumId w:val="1"/>
  </w:num>
  <w:num w:numId="3" w16cid:durableId="499810117">
    <w:abstractNumId w:val="2"/>
  </w:num>
  <w:num w:numId="4" w16cid:durableId="1132017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3321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6951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62C"/>
    <w:rsid w:val="0022362C"/>
    <w:rsid w:val="00270A28"/>
    <w:rsid w:val="003D0C55"/>
    <w:rsid w:val="00D81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D722C28C-2911-D648-B8B6-DDD907572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60E"/>
  </w:style>
  <w:style w:type="paragraph" w:styleId="Heading1">
    <w:name w:val="heading 1"/>
    <w:aliases w:val="H 1,H1"/>
    <w:basedOn w:val="Normal"/>
    <w:next w:val="Normal"/>
    <w:link w:val="Heading1Char"/>
    <w:uiPriority w:val="9"/>
    <w:qFormat/>
    <w:rsid w:val="009F43AE"/>
    <w:pPr>
      <w:keepNext/>
      <w:spacing w:before="120" w:after="120"/>
      <w:outlineLvl w:val="0"/>
    </w:pPr>
    <w:rPr>
      <w:rFonts w:ascii="Arial" w:hAnsi="Arial" w:cs="Arial"/>
      <w:b/>
      <w:bCs/>
      <w:sz w:val="24"/>
      <w:szCs w:val="28"/>
    </w:rPr>
  </w:style>
  <w:style w:type="paragraph" w:styleId="Heading2">
    <w:name w:val="heading 2"/>
    <w:aliases w:val="H2"/>
    <w:basedOn w:val="Normal"/>
    <w:next w:val="Normal"/>
    <w:link w:val="Heading2Char"/>
    <w:uiPriority w:val="9"/>
    <w:unhideWhenUsed/>
    <w:qFormat/>
    <w:rsid w:val="0078728D"/>
    <w:pPr>
      <w:keepNext/>
      <w:numPr>
        <w:numId w:val="3"/>
      </w:numPr>
      <w:spacing w:before="120" w:after="120"/>
      <w:contextualSpacing/>
      <w:outlineLvl w:val="1"/>
    </w:pPr>
    <w:rPr>
      <w:rFonts w:ascii="Arial" w:eastAsia="Arial" w:hAnsi="Arial" w:cstheme="majorBidi"/>
      <w:szCs w:val="26"/>
    </w:rPr>
  </w:style>
  <w:style w:type="paragraph" w:styleId="Heading3">
    <w:name w:val="heading 3"/>
    <w:aliases w:val="H3"/>
    <w:basedOn w:val="Normal"/>
    <w:next w:val="Normal"/>
    <w:link w:val="Heading3Char"/>
    <w:uiPriority w:val="9"/>
    <w:semiHidden/>
    <w:unhideWhenUsed/>
    <w:qFormat/>
    <w:rsid w:val="00C02268"/>
    <w:pPr>
      <w:keepNext/>
      <w:tabs>
        <w:tab w:val="num" w:pos="720"/>
      </w:tabs>
      <w:spacing w:after="0"/>
      <w:ind w:left="1440" w:hanging="720"/>
      <w:outlineLvl w:val="2"/>
    </w:pPr>
    <w:rPr>
      <w:rFonts w:ascii="Arial" w:eastAsia="Arial" w:hAnsi="Arial" w:cs="Arial"/>
    </w:rPr>
  </w:style>
  <w:style w:type="paragraph" w:styleId="Heading4">
    <w:name w:val="heading 4"/>
    <w:aliases w:val="H4"/>
    <w:basedOn w:val="Normal"/>
    <w:next w:val="Normal"/>
    <w:link w:val="Heading4Char"/>
    <w:uiPriority w:val="9"/>
    <w:semiHidden/>
    <w:unhideWhenUsed/>
    <w:qFormat/>
    <w:rsid w:val="00D35D24"/>
    <w:pPr>
      <w:keepNext/>
      <w:spacing w:before="240" w:after="240"/>
      <w:ind w:left="720"/>
      <w:outlineLvl w:val="3"/>
    </w:pPr>
    <w:rPr>
      <w:rFonts w:ascii="Arial" w:eastAsiaTheme="majorEastAsia" w:hAnsi="Arial" w:cs="Arial"/>
      <w:u w:val="single"/>
    </w:rPr>
  </w:style>
  <w:style w:type="paragraph" w:styleId="Heading5">
    <w:name w:val="heading 5"/>
    <w:basedOn w:val="Normal"/>
    <w:next w:val="Normal"/>
    <w:link w:val="Heading5Char"/>
    <w:uiPriority w:val="9"/>
    <w:semiHidden/>
    <w:unhideWhenUsed/>
    <w:qFormat/>
    <w:rsid w:val="00D35D24"/>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35D24"/>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unhideWhenUsed/>
    <w:rsid w:val="00D35D24"/>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unhideWhenUsed/>
    <w:rsid w:val="00D35D24"/>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unhideWhenUsed/>
    <w:rsid w:val="00D35D24"/>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F43AE"/>
    <w:pPr>
      <w:widowControl w:val="0"/>
      <w:spacing w:before="120" w:after="120" w:line="240" w:lineRule="auto"/>
      <w:contextualSpacing/>
      <w:jc w:val="center"/>
    </w:pPr>
    <w:rPr>
      <w:rFonts w:ascii="Arial" w:eastAsia="Times New Roman" w:hAnsi="Arial" w:cs="Times New Roman"/>
      <w:b/>
      <w:bCs/>
      <w:caps/>
      <w:sz w:val="28"/>
      <w:szCs w:val="40"/>
    </w:rPr>
  </w:style>
  <w:style w:type="character" w:customStyle="1" w:styleId="Heading1Char">
    <w:name w:val="Heading 1 Char"/>
    <w:aliases w:val="H 1 Char,H1 Char"/>
    <w:basedOn w:val="DefaultParagraphFont"/>
    <w:link w:val="Heading1"/>
    <w:uiPriority w:val="9"/>
    <w:rsid w:val="009F43AE"/>
    <w:rPr>
      <w:rFonts w:ascii="Arial" w:hAnsi="Arial" w:cs="Arial"/>
      <w:b/>
      <w:bCs/>
      <w:sz w:val="24"/>
      <w:szCs w:val="28"/>
    </w:rPr>
  </w:style>
  <w:style w:type="character" w:customStyle="1" w:styleId="Heading2Char">
    <w:name w:val="Heading 2 Char"/>
    <w:aliases w:val="H2 Char"/>
    <w:basedOn w:val="DefaultParagraphFont"/>
    <w:link w:val="Heading2"/>
    <w:uiPriority w:val="9"/>
    <w:rsid w:val="0078728D"/>
    <w:rPr>
      <w:rFonts w:ascii="Arial" w:eastAsia="Arial" w:hAnsi="Arial" w:cstheme="majorBidi"/>
      <w:szCs w:val="26"/>
    </w:rPr>
  </w:style>
  <w:style w:type="character" w:customStyle="1" w:styleId="Heading3Char">
    <w:name w:val="Heading 3 Char"/>
    <w:aliases w:val="H3 Char"/>
    <w:basedOn w:val="DefaultParagraphFont"/>
    <w:link w:val="Heading3"/>
    <w:uiPriority w:val="9"/>
    <w:semiHidden/>
    <w:rsid w:val="00C02268"/>
    <w:rPr>
      <w:rFonts w:ascii="Arial" w:eastAsia="Arial" w:hAnsi="Arial" w:cs="Arial"/>
    </w:rPr>
  </w:style>
  <w:style w:type="character" w:customStyle="1" w:styleId="Heading4Char">
    <w:name w:val="Heading 4 Char"/>
    <w:aliases w:val="H4 Char"/>
    <w:basedOn w:val="DefaultParagraphFont"/>
    <w:link w:val="Heading4"/>
    <w:uiPriority w:val="3"/>
    <w:rsid w:val="00D35D24"/>
    <w:rPr>
      <w:rFonts w:ascii="Arial" w:eastAsiaTheme="majorEastAsia" w:hAnsi="Arial" w:cs="Arial"/>
      <w:u w:val="single"/>
    </w:rPr>
  </w:style>
  <w:style w:type="character" w:customStyle="1" w:styleId="Heading5Char">
    <w:name w:val="Heading 5 Char"/>
    <w:basedOn w:val="DefaultParagraphFont"/>
    <w:link w:val="Heading5"/>
    <w:uiPriority w:val="99"/>
    <w:rsid w:val="00D35D2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9"/>
    <w:rsid w:val="00D35D2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9"/>
    <w:rsid w:val="00D35D2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9"/>
    <w:rsid w:val="00D35D2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rsid w:val="00D35D24"/>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99"/>
    <w:unhideWhenUsed/>
    <w:rsid w:val="00D35D24"/>
    <w:rPr>
      <w:b/>
      <w:bCs/>
    </w:rPr>
  </w:style>
  <w:style w:type="paragraph" w:customStyle="1" w:styleId="Content">
    <w:name w:val="Content"/>
    <w:basedOn w:val="Normal"/>
    <w:link w:val="ContentChar"/>
    <w:uiPriority w:val="4"/>
    <w:qFormat/>
    <w:rsid w:val="00AE67AB"/>
    <w:pPr>
      <w:keepLines/>
      <w:spacing w:before="120" w:after="120"/>
      <w:ind w:left="720"/>
    </w:pPr>
    <w:rPr>
      <w:rFonts w:ascii="Arial" w:hAnsi="Arial" w:cs="Arial"/>
    </w:rPr>
  </w:style>
  <w:style w:type="paragraph" w:customStyle="1" w:styleId="TableTitle">
    <w:name w:val="Table Title"/>
    <w:basedOn w:val="Normal"/>
    <w:link w:val="TableTitleChar"/>
    <w:uiPriority w:val="8"/>
    <w:qFormat/>
    <w:rsid w:val="00D35D24"/>
    <w:pPr>
      <w:keepNext/>
      <w:spacing w:before="480" w:after="0"/>
      <w:jc w:val="center"/>
    </w:pPr>
    <w:rPr>
      <w:rFonts w:ascii="Arial" w:hAnsi="Arial" w:cs="Arial"/>
      <w:b/>
      <w:bCs/>
      <w:i/>
      <w:sz w:val="20"/>
      <w:szCs w:val="20"/>
    </w:rPr>
  </w:style>
  <w:style w:type="character" w:customStyle="1" w:styleId="ContentChar">
    <w:name w:val="Content Char"/>
    <w:basedOn w:val="DefaultParagraphFont"/>
    <w:link w:val="Content"/>
    <w:uiPriority w:val="4"/>
    <w:rsid w:val="00AE67AB"/>
    <w:rPr>
      <w:rFonts w:ascii="Arial" w:hAnsi="Arial" w:cs="Arial"/>
    </w:rPr>
  </w:style>
  <w:style w:type="table" w:styleId="TableGrid">
    <w:name w:val="Table Grid"/>
    <w:basedOn w:val="TableNormal"/>
    <w:uiPriority w:val="39"/>
    <w:rsid w:val="00D35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itleChar">
    <w:name w:val="Table Title Char"/>
    <w:basedOn w:val="DefaultParagraphFont"/>
    <w:link w:val="TableTitle"/>
    <w:uiPriority w:val="8"/>
    <w:rsid w:val="00D35D24"/>
    <w:rPr>
      <w:rFonts w:ascii="Arial" w:hAnsi="Arial" w:cs="Arial"/>
      <w:b/>
      <w:bCs/>
      <w:i/>
      <w:sz w:val="20"/>
      <w:szCs w:val="20"/>
    </w:rPr>
  </w:style>
  <w:style w:type="paragraph" w:customStyle="1" w:styleId="BulletList">
    <w:name w:val="Bullet List"/>
    <w:basedOn w:val="Content"/>
    <w:link w:val="BulletListChar"/>
    <w:uiPriority w:val="99"/>
    <w:unhideWhenUsed/>
    <w:rsid w:val="00D35D24"/>
    <w:pPr>
      <w:spacing w:before="60" w:after="60"/>
      <w:ind w:left="1440" w:hanging="720"/>
    </w:pPr>
  </w:style>
  <w:style w:type="paragraph" w:customStyle="1" w:styleId="TableBulletList">
    <w:name w:val="Table Bullet List"/>
    <w:basedOn w:val="BulletList"/>
    <w:link w:val="TableBulletListChar"/>
    <w:uiPriority w:val="99"/>
    <w:unhideWhenUsed/>
    <w:rsid w:val="00D35D24"/>
    <w:pPr>
      <w:spacing w:before="0" w:after="0" w:line="240" w:lineRule="auto"/>
      <w:ind w:left="331" w:hanging="331"/>
    </w:pPr>
    <w:rPr>
      <w:sz w:val="20"/>
      <w:szCs w:val="20"/>
    </w:rPr>
  </w:style>
  <w:style w:type="character" w:customStyle="1" w:styleId="BulletListChar">
    <w:name w:val="Bullet List Char"/>
    <w:aliases w:val="List Paragraph Char"/>
    <w:basedOn w:val="ContentChar"/>
    <w:link w:val="BulletList"/>
    <w:uiPriority w:val="99"/>
    <w:rsid w:val="00D35D24"/>
    <w:rPr>
      <w:rFonts w:ascii="Arial" w:hAnsi="Arial" w:cs="Arial"/>
    </w:rPr>
  </w:style>
  <w:style w:type="paragraph" w:customStyle="1" w:styleId="FigureTitle">
    <w:name w:val="Figure Title"/>
    <w:basedOn w:val="Content"/>
    <w:link w:val="FigureTitleChar"/>
    <w:uiPriority w:val="99"/>
    <w:unhideWhenUsed/>
    <w:qFormat/>
    <w:rsid w:val="00D35D24"/>
    <w:pPr>
      <w:spacing w:before="0" w:after="480"/>
      <w:ind w:left="0"/>
      <w:jc w:val="center"/>
    </w:pPr>
    <w:rPr>
      <w:b/>
      <w:i/>
      <w:sz w:val="20"/>
    </w:rPr>
  </w:style>
  <w:style w:type="character" w:customStyle="1" w:styleId="TableBulletListChar">
    <w:name w:val="Table Bullet List Char"/>
    <w:basedOn w:val="BulletListChar"/>
    <w:link w:val="TableBulletList"/>
    <w:uiPriority w:val="99"/>
    <w:rsid w:val="00D35D24"/>
    <w:rPr>
      <w:rFonts w:ascii="Arial" w:hAnsi="Arial" w:cs="Arial"/>
      <w:sz w:val="20"/>
      <w:szCs w:val="20"/>
    </w:rPr>
  </w:style>
  <w:style w:type="paragraph" w:customStyle="1" w:styleId="Figures">
    <w:name w:val="Figures"/>
    <w:basedOn w:val="Content"/>
    <w:link w:val="FiguresChar"/>
    <w:uiPriority w:val="99"/>
    <w:unhideWhenUsed/>
    <w:rsid w:val="00D35D24"/>
    <w:pPr>
      <w:spacing w:after="0"/>
      <w:jc w:val="center"/>
    </w:pPr>
  </w:style>
  <w:style w:type="character" w:customStyle="1" w:styleId="FigureTitleChar">
    <w:name w:val="Figure Title Char"/>
    <w:basedOn w:val="ContentChar"/>
    <w:link w:val="FigureTitle"/>
    <w:uiPriority w:val="99"/>
    <w:rsid w:val="00D35D24"/>
    <w:rPr>
      <w:rFonts w:ascii="Arial" w:hAnsi="Arial" w:cs="Arial"/>
      <w:b/>
      <w:i/>
      <w:sz w:val="20"/>
    </w:rPr>
  </w:style>
  <w:style w:type="character" w:customStyle="1" w:styleId="FiguresChar">
    <w:name w:val="Figures Char"/>
    <w:basedOn w:val="ContentChar"/>
    <w:link w:val="Figures"/>
    <w:uiPriority w:val="99"/>
    <w:rsid w:val="00D35D24"/>
    <w:rPr>
      <w:rFonts w:ascii="Arial" w:hAnsi="Arial" w:cs="Arial"/>
    </w:rPr>
  </w:style>
  <w:style w:type="paragraph" w:styleId="Footer">
    <w:name w:val="footer"/>
    <w:basedOn w:val="Normal"/>
    <w:link w:val="FooterChar"/>
    <w:uiPriority w:val="99"/>
    <w:semiHidden/>
    <w:rsid w:val="00D35D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35D24"/>
  </w:style>
  <w:style w:type="paragraph" w:customStyle="1" w:styleId="DocumentHeaderText">
    <w:name w:val="Document Header Text"/>
    <w:basedOn w:val="Normal"/>
    <w:link w:val="DocumentHeaderTextChar"/>
    <w:uiPriority w:val="99"/>
    <w:unhideWhenUsed/>
    <w:rsid w:val="00D35D24"/>
    <w:pPr>
      <w:tabs>
        <w:tab w:val="center" w:pos="4680"/>
        <w:tab w:val="right" w:pos="9360"/>
      </w:tabs>
      <w:spacing w:before="60" w:after="60" w:line="240" w:lineRule="auto"/>
      <w:jc w:val="center"/>
    </w:pPr>
    <w:rPr>
      <w:rFonts w:ascii="Arial" w:hAnsi="Arial"/>
      <w:b/>
      <w:bCs/>
    </w:rPr>
  </w:style>
  <w:style w:type="character" w:customStyle="1" w:styleId="DocumentHeaderTextChar">
    <w:name w:val="Document Header Text Char"/>
    <w:basedOn w:val="DefaultParagraphFont"/>
    <w:link w:val="DocumentHeaderText"/>
    <w:uiPriority w:val="99"/>
    <w:rsid w:val="00D35D24"/>
    <w:rPr>
      <w:rFonts w:ascii="Arial" w:hAnsi="Arial"/>
      <w:b/>
      <w:bCs/>
    </w:rPr>
  </w:style>
  <w:style w:type="paragraph" w:styleId="Header">
    <w:name w:val="header"/>
    <w:basedOn w:val="Normal"/>
    <w:link w:val="HeaderChar"/>
    <w:uiPriority w:val="99"/>
    <w:unhideWhenUsed/>
    <w:rsid w:val="00D35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D24"/>
  </w:style>
  <w:style w:type="paragraph" w:styleId="ListParagraph">
    <w:name w:val="List Paragraph"/>
    <w:basedOn w:val="Content"/>
    <w:uiPriority w:val="99"/>
    <w:unhideWhenUsed/>
    <w:rsid w:val="00D35D24"/>
    <w:pPr>
      <w:spacing w:before="0" w:after="0"/>
    </w:pPr>
  </w:style>
  <w:style w:type="numbering" w:customStyle="1" w:styleId="Style1">
    <w:name w:val="Style1"/>
    <w:uiPriority w:val="99"/>
    <w:rsid w:val="00D35D24"/>
  </w:style>
  <w:style w:type="table" w:customStyle="1" w:styleId="TableGrid1">
    <w:name w:val="Table Grid1"/>
    <w:basedOn w:val="TableNormal"/>
    <w:next w:val="TableGrid"/>
    <w:uiPriority w:val="39"/>
    <w:rsid w:val="00D35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35D24"/>
    <w:pPr>
      <w:spacing w:line="240" w:lineRule="auto"/>
    </w:pPr>
    <w:rPr>
      <w:rFonts w:ascii="Arial" w:eastAsiaTheme="majorEastAsia" w:hAnsi="Arial" w:cs="Segoe UI"/>
      <w:sz w:val="20"/>
      <w:szCs w:val="20"/>
    </w:rPr>
  </w:style>
  <w:style w:type="character" w:customStyle="1" w:styleId="CommentTextChar">
    <w:name w:val="Comment Text Char"/>
    <w:basedOn w:val="DefaultParagraphFont"/>
    <w:link w:val="CommentText"/>
    <w:uiPriority w:val="99"/>
    <w:rsid w:val="00D35D24"/>
    <w:rPr>
      <w:rFonts w:ascii="Arial" w:eastAsiaTheme="majorEastAsia" w:hAnsi="Arial" w:cs="Segoe UI"/>
      <w:sz w:val="20"/>
      <w:szCs w:val="20"/>
    </w:rPr>
  </w:style>
  <w:style w:type="paragraph" w:styleId="CommentSubject">
    <w:name w:val="annotation subject"/>
    <w:basedOn w:val="CommentText"/>
    <w:next w:val="CommentText"/>
    <w:link w:val="CommentSubjectChar"/>
    <w:uiPriority w:val="99"/>
    <w:unhideWhenUsed/>
    <w:rsid w:val="00D35D24"/>
    <w:rPr>
      <w:b/>
      <w:bCs/>
    </w:rPr>
  </w:style>
  <w:style w:type="character" w:customStyle="1" w:styleId="CommentSubjectChar">
    <w:name w:val="Comment Subject Char"/>
    <w:basedOn w:val="CommentTextChar"/>
    <w:link w:val="CommentSubject"/>
    <w:uiPriority w:val="99"/>
    <w:rsid w:val="00D35D24"/>
    <w:rPr>
      <w:rFonts w:ascii="Arial" w:eastAsiaTheme="majorEastAsia" w:hAnsi="Arial" w:cs="Segoe UI"/>
      <w:b/>
      <w:bCs/>
      <w:sz w:val="20"/>
      <w:szCs w:val="20"/>
    </w:rPr>
  </w:style>
  <w:style w:type="character" w:customStyle="1" w:styleId="normaltextrun">
    <w:name w:val="normaltextrun"/>
    <w:basedOn w:val="DefaultParagraphFont"/>
    <w:uiPriority w:val="99"/>
    <w:unhideWhenUsed/>
    <w:rsid w:val="00D35D24"/>
  </w:style>
  <w:style w:type="character" w:customStyle="1" w:styleId="eop">
    <w:name w:val="eop"/>
    <w:basedOn w:val="DefaultParagraphFont"/>
    <w:uiPriority w:val="99"/>
    <w:semiHidden/>
    <w:rsid w:val="00D35D24"/>
  </w:style>
  <w:style w:type="paragraph" w:customStyle="1" w:styleId="TableList">
    <w:name w:val="Table List"/>
    <w:basedOn w:val="Normal"/>
    <w:link w:val="TableListChar"/>
    <w:uiPriority w:val="99"/>
    <w:unhideWhenUsed/>
    <w:rsid w:val="00D35D24"/>
    <w:pPr>
      <w:tabs>
        <w:tab w:val="num" w:pos="720"/>
      </w:tabs>
      <w:spacing w:before="120" w:after="120" w:line="240" w:lineRule="auto"/>
      <w:ind w:left="720" w:hanging="720"/>
      <w:jc w:val="center"/>
    </w:pPr>
    <w:rPr>
      <w:rFonts w:ascii="Arial" w:hAnsi="Arial" w:cs="Arial"/>
      <w:sz w:val="20"/>
      <w:lang w:val="pl-PL"/>
    </w:rPr>
  </w:style>
  <w:style w:type="character" w:customStyle="1" w:styleId="TableListChar">
    <w:name w:val="Table List Char"/>
    <w:basedOn w:val="DefaultParagraphFont"/>
    <w:link w:val="TableList"/>
    <w:uiPriority w:val="99"/>
    <w:rsid w:val="00D35D24"/>
    <w:rPr>
      <w:rFonts w:ascii="Arial" w:hAnsi="Arial" w:cs="Arial"/>
      <w:sz w:val="20"/>
      <w:lang w:val="pl-PL"/>
    </w:rPr>
  </w:style>
  <w:style w:type="paragraph" w:customStyle="1" w:styleId="TableHeaderRow">
    <w:name w:val="Table Header Row"/>
    <w:basedOn w:val="Normal"/>
    <w:link w:val="TableHeaderRowChar"/>
    <w:uiPriority w:val="99"/>
    <w:unhideWhenUsed/>
    <w:rsid w:val="00D35D24"/>
    <w:pPr>
      <w:spacing w:before="120" w:after="120" w:line="240" w:lineRule="auto"/>
      <w:jc w:val="center"/>
    </w:pPr>
    <w:rPr>
      <w:rFonts w:ascii="Arial" w:hAnsi="Arial" w:cs="Arial"/>
      <w:b/>
      <w:sz w:val="20"/>
      <w:lang w:val="pl-PL"/>
    </w:rPr>
  </w:style>
  <w:style w:type="character" w:customStyle="1" w:styleId="TableHeaderRowChar">
    <w:name w:val="Table Header Row Char"/>
    <w:basedOn w:val="DefaultParagraphFont"/>
    <w:link w:val="TableHeaderRow"/>
    <w:uiPriority w:val="99"/>
    <w:rsid w:val="00D35D24"/>
    <w:rPr>
      <w:rFonts w:ascii="Arial" w:eastAsia="Calibri" w:hAnsi="Arial" w:cs="Arial"/>
      <w:b/>
      <w:sz w:val="20"/>
      <w:lang w:val="pl-PL"/>
    </w:rPr>
  </w:style>
  <w:style w:type="character" w:styleId="CommentReference">
    <w:name w:val="annotation reference"/>
    <w:basedOn w:val="DefaultParagraphFont"/>
    <w:uiPriority w:val="99"/>
    <w:unhideWhenUsed/>
    <w:rsid w:val="00D35D24"/>
    <w:rPr>
      <w:sz w:val="16"/>
      <w:szCs w:val="16"/>
    </w:rPr>
  </w:style>
  <w:style w:type="paragraph" w:customStyle="1" w:styleId="T-Text">
    <w:name w:val="T-Text"/>
    <w:basedOn w:val="Normal"/>
    <w:link w:val="T-TextChar"/>
    <w:uiPriority w:val="10"/>
    <w:qFormat/>
    <w:rsid w:val="009966CD"/>
    <w:pPr>
      <w:spacing w:before="60" w:after="60" w:line="240" w:lineRule="auto"/>
    </w:pPr>
    <w:rPr>
      <w:rFonts w:ascii="Arial" w:hAnsi="Arial" w:cs="Arial"/>
    </w:rPr>
  </w:style>
  <w:style w:type="paragraph" w:customStyle="1" w:styleId="T-Header">
    <w:name w:val="T-Header"/>
    <w:basedOn w:val="T-Text"/>
    <w:link w:val="T-HeaderChar"/>
    <w:uiPriority w:val="9"/>
    <w:qFormat/>
    <w:rsid w:val="009F43AE"/>
    <w:pPr>
      <w:spacing w:before="0" w:after="0"/>
    </w:pPr>
    <w:rPr>
      <w:b/>
    </w:rPr>
  </w:style>
  <w:style w:type="character" w:customStyle="1" w:styleId="T-TextChar">
    <w:name w:val="T-Text Char"/>
    <w:basedOn w:val="DefaultParagraphFont"/>
    <w:link w:val="T-Text"/>
    <w:uiPriority w:val="10"/>
    <w:rsid w:val="009966CD"/>
    <w:rPr>
      <w:rFonts w:ascii="Arial" w:hAnsi="Arial" w:cs="Arial"/>
    </w:rPr>
  </w:style>
  <w:style w:type="paragraph" w:customStyle="1" w:styleId="C-BulletList">
    <w:name w:val="C-Bullet List"/>
    <w:basedOn w:val="Content"/>
    <w:link w:val="C-BulletListChar"/>
    <w:uiPriority w:val="6"/>
    <w:qFormat/>
    <w:rsid w:val="00D35D24"/>
    <w:pPr>
      <w:numPr>
        <w:numId w:val="2"/>
      </w:numPr>
      <w:ind w:left="1440" w:hanging="720"/>
      <w:contextualSpacing/>
    </w:pPr>
  </w:style>
  <w:style w:type="character" w:customStyle="1" w:styleId="T-HeaderChar">
    <w:name w:val="T-Header Char"/>
    <w:basedOn w:val="T-TextChar"/>
    <w:link w:val="T-Header"/>
    <w:uiPriority w:val="9"/>
    <w:rsid w:val="009F43AE"/>
    <w:rPr>
      <w:rFonts w:ascii="Arial" w:hAnsi="Arial" w:cs="Arial"/>
      <w:b/>
    </w:rPr>
  </w:style>
  <w:style w:type="paragraph" w:customStyle="1" w:styleId="T-BulletList">
    <w:name w:val="T-Bullet List"/>
    <w:basedOn w:val="C-BulletList"/>
    <w:link w:val="T-BulletListChar"/>
    <w:uiPriority w:val="12"/>
    <w:qFormat/>
    <w:rsid w:val="00AE67AB"/>
    <w:pPr>
      <w:spacing w:before="0" w:after="0" w:line="240" w:lineRule="auto"/>
      <w:ind w:left="331" w:hanging="331"/>
    </w:pPr>
  </w:style>
  <w:style w:type="character" w:customStyle="1" w:styleId="C-BulletListChar">
    <w:name w:val="C-Bullet List Char"/>
    <w:basedOn w:val="ContentChar"/>
    <w:link w:val="C-BulletList"/>
    <w:uiPriority w:val="6"/>
    <w:rsid w:val="00D35D24"/>
    <w:rPr>
      <w:rFonts w:ascii="Arial" w:hAnsi="Arial" w:cs="Arial"/>
    </w:rPr>
  </w:style>
  <w:style w:type="character" w:customStyle="1" w:styleId="T-BulletListChar">
    <w:name w:val="T-Bullet List Char"/>
    <w:basedOn w:val="C-BulletListChar"/>
    <w:link w:val="T-BulletList"/>
    <w:uiPriority w:val="12"/>
    <w:rsid w:val="00AE67AB"/>
    <w:rPr>
      <w:rFonts w:ascii="Arial" w:hAnsi="Arial" w:cs="Arial"/>
    </w:rPr>
  </w:style>
  <w:style w:type="paragraph" w:customStyle="1" w:styleId="Figure">
    <w:name w:val="Figure"/>
    <w:basedOn w:val="Content"/>
    <w:link w:val="FigureChar"/>
    <w:uiPriority w:val="14"/>
    <w:qFormat/>
    <w:rsid w:val="00D35D24"/>
    <w:pPr>
      <w:keepNext/>
      <w:spacing w:after="0"/>
      <w:ind w:left="0"/>
      <w:jc w:val="center"/>
    </w:pPr>
  </w:style>
  <w:style w:type="character" w:customStyle="1" w:styleId="FigureChar">
    <w:name w:val="Figure Char"/>
    <w:basedOn w:val="ContentChar"/>
    <w:link w:val="Figure"/>
    <w:uiPriority w:val="14"/>
    <w:rsid w:val="00D35D24"/>
    <w:rPr>
      <w:rFonts w:ascii="Arial" w:hAnsi="Arial" w:cs="Arial"/>
    </w:rPr>
  </w:style>
  <w:style w:type="paragraph" w:customStyle="1" w:styleId="HeaderText">
    <w:name w:val="Header Text"/>
    <w:basedOn w:val="Normal"/>
    <w:link w:val="HeaderTextChar"/>
    <w:uiPriority w:val="99"/>
    <w:unhideWhenUsed/>
    <w:rsid w:val="00D35D24"/>
    <w:pPr>
      <w:tabs>
        <w:tab w:val="center" w:pos="4680"/>
        <w:tab w:val="right" w:pos="9360"/>
      </w:tabs>
      <w:spacing w:before="60" w:after="60" w:line="240" w:lineRule="auto"/>
      <w:jc w:val="center"/>
    </w:pPr>
    <w:rPr>
      <w:rFonts w:ascii="Arial" w:hAnsi="Arial"/>
      <w:b/>
      <w:bCs/>
      <w:caps/>
      <w:sz w:val="24"/>
    </w:rPr>
  </w:style>
  <w:style w:type="character" w:customStyle="1" w:styleId="HeaderTextChar">
    <w:name w:val="Header Text Char"/>
    <w:basedOn w:val="DefaultParagraphFont"/>
    <w:link w:val="HeaderText"/>
    <w:uiPriority w:val="99"/>
    <w:rsid w:val="00D35D24"/>
    <w:rPr>
      <w:rFonts w:ascii="Arial" w:hAnsi="Arial"/>
      <w:b/>
      <w:bCs/>
      <w:caps/>
      <w:sz w:val="24"/>
    </w:rPr>
  </w:style>
  <w:style w:type="paragraph" w:customStyle="1" w:styleId="C-NoSpacing">
    <w:name w:val="C-No Spacing"/>
    <w:basedOn w:val="Content"/>
    <w:uiPriority w:val="5"/>
    <w:qFormat/>
    <w:rsid w:val="00D35D24"/>
    <w:pPr>
      <w:contextualSpacing/>
    </w:pPr>
  </w:style>
  <w:style w:type="paragraph" w:customStyle="1" w:styleId="C-NumberedList">
    <w:name w:val="C-Numbered List"/>
    <w:basedOn w:val="Content"/>
    <w:link w:val="C-NumberedListChar"/>
    <w:uiPriority w:val="7"/>
    <w:qFormat/>
    <w:rsid w:val="00D3446B"/>
    <w:pPr>
      <w:tabs>
        <w:tab w:val="num" w:pos="720"/>
      </w:tabs>
      <w:ind w:hanging="720"/>
      <w:contextualSpacing/>
    </w:pPr>
    <w:rPr>
      <w:b/>
      <w:sz w:val="24"/>
    </w:rPr>
  </w:style>
  <w:style w:type="paragraph" w:customStyle="1" w:styleId="T-NoSpacing">
    <w:name w:val="T-No Spacing"/>
    <w:basedOn w:val="C-NoSpacing"/>
    <w:uiPriority w:val="11"/>
    <w:qFormat/>
    <w:rsid w:val="00D35D24"/>
    <w:pPr>
      <w:spacing w:line="240" w:lineRule="auto"/>
      <w:ind w:left="101"/>
      <w:jc w:val="center"/>
    </w:pPr>
    <w:rPr>
      <w:sz w:val="20"/>
    </w:rPr>
  </w:style>
  <w:style w:type="character" w:customStyle="1" w:styleId="C-NumberedListChar">
    <w:name w:val="C-Numbered List Char"/>
    <w:basedOn w:val="ContentChar"/>
    <w:link w:val="C-NumberedList"/>
    <w:uiPriority w:val="7"/>
    <w:rsid w:val="00D3446B"/>
    <w:rPr>
      <w:rFonts w:ascii="Arial" w:hAnsi="Arial" w:cs="Arial"/>
      <w:b/>
      <w:sz w:val="24"/>
    </w:rPr>
  </w:style>
  <w:style w:type="paragraph" w:styleId="TOC1">
    <w:name w:val="toc 1"/>
    <w:basedOn w:val="Normal"/>
    <w:next w:val="Normal"/>
    <w:autoRedefine/>
    <w:uiPriority w:val="99"/>
    <w:unhideWhenUsed/>
    <w:rsid w:val="00D35D24"/>
    <w:pPr>
      <w:tabs>
        <w:tab w:val="left" w:pos="720"/>
        <w:tab w:val="right" w:leader="dot" w:pos="9060"/>
      </w:tabs>
      <w:spacing w:before="120" w:after="0" w:line="240" w:lineRule="auto"/>
    </w:pPr>
    <w:rPr>
      <w:rFonts w:ascii="Century Gothic" w:eastAsia="Times New Roman" w:hAnsi="Century Gothic" w:cs="Times New Roman"/>
      <w:b/>
      <w:i/>
      <w:lang w:val="en-GB" w:eastAsia="de-AT"/>
    </w:rPr>
  </w:style>
  <w:style w:type="paragraph" w:styleId="TOC2">
    <w:name w:val="toc 2"/>
    <w:basedOn w:val="Normal"/>
    <w:next w:val="Normal"/>
    <w:autoRedefine/>
    <w:uiPriority w:val="99"/>
    <w:unhideWhenUsed/>
    <w:rsid w:val="00D35D24"/>
    <w:pPr>
      <w:spacing w:before="120" w:after="0" w:line="240" w:lineRule="auto"/>
      <w:ind w:left="240"/>
    </w:pPr>
    <w:rPr>
      <w:rFonts w:eastAsia="Times New Roman" w:cs="Times New Roman"/>
      <w:bCs/>
      <w:lang w:eastAsia="de-AT"/>
    </w:rPr>
  </w:style>
  <w:style w:type="paragraph" w:styleId="TOC3">
    <w:name w:val="toc 3"/>
    <w:basedOn w:val="Normal"/>
    <w:next w:val="Normal"/>
    <w:autoRedefine/>
    <w:uiPriority w:val="99"/>
    <w:unhideWhenUsed/>
    <w:rsid w:val="00D35D24"/>
    <w:pPr>
      <w:tabs>
        <w:tab w:val="num" w:pos="720"/>
        <w:tab w:val="left" w:pos="1080"/>
        <w:tab w:val="left" w:pos="1440"/>
        <w:tab w:val="right" w:leader="dot" w:pos="9000"/>
      </w:tabs>
      <w:spacing w:after="0" w:line="240" w:lineRule="auto"/>
      <w:ind w:left="1210" w:hanging="720"/>
      <w:jc w:val="both"/>
    </w:pPr>
    <w:rPr>
      <w:rFonts w:eastAsia="Times New Roman" w:cs="Times New Roman"/>
      <w:szCs w:val="20"/>
      <w:lang w:eastAsia="de-AT"/>
    </w:rPr>
  </w:style>
  <w:style w:type="character" w:styleId="Hyperlink">
    <w:name w:val="Hyperlink"/>
    <w:basedOn w:val="DefaultParagraphFont"/>
    <w:uiPriority w:val="99"/>
    <w:unhideWhenUsed/>
    <w:rsid w:val="00D35D24"/>
    <w:rPr>
      <w:color w:val="0000FF"/>
      <w:u w:val="single"/>
    </w:rPr>
  </w:style>
  <w:style w:type="paragraph" w:styleId="BalloonText">
    <w:name w:val="Balloon Text"/>
    <w:basedOn w:val="Normal"/>
    <w:link w:val="BalloonTextChar"/>
    <w:uiPriority w:val="99"/>
    <w:semiHidden/>
    <w:rsid w:val="00D35D24"/>
    <w:pPr>
      <w:spacing w:after="0" w:line="240" w:lineRule="auto"/>
    </w:pPr>
    <w:rPr>
      <w:rFonts w:ascii="Tahoma" w:eastAsia="Times New Roman" w:hAnsi="Tahoma" w:cs="Tahoma"/>
      <w:sz w:val="16"/>
      <w:szCs w:val="16"/>
      <w:lang w:eastAsia="de-AT"/>
    </w:rPr>
  </w:style>
  <w:style w:type="character" w:customStyle="1" w:styleId="BalloonTextChar">
    <w:name w:val="Balloon Text Char"/>
    <w:basedOn w:val="DefaultParagraphFont"/>
    <w:link w:val="BalloonText"/>
    <w:uiPriority w:val="99"/>
    <w:semiHidden/>
    <w:rsid w:val="00D35D24"/>
    <w:rPr>
      <w:rFonts w:ascii="Tahoma" w:eastAsia="Times New Roman" w:hAnsi="Tahoma" w:cs="Tahoma"/>
      <w:sz w:val="16"/>
      <w:szCs w:val="16"/>
      <w:lang w:eastAsia="de-AT"/>
    </w:rPr>
  </w:style>
  <w:style w:type="paragraph" w:styleId="TOCHeading">
    <w:name w:val="TOC Heading"/>
    <w:basedOn w:val="Heading1"/>
    <w:next w:val="Normal"/>
    <w:uiPriority w:val="99"/>
    <w:unhideWhenUsed/>
    <w:rsid w:val="00D35D24"/>
    <w:pPr>
      <w:keepNext w:val="0"/>
      <w:keepLines/>
      <w:tabs>
        <w:tab w:val="left" w:pos="720"/>
        <w:tab w:val="left" w:pos="1080"/>
        <w:tab w:val="left" w:pos="1440"/>
        <w:tab w:val="right" w:leader="dot" w:pos="9000"/>
      </w:tabs>
      <w:spacing w:before="480" w:after="0" w:line="276" w:lineRule="auto"/>
      <w:jc w:val="both"/>
      <w:outlineLvl w:val="9"/>
    </w:pPr>
    <w:rPr>
      <w:rFonts w:asciiTheme="majorHAnsi" w:eastAsiaTheme="majorEastAsia" w:hAnsiTheme="majorHAnsi" w:cstheme="majorBidi"/>
      <w:bCs w:val="0"/>
      <w:color w:val="2F5496" w:themeColor="accent1" w:themeShade="BF"/>
      <w:lang w:val="de-DE"/>
    </w:rPr>
  </w:style>
  <w:style w:type="paragraph" w:styleId="TOC4">
    <w:name w:val="toc 4"/>
    <w:basedOn w:val="Normal"/>
    <w:next w:val="Normal"/>
    <w:autoRedefine/>
    <w:uiPriority w:val="99"/>
    <w:unhideWhenUsed/>
    <w:rsid w:val="00D35D24"/>
    <w:pPr>
      <w:spacing w:after="0" w:line="240" w:lineRule="auto"/>
      <w:ind w:left="720"/>
    </w:pPr>
    <w:rPr>
      <w:rFonts w:eastAsia="Times New Roman" w:cs="Times New Roman"/>
      <w:sz w:val="20"/>
      <w:szCs w:val="20"/>
      <w:lang w:eastAsia="de-AT"/>
    </w:rPr>
  </w:style>
  <w:style w:type="paragraph" w:styleId="TOC5">
    <w:name w:val="toc 5"/>
    <w:basedOn w:val="Normal"/>
    <w:next w:val="Normal"/>
    <w:autoRedefine/>
    <w:uiPriority w:val="99"/>
    <w:unhideWhenUsed/>
    <w:rsid w:val="00D35D24"/>
    <w:pPr>
      <w:spacing w:after="0" w:line="240" w:lineRule="auto"/>
      <w:ind w:left="960"/>
    </w:pPr>
    <w:rPr>
      <w:rFonts w:eastAsia="Times New Roman" w:cs="Times New Roman"/>
      <w:sz w:val="20"/>
      <w:szCs w:val="20"/>
      <w:lang w:eastAsia="de-AT"/>
    </w:rPr>
  </w:style>
  <w:style w:type="paragraph" w:styleId="TOC6">
    <w:name w:val="toc 6"/>
    <w:basedOn w:val="Normal"/>
    <w:next w:val="Normal"/>
    <w:autoRedefine/>
    <w:uiPriority w:val="99"/>
    <w:unhideWhenUsed/>
    <w:rsid w:val="00D35D24"/>
    <w:pPr>
      <w:spacing w:after="0" w:line="240" w:lineRule="auto"/>
      <w:ind w:left="1200"/>
    </w:pPr>
    <w:rPr>
      <w:rFonts w:eastAsia="Times New Roman" w:cs="Times New Roman"/>
      <w:sz w:val="20"/>
      <w:szCs w:val="20"/>
      <w:lang w:eastAsia="de-AT"/>
    </w:rPr>
  </w:style>
  <w:style w:type="paragraph" w:styleId="TOC7">
    <w:name w:val="toc 7"/>
    <w:basedOn w:val="Normal"/>
    <w:next w:val="Normal"/>
    <w:autoRedefine/>
    <w:uiPriority w:val="99"/>
    <w:unhideWhenUsed/>
    <w:rsid w:val="00D35D24"/>
    <w:pPr>
      <w:spacing w:after="0" w:line="240" w:lineRule="auto"/>
      <w:ind w:left="1440"/>
    </w:pPr>
    <w:rPr>
      <w:rFonts w:eastAsia="Times New Roman" w:cs="Times New Roman"/>
      <w:sz w:val="20"/>
      <w:szCs w:val="20"/>
      <w:lang w:eastAsia="de-AT"/>
    </w:rPr>
  </w:style>
  <w:style w:type="paragraph" w:styleId="TOC8">
    <w:name w:val="toc 8"/>
    <w:basedOn w:val="Normal"/>
    <w:next w:val="Normal"/>
    <w:autoRedefine/>
    <w:uiPriority w:val="99"/>
    <w:unhideWhenUsed/>
    <w:rsid w:val="00D35D24"/>
    <w:pPr>
      <w:spacing w:after="0" w:line="240" w:lineRule="auto"/>
      <w:ind w:left="1680"/>
    </w:pPr>
    <w:rPr>
      <w:rFonts w:eastAsia="Times New Roman" w:cs="Times New Roman"/>
      <w:sz w:val="20"/>
      <w:szCs w:val="20"/>
      <w:lang w:eastAsia="de-AT"/>
    </w:rPr>
  </w:style>
  <w:style w:type="paragraph" w:styleId="TOC9">
    <w:name w:val="toc 9"/>
    <w:basedOn w:val="Normal"/>
    <w:next w:val="Normal"/>
    <w:autoRedefine/>
    <w:uiPriority w:val="99"/>
    <w:unhideWhenUsed/>
    <w:rsid w:val="00D35D24"/>
    <w:pPr>
      <w:spacing w:after="0" w:line="240" w:lineRule="auto"/>
      <w:ind w:left="1920"/>
    </w:pPr>
    <w:rPr>
      <w:rFonts w:eastAsia="Times New Roman" w:cs="Times New Roman"/>
      <w:sz w:val="20"/>
      <w:szCs w:val="20"/>
      <w:lang w:eastAsia="de-AT"/>
    </w:rPr>
  </w:style>
  <w:style w:type="paragraph" w:customStyle="1" w:styleId="englisch1">
    <w:name w:val="englisch1"/>
    <w:basedOn w:val="Normal"/>
    <w:uiPriority w:val="99"/>
    <w:semiHidden/>
    <w:rsid w:val="00D35D24"/>
    <w:pPr>
      <w:spacing w:after="0" w:line="240" w:lineRule="auto"/>
    </w:pPr>
    <w:rPr>
      <w:rFonts w:ascii="Arial" w:eastAsia="Times New Roman" w:hAnsi="Arial" w:cs="Times New Roman"/>
      <w:szCs w:val="20"/>
      <w:lang w:val="de-DE" w:eastAsia="de-DE"/>
    </w:rPr>
  </w:style>
  <w:style w:type="paragraph" w:styleId="Caption">
    <w:name w:val="caption"/>
    <w:basedOn w:val="Normal"/>
    <w:next w:val="Normal"/>
    <w:uiPriority w:val="99"/>
    <w:unhideWhenUsed/>
    <w:rsid w:val="00D35D24"/>
    <w:pPr>
      <w:spacing w:after="200" w:line="240" w:lineRule="auto"/>
      <w:jc w:val="center"/>
    </w:pPr>
    <w:rPr>
      <w:rFonts w:ascii="Arial" w:eastAsia="Times New Roman" w:hAnsi="Arial" w:cs="Arial"/>
      <w:b/>
      <w:bCs/>
      <w:lang w:eastAsia="de-AT"/>
    </w:rPr>
  </w:style>
  <w:style w:type="paragraph" w:styleId="Revision">
    <w:name w:val="Revision"/>
    <w:hidden/>
    <w:uiPriority w:val="99"/>
    <w:semiHidden/>
    <w:rsid w:val="00D35D24"/>
    <w:pPr>
      <w:spacing w:after="0" w:line="240" w:lineRule="auto"/>
    </w:pPr>
    <w:rPr>
      <w:rFonts w:ascii="Times New Roman" w:eastAsia="Times New Roman" w:hAnsi="Times New Roman" w:cs="Times New Roman"/>
      <w:sz w:val="24"/>
      <w:szCs w:val="24"/>
      <w:lang w:val="de-AT" w:eastAsia="de-AT"/>
    </w:rPr>
  </w:style>
  <w:style w:type="paragraph" w:styleId="Index1">
    <w:name w:val="index 1"/>
    <w:basedOn w:val="Normal"/>
    <w:next w:val="Normal"/>
    <w:autoRedefine/>
    <w:uiPriority w:val="99"/>
    <w:rsid w:val="00D35D24"/>
    <w:pPr>
      <w:tabs>
        <w:tab w:val="right" w:pos="9060"/>
      </w:tabs>
      <w:spacing w:after="0" w:line="240" w:lineRule="auto"/>
    </w:pPr>
    <w:rPr>
      <w:rFonts w:eastAsia="Times New Roman" w:cs="Times New Roman"/>
      <w:szCs w:val="20"/>
      <w:lang w:eastAsia="de-AT"/>
    </w:rPr>
  </w:style>
  <w:style w:type="paragraph" w:styleId="Index2">
    <w:name w:val="index 2"/>
    <w:basedOn w:val="Normal"/>
    <w:next w:val="Normal"/>
    <w:autoRedefine/>
    <w:uiPriority w:val="99"/>
    <w:unhideWhenUsed/>
    <w:rsid w:val="00D35D24"/>
    <w:pPr>
      <w:spacing w:after="0" w:line="240" w:lineRule="auto"/>
      <w:ind w:left="480" w:hanging="240"/>
    </w:pPr>
    <w:rPr>
      <w:rFonts w:eastAsia="Times New Roman" w:cs="Times New Roman"/>
      <w:sz w:val="20"/>
      <w:szCs w:val="20"/>
      <w:lang w:eastAsia="de-AT"/>
    </w:rPr>
  </w:style>
  <w:style w:type="paragraph" w:styleId="Index3">
    <w:name w:val="index 3"/>
    <w:basedOn w:val="Normal"/>
    <w:next w:val="Normal"/>
    <w:autoRedefine/>
    <w:uiPriority w:val="99"/>
    <w:unhideWhenUsed/>
    <w:rsid w:val="00D35D24"/>
    <w:pPr>
      <w:spacing w:after="0" w:line="240" w:lineRule="auto"/>
      <w:ind w:left="720" w:hanging="240"/>
    </w:pPr>
    <w:rPr>
      <w:rFonts w:eastAsia="Times New Roman" w:cs="Times New Roman"/>
      <w:sz w:val="20"/>
      <w:szCs w:val="20"/>
      <w:lang w:eastAsia="de-AT"/>
    </w:rPr>
  </w:style>
  <w:style w:type="paragraph" w:styleId="Index4">
    <w:name w:val="index 4"/>
    <w:basedOn w:val="Normal"/>
    <w:next w:val="Normal"/>
    <w:autoRedefine/>
    <w:uiPriority w:val="99"/>
    <w:unhideWhenUsed/>
    <w:rsid w:val="00D35D24"/>
    <w:pPr>
      <w:spacing w:after="0" w:line="240" w:lineRule="auto"/>
      <w:ind w:left="960" w:hanging="240"/>
    </w:pPr>
    <w:rPr>
      <w:rFonts w:eastAsia="Times New Roman" w:cs="Times New Roman"/>
      <w:sz w:val="20"/>
      <w:szCs w:val="20"/>
      <w:lang w:eastAsia="de-AT"/>
    </w:rPr>
  </w:style>
  <w:style w:type="paragraph" w:styleId="Index5">
    <w:name w:val="index 5"/>
    <w:basedOn w:val="Normal"/>
    <w:next w:val="Normal"/>
    <w:autoRedefine/>
    <w:uiPriority w:val="99"/>
    <w:unhideWhenUsed/>
    <w:rsid w:val="00D35D24"/>
    <w:pPr>
      <w:spacing w:after="0" w:line="240" w:lineRule="auto"/>
      <w:ind w:left="1200" w:hanging="240"/>
    </w:pPr>
    <w:rPr>
      <w:rFonts w:eastAsia="Times New Roman" w:cs="Times New Roman"/>
      <w:sz w:val="20"/>
      <w:szCs w:val="20"/>
      <w:lang w:eastAsia="de-AT"/>
    </w:rPr>
  </w:style>
  <w:style w:type="paragraph" w:styleId="Index6">
    <w:name w:val="index 6"/>
    <w:basedOn w:val="Normal"/>
    <w:next w:val="Normal"/>
    <w:autoRedefine/>
    <w:uiPriority w:val="99"/>
    <w:unhideWhenUsed/>
    <w:rsid w:val="00D35D24"/>
    <w:pPr>
      <w:spacing w:after="0" w:line="240" w:lineRule="auto"/>
      <w:ind w:left="1440" w:hanging="240"/>
    </w:pPr>
    <w:rPr>
      <w:rFonts w:eastAsia="Times New Roman" w:cs="Times New Roman"/>
      <w:sz w:val="20"/>
      <w:szCs w:val="20"/>
      <w:lang w:eastAsia="de-AT"/>
    </w:rPr>
  </w:style>
  <w:style w:type="paragraph" w:styleId="Index7">
    <w:name w:val="index 7"/>
    <w:basedOn w:val="Normal"/>
    <w:next w:val="Normal"/>
    <w:autoRedefine/>
    <w:uiPriority w:val="99"/>
    <w:unhideWhenUsed/>
    <w:rsid w:val="00D35D24"/>
    <w:pPr>
      <w:spacing w:after="0" w:line="240" w:lineRule="auto"/>
      <w:ind w:left="1680" w:hanging="240"/>
    </w:pPr>
    <w:rPr>
      <w:rFonts w:eastAsia="Times New Roman" w:cs="Times New Roman"/>
      <w:sz w:val="20"/>
      <w:szCs w:val="20"/>
      <w:lang w:eastAsia="de-AT"/>
    </w:rPr>
  </w:style>
  <w:style w:type="paragraph" w:styleId="Index8">
    <w:name w:val="index 8"/>
    <w:basedOn w:val="Normal"/>
    <w:next w:val="Normal"/>
    <w:autoRedefine/>
    <w:uiPriority w:val="99"/>
    <w:unhideWhenUsed/>
    <w:rsid w:val="00D35D24"/>
    <w:pPr>
      <w:spacing w:after="0" w:line="240" w:lineRule="auto"/>
      <w:ind w:left="1920" w:hanging="240"/>
    </w:pPr>
    <w:rPr>
      <w:rFonts w:eastAsia="Times New Roman" w:cs="Times New Roman"/>
      <w:sz w:val="20"/>
      <w:szCs w:val="20"/>
      <w:lang w:eastAsia="de-AT"/>
    </w:rPr>
  </w:style>
  <w:style w:type="paragraph" w:styleId="Index9">
    <w:name w:val="index 9"/>
    <w:basedOn w:val="Normal"/>
    <w:next w:val="Normal"/>
    <w:autoRedefine/>
    <w:uiPriority w:val="99"/>
    <w:unhideWhenUsed/>
    <w:rsid w:val="00D35D24"/>
    <w:pPr>
      <w:spacing w:after="0" w:line="240" w:lineRule="auto"/>
      <w:ind w:left="2160" w:hanging="240"/>
    </w:pPr>
    <w:rPr>
      <w:rFonts w:eastAsia="Times New Roman" w:cs="Times New Roman"/>
      <w:sz w:val="20"/>
      <w:szCs w:val="20"/>
      <w:lang w:eastAsia="de-AT"/>
    </w:rPr>
  </w:style>
  <w:style w:type="paragraph" w:styleId="IndexHeading">
    <w:name w:val="index heading"/>
    <w:basedOn w:val="Normal"/>
    <w:next w:val="Index1"/>
    <w:uiPriority w:val="99"/>
    <w:rsid w:val="00D35D24"/>
    <w:pPr>
      <w:spacing w:after="0" w:line="240" w:lineRule="auto"/>
    </w:pPr>
    <w:rPr>
      <w:rFonts w:eastAsia="Times New Roman" w:cs="Times New Roman"/>
      <w:sz w:val="20"/>
      <w:szCs w:val="20"/>
      <w:lang w:eastAsia="de-AT"/>
    </w:rPr>
  </w:style>
  <w:style w:type="paragraph" w:styleId="EndnoteText">
    <w:name w:val="endnote text"/>
    <w:basedOn w:val="Normal"/>
    <w:link w:val="EndnoteTextChar"/>
    <w:uiPriority w:val="99"/>
    <w:semiHidden/>
    <w:rsid w:val="00D35D24"/>
    <w:pPr>
      <w:spacing w:after="0" w:line="240" w:lineRule="auto"/>
    </w:pPr>
    <w:rPr>
      <w:rFonts w:ascii="Arial" w:eastAsia="Times New Roman" w:hAnsi="Arial" w:cs="Times New Roman"/>
      <w:sz w:val="20"/>
      <w:szCs w:val="20"/>
      <w:lang w:eastAsia="de-AT"/>
    </w:rPr>
  </w:style>
  <w:style w:type="character" w:customStyle="1" w:styleId="EndnoteTextChar">
    <w:name w:val="Endnote Text Char"/>
    <w:basedOn w:val="DefaultParagraphFont"/>
    <w:link w:val="EndnoteText"/>
    <w:uiPriority w:val="99"/>
    <w:semiHidden/>
    <w:rsid w:val="00D35D24"/>
    <w:rPr>
      <w:rFonts w:ascii="Arial" w:eastAsia="Times New Roman" w:hAnsi="Arial" w:cs="Times New Roman"/>
      <w:sz w:val="20"/>
      <w:szCs w:val="20"/>
      <w:lang w:eastAsia="de-AT"/>
    </w:rPr>
  </w:style>
  <w:style w:type="character" w:styleId="EndnoteReference">
    <w:name w:val="endnote reference"/>
    <w:basedOn w:val="DefaultParagraphFont"/>
    <w:uiPriority w:val="99"/>
    <w:semiHidden/>
    <w:rsid w:val="00D35D24"/>
    <w:rPr>
      <w:vertAlign w:val="superscript"/>
    </w:rPr>
  </w:style>
  <w:style w:type="paragraph" w:styleId="DocumentMap">
    <w:name w:val="Document Map"/>
    <w:basedOn w:val="Normal"/>
    <w:link w:val="DocumentMapChar"/>
    <w:uiPriority w:val="99"/>
    <w:semiHidden/>
    <w:rsid w:val="00D35D24"/>
    <w:pPr>
      <w:spacing w:after="0" w:line="240" w:lineRule="auto"/>
    </w:pPr>
    <w:rPr>
      <w:rFonts w:ascii="Tahoma" w:eastAsia="Times New Roman" w:hAnsi="Tahoma" w:cs="Tahoma"/>
      <w:sz w:val="16"/>
      <w:szCs w:val="16"/>
      <w:lang w:eastAsia="de-AT"/>
    </w:rPr>
  </w:style>
  <w:style w:type="character" w:customStyle="1" w:styleId="DocumentMapChar">
    <w:name w:val="Document Map Char"/>
    <w:basedOn w:val="DefaultParagraphFont"/>
    <w:link w:val="DocumentMap"/>
    <w:uiPriority w:val="99"/>
    <w:semiHidden/>
    <w:rsid w:val="00D35D24"/>
    <w:rPr>
      <w:rFonts w:ascii="Tahoma" w:eastAsia="Times New Roman" w:hAnsi="Tahoma" w:cs="Tahoma"/>
      <w:sz w:val="16"/>
      <w:szCs w:val="16"/>
      <w:lang w:eastAsia="de-AT"/>
    </w:rPr>
  </w:style>
  <w:style w:type="paragraph" w:customStyle="1" w:styleId="Default">
    <w:name w:val="Default"/>
    <w:uiPriority w:val="99"/>
    <w:semiHidden/>
    <w:rsid w:val="00D35D24"/>
    <w:pPr>
      <w:autoSpaceDE w:val="0"/>
      <w:autoSpaceDN w:val="0"/>
      <w:adjustRightInd w:val="0"/>
      <w:spacing w:after="0" w:line="240" w:lineRule="auto"/>
    </w:pPr>
    <w:rPr>
      <w:rFonts w:ascii="Century Gothic" w:eastAsia="Times New Roman" w:hAnsi="Century Gothic" w:cs="Century Gothic"/>
      <w:color w:val="000000"/>
      <w:sz w:val="24"/>
      <w:szCs w:val="24"/>
      <w:lang w:val="pl-PL" w:eastAsia="de-AT"/>
    </w:rPr>
  </w:style>
  <w:style w:type="paragraph" w:customStyle="1" w:styleId="BodyText1Lucy">
    <w:name w:val="Body Text 1 Lucy"/>
    <w:basedOn w:val="Normal"/>
    <w:link w:val="BodyText1LucyChar"/>
    <w:uiPriority w:val="99"/>
    <w:semiHidden/>
    <w:rsid w:val="00D35D24"/>
    <w:pPr>
      <w:spacing w:after="0" w:line="240" w:lineRule="auto"/>
    </w:pPr>
    <w:rPr>
      <w:rFonts w:ascii="Arial" w:eastAsia="Times New Roman" w:hAnsi="Arial" w:cs="Arial"/>
      <w:color w:val="FF0000"/>
      <w:szCs w:val="20"/>
    </w:rPr>
  </w:style>
  <w:style w:type="character" w:customStyle="1" w:styleId="BodyText1LucyChar">
    <w:name w:val="Body Text 1 Lucy Char"/>
    <w:basedOn w:val="DefaultParagraphFont"/>
    <w:link w:val="BodyText1Lucy"/>
    <w:uiPriority w:val="99"/>
    <w:semiHidden/>
    <w:rsid w:val="00D35D24"/>
    <w:rPr>
      <w:rFonts w:ascii="Arial" w:eastAsia="Times New Roman" w:hAnsi="Arial" w:cs="Arial"/>
      <w:color w:val="FF0000"/>
      <w:szCs w:val="20"/>
    </w:rPr>
  </w:style>
  <w:style w:type="paragraph" w:customStyle="1" w:styleId="BodyText3Lucy">
    <w:name w:val="Body Text 3 Lucy"/>
    <w:basedOn w:val="Normal"/>
    <w:link w:val="BodyText3LucyChar"/>
    <w:uiPriority w:val="99"/>
    <w:semiHidden/>
    <w:rsid w:val="00D35D24"/>
    <w:pPr>
      <w:spacing w:after="0" w:line="240" w:lineRule="auto"/>
    </w:pPr>
    <w:rPr>
      <w:rFonts w:ascii="Arial" w:eastAsia="Times New Roman" w:hAnsi="Arial" w:cs="Arial"/>
      <w:color w:val="000000"/>
      <w:szCs w:val="20"/>
    </w:rPr>
  </w:style>
  <w:style w:type="character" w:customStyle="1" w:styleId="BodyText3LucyChar">
    <w:name w:val="Body Text 3 Lucy Char"/>
    <w:basedOn w:val="DefaultParagraphFont"/>
    <w:link w:val="BodyText3Lucy"/>
    <w:uiPriority w:val="99"/>
    <w:semiHidden/>
    <w:rsid w:val="00D35D24"/>
    <w:rPr>
      <w:rFonts w:ascii="Arial" w:eastAsia="Times New Roman" w:hAnsi="Arial" w:cs="Arial"/>
      <w:color w:val="000000"/>
      <w:szCs w:val="20"/>
    </w:rPr>
  </w:style>
  <w:style w:type="character" w:styleId="PageNumber">
    <w:name w:val="page number"/>
    <w:basedOn w:val="DefaultParagraphFont"/>
    <w:uiPriority w:val="99"/>
    <w:unhideWhenUsed/>
    <w:rsid w:val="00D35D24"/>
  </w:style>
  <w:style w:type="paragraph" w:styleId="BodyText">
    <w:name w:val="Body Text"/>
    <w:basedOn w:val="Normal"/>
    <w:link w:val="BodyTextChar"/>
    <w:uiPriority w:val="99"/>
    <w:semiHidden/>
    <w:rsid w:val="00D35D24"/>
    <w:pPr>
      <w:widowControl w:val="0"/>
      <w:spacing w:after="0" w:line="240" w:lineRule="auto"/>
      <w:ind w:left="220"/>
    </w:pPr>
    <w:rPr>
      <w:rFonts w:ascii="Arial" w:eastAsia="Arial" w:hAnsi="Arial"/>
    </w:rPr>
  </w:style>
  <w:style w:type="character" w:customStyle="1" w:styleId="BodyTextChar">
    <w:name w:val="Body Text Char"/>
    <w:basedOn w:val="DefaultParagraphFont"/>
    <w:link w:val="BodyText"/>
    <w:uiPriority w:val="99"/>
    <w:semiHidden/>
    <w:rsid w:val="00D35D24"/>
    <w:rPr>
      <w:rFonts w:ascii="Arial" w:eastAsia="Arial" w:hAnsi="Arial"/>
    </w:rPr>
  </w:style>
  <w:style w:type="paragraph" w:customStyle="1" w:styleId="TableParagraph">
    <w:name w:val="Table Paragraph"/>
    <w:basedOn w:val="Normal"/>
    <w:uiPriority w:val="99"/>
    <w:unhideWhenUsed/>
    <w:rsid w:val="00D35D24"/>
    <w:pPr>
      <w:widowControl w:val="0"/>
      <w:spacing w:after="0" w:line="240" w:lineRule="auto"/>
    </w:pPr>
  </w:style>
  <w:style w:type="paragraph" w:customStyle="1" w:styleId="CM4">
    <w:name w:val="CM4"/>
    <w:basedOn w:val="Normal"/>
    <w:next w:val="Normal"/>
    <w:uiPriority w:val="99"/>
    <w:unhideWhenUsed/>
    <w:rsid w:val="00D35D24"/>
    <w:pPr>
      <w:autoSpaceDE w:val="0"/>
      <w:autoSpaceDN w:val="0"/>
      <w:adjustRightInd w:val="0"/>
      <w:spacing w:after="0" w:line="240" w:lineRule="auto"/>
    </w:pPr>
    <w:rPr>
      <w:rFonts w:ascii="Arial" w:hAnsi="Arial" w:cs="Times New Roman"/>
      <w:szCs w:val="24"/>
    </w:rPr>
  </w:style>
  <w:style w:type="paragraph" w:customStyle="1" w:styleId="BayerBodyTextFull">
    <w:name w:val="Bayer Body Text Full"/>
    <w:basedOn w:val="Normal"/>
    <w:link w:val="BayerBodyTextFullZchn"/>
    <w:uiPriority w:val="99"/>
    <w:semiHidden/>
    <w:rsid w:val="00D35D24"/>
    <w:pPr>
      <w:spacing w:before="120" w:after="120" w:line="240" w:lineRule="auto"/>
    </w:pPr>
    <w:rPr>
      <w:rFonts w:ascii="Arial" w:eastAsia="Times New Roman" w:hAnsi="Arial" w:cs="Times New Roman"/>
      <w:szCs w:val="20"/>
    </w:rPr>
  </w:style>
  <w:style w:type="character" w:customStyle="1" w:styleId="BayerBodyTextFullZchn">
    <w:name w:val="Bayer Body Text Full Zchn"/>
    <w:link w:val="BayerBodyTextFull"/>
    <w:uiPriority w:val="99"/>
    <w:semiHidden/>
    <w:rsid w:val="00D35D24"/>
    <w:rPr>
      <w:rFonts w:ascii="Arial" w:eastAsia="Times New Roman" w:hAnsi="Arial" w:cs="Times New Roman"/>
      <w:szCs w:val="20"/>
    </w:rPr>
  </w:style>
  <w:style w:type="character" w:styleId="PlaceholderText">
    <w:name w:val="Placeholder Text"/>
    <w:basedOn w:val="DefaultParagraphFont"/>
    <w:uiPriority w:val="99"/>
    <w:semiHidden/>
    <w:rsid w:val="00D35D24"/>
    <w:rPr>
      <w:color w:val="808080"/>
    </w:rPr>
  </w:style>
  <w:style w:type="paragraph" w:customStyle="1" w:styleId="p8">
    <w:name w:val="p8"/>
    <w:basedOn w:val="Normal"/>
    <w:uiPriority w:val="99"/>
    <w:unhideWhenUsed/>
    <w:rsid w:val="00D35D24"/>
    <w:pPr>
      <w:widowControl w:val="0"/>
      <w:tabs>
        <w:tab w:val="left" w:pos="204"/>
      </w:tabs>
      <w:autoSpaceDE w:val="0"/>
      <w:autoSpaceDN w:val="0"/>
      <w:adjustRightInd w:val="0"/>
      <w:spacing w:after="0" w:line="240" w:lineRule="auto"/>
    </w:pPr>
    <w:rPr>
      <w:rFonts w:ascii="Arial" w:eastAsia="Times New Roman" w:hAnsi="Arial" w:cs="Times New Roman"/>
      <w:szCs w:val="24"/>
    </w:rPr>
  </w:style>
  <w:style w:type="paragraph" w:styleId="NormalWeb">
    <w:name w:val="Normal (Web)"/>
    <w:basedOn w:val="Normal"/>
    <w:uiPriority w:val="99"/>
    <w:unhideWhenUsed/>
    <w:rsid w:val="00D35D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
    <w:name w:val="Bullet"/>
    <w:basedOn w:val="Normal"/>
    <w:uiPriority w:val="99"/>
    <w:semiHidden/>
    <w:rsid w:val="00D35D24"/>
    <w:pPr>
      <w:spacing w:after="0" w:line="240" w:lineRule="auto"/>
      <w:ind w:left="720" w:hanging="720"/>
    </w:pPr>
    <w:rPr>
      <w:rFonts w:ascii="New York" w:eastAsia="Times New Roman" w:hAnsi="New York" w:cs="Times New Roman"/>
      <w:sz w:val="20"/>
      <w:szCs w:val="20"/>
    </w:rPr>
  </w:style>
  <w:style w:type="character" w:customStyle="1" w:styleId="FootnoteTextChar">
    <w:name w:val="Footnote Text Char"/>
    <w:basedOn w:val="DefaultParagraphFont"/>
    <w:link w:val="FootnoteText"/>
    <w:uiPriority w:val="99"/>
    <w:semiHidden/>
    <w:rsid w:val="00D35D24"/>
  </w:style>
  <w:style w:type="paragraph" w:styleId="FootnoteText">
    <w:name w:val="footnote text"/>
    <w:basedOn w:val="Normal"/>
    <w:link w:val="FootnoteTextChar"/>
    <w:uiPriority w:val="99"/>
    <w:semiHidden/>
    <w:rsid w:val="00D35D24"/>
    <w:pPr>
      <w:spacing w:after="0" w:line="240" w:lineRule="auto"/>
    </w:pPr>
  </w:style>
  <w:style w:type="character" w:customStyle="1" w:styleId="FootnoteTextChar1">
    <w:name w:val="Footnote Text Char1"/>
    <w:basedOn w:val="DefaultParagraphFont"/>
    <w:uiPriority w:val="99"/>
    <w:semiHidden/>
    <w:rsid w:val="00D35D24"/>
    <w:rPr>
      <w:sz w:val="20"/>
      <w:szCs w:val="20"/>
    </w:rPr>
  </w:style>
  <w:style w:type="character" w:styleId="FollowedHyperlink">
    <w:name w:val="FollowedHyperlink"/>
    <w:uiPriority w:val="99"/>
    <w:semiHidden/>
    <w:rsid w:val="00D35D24"/>
    <w:rPr>
      <w:color w:val="800080"/>
      <w:u w:val="single"/>
    </w:rPr>
  </w:style>
  <w:style w:type="paragraph" w:styleId="BodyTextIndent">
    <w:name w:val="Body Text Indent"/>
    <w:basedOn w:val="Normal"/>
    <w:link w:val="BodyTextIndentChar"/>
    <w:uiPriority w:val="99"/>
    <w:semiHidden/>
    <w:rsid w:val="00D35D24"/>
    <w:pPr>
      <w:spacing w:after="0" w:line="240" w:lineRule="auto"/>
      <w:ind w:left="720" w:hanging="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semiHidden/>
    <w:rsid w:val="00D35D24"/>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rsid w:val="00D35D24"/>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semiHidden/>
    <w:rsid w:val="00D35D24"/>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semiHidden/>
    <w:rsid w:val="00D35D24"/>
    <w:pPr>
      <w:spacing w:after="0" w:line="240" w:lineRule="auto"/>
      <w:ind w:firstLine="72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uiPriority w:val="99"/>
    <w:semiHidden/>
    <w:rsid w:val="00D35D24"/>
    <w:rPr>
      <w:rFonts w:ascii="Times New Roman" w:eastAsia="Times New Roman" w:hAnsi="Times New Roman" w:cs="Times New Roman"/>
      <w:sz w:val="24"/>
      <w:szCs w:val="20"/>
    </w:rPr>
  </w:style>
  <w:style w:type="paragraph" w:customStyle="1" w:styleId="NormalWeb1">
    <w:name w:val="Normal (Web)1"/>
    <w:basedOn w:val="Normal"/>
    <w:uiPriority w:val="99"/>
    <w:unhideWhenUsed/>
    <w:rsid w:val="00D35D24"/>
    <w:pPr>
      <w:spacing w:before="300" w:after="300" w:line="300" w:lineRule="atLeast"/>
    </w:pPr>
    <w:rPr>
      <w:rFonts w:ascii="Times New Roman" w:eastAsia="Times New Roman" w:hAnsi="Times New Roman" w:cs="Times New Roman"/>
      <w:color w:val="666666"/>
      <w:sz w:val="20"/>
      <w:szCs w:val="20"/>
    </w:rPr>
  </w:style>
  <w:style w:type="character" w:customStyle="1" w:styleId="glossdef1">
    <w:name w:val="gloss_def1"/>
    <w:uiPriority w:val="99"/>
    <w:semiHidden/>
    <w:rsid w:val="00D35D24"/>
    <w:rPr>
      <w:rFonts w:ascii="Arial" w:hAnsi="Arial" w:cs="Arial" w:hint="default"/>
      <w:i w:val="0"/>
      <w:iCs w:val="0"/>
      <w:strike w:val="0"/>
      <w:dstrike w:val="0"/>
      <w:vanish/>
      <w:webHidden w:val="0"/>
      <w:color w:val="6F6F6F"/>
      <w:sz w:val="18"/>
      <w:szCs w:val="18"/>
      <w:u w:val="none"/>
      <w:effect w:val="none"/>
      <w:shd w:val="clear" w:color="auto" w:fill="FFFFFF"/>
      <w:specVanish w:val="0"/>
    </w:rPr>
  </w:style>
  <w:style w:type="character" w:customStyle="1" w:styleId="deftop2">
    <w:name w:val="def_top2"/>
    <w:uiPriority w:val="99"/>
    <w:semiHidden/>
    <w:rsid w:val="00D35D24"/>
    <w:rPr>
      <w:rFonts w:ascii="Arial" w:hAnsi="Arial" w:cs="Arial" w:hint="default"/>
      <w:i w:val="0"/>
      <w:iCs w:val="0"/>
      <w:strike w:val="0"/>
      <w:dstrike w:val="0"/>
      <w:vanish w:val="0"/>
      <w:webHidden w:val="0"/>
      <w:color w:val="6F6F6F"/>
      <w:sz w:val="18"/>
      <w:szCs w:val="18"/>
      <w:u w:val="none"/>
      <w:effect w:val="none"/>
      <w:shd w:val="clear" w:color="auto" w:fill="FFFFFF"/>
      <w:specVanish w:val="0"/>
    </w:rPr>
  </w:style>
  <w:style w:type="character" w:customStyle="1" w:styleId="definition2">
    <w:name w:val="definition2"/>
    <w:uiPriority w:val="99"/>
    <w:semiHidden/>
    <w:rsid w:val="00D35D24"/>
    <w:rPr>
      <w:rFonts w:ascii="Arial" w:hAnsi="Arial" w:cs="Arial" w:hint="default"/>
      <w:b w:val="0"/>
      <w:bCs w:val="0"/>
      <w:i w:val="0"/>
      <w:iCs w:val="0"/>
      <w:caps w:val="0"/>
      <w:strike w:val="0"/>
      <w:dstrike w:val="0"/>
      <w:vanish w:val="0"/>
      <w:webHidden w:val="0"/>
      <w:color w:val="6F6F6F"/>
      <w:sz w:val="18"/>
      <w:szCs w:val="18"/>
      <w:u w:val="none"/>
      <w:effect w:val="none"/>
      <w:shd w:val="clear" w:color="auto" w:fill="FFFFFF"/>
      <w:specVanish w:val="0"/>
    </w:rPr>
  </w:style>
  <w:style w:type="character" w:customStyle="1" w:styleId="term2">
    <w:name w:val="term2"/>
    <w:uiPriority w:val="99"/>
    <w:unhideWhenUsed/>
    <w:rsid w:val="00D35D24"/>
    <w:rPr>
      <w:rFonts w:ascii="Arial" w:hAnsi="Arial" w:cs="Arial" w:hint="default"/>
      <w:b/>
      <w:bCs/>
      <w:i w:val="0"/>
      <w:iCs w:val="0"/>
      <w:caps w:val="0"/>
      <w:strike w:val="0"/>
      <w:dstrike w:val="0"/>
      <w:vanish w:val="0"/>
      <w:webHidden w:val="0"/>
      <w:color w:val="6F6F6F"/>
      <w:sz w:val="18"/>
      <w:szCs w:val="18"/>
      <w:u w:val="none"/>
      <w:effect w:val="none"/>
      <w:shd w:val="clear" w:color="auto" w:fill="FFFFFF"/>
      <w:specVanish w:val="0"/>
    </w:rPr>
  </w:style>
  <w:style w:type="character" w:customStyle="1" w:styleId="defbottom2">
    <w:name w:val="def_bottom2"/>
    <w:uiPriority w:val="99"/>
    <w:semiHidden/>
    <w:rsid w:val="00D35D24"/>
    <w:rPr>
      <w:rFonts w:ascii="Arial" w:hAnsi="Arial" w:cs="Arial" w:hint="default"/>
      <w:i w:val="0"/>
      <w:iCs w:val="0"/>
      <w:strike w:val="0"/>
      <w:dstrike w:val="0"/>
      <w:vanish w:val="0"/>
      <w:webHidden w:val="0"/>
      <w:color w:val="6F6F6F"/>
      <w:sz w:val="18"/>
      <w:szCs w:val="18"/>
      <w:u w:val="none"/>
      <w:effect w:val="none"/>
      <w:shd w:val="clear" w:color="auto" w:fill="FFFFFF"/>
      <w:specVanish w:val="0"/>
    </w:rPr>
  </w:style>
  <w:style w:type="character" w:customStyle="1" w:styleId="Salutation1">
    <w:name w:val="Salutation1"/>
    <w:basedOn w:val="DefaultParagraphFont"/>
    <w:uiPriority w:val="99"/>
    <w:unhideWhenUsed/>
    <w:rsid w:val="00D35D24"/>
  </w:style>
  <w:style w:type="paragraph" w:customStyle="1" w:styleId="Legal1">
    <w:name w:val="Legal 1"/>
    <w:basedOn w:val="Normal"/>
    <w:uiPriority w:val="99"/>
    <w:unhideWhenUsed/>
    <w:rsid w:val="00D35D24"/>
    <w:pPr>
      <w:tabs>
        <w:tab w:val="num" w:pos="720"/>
        <w:tab w:val="num" w:pos="1440"/>
      </w:tabs>
      <w:snapToGrid w:val="0"/>
      <w:spacing w:after="0" w:line="240" w:lineRule="auto"/>
      <w:ind w:left="720" w:hanging="720"/>
    </w:pPr>
    <w:rPr>
      <w:rFonts w:ascii="Arial" w:hAnsi="Arial" w:cs="Arial"/>
    </w:rPr>
  </w:style>
  <w:style w:type="paragraph" w:customStyle="1" w:styleId="Legal2">
    <w:name w:val="Legal 2"/>
    <w:basedOn w:val="Normal"/>
    <w:uiPriority w:val="99"/>
    <w:unhideWhenUsed/>
    <w:rsid w:val="00D35D24"/>
    <w:pPr>
      <w:tabs>
        <w:tab w:val="num" w:pos="1440"/>
      </w:tabs>
      <w:snapToGrid w:val="0"/>
      <w:spacing w:after="0" w:line="240" w:lineRule="auto"/>
      <w:ind w:left="1440" w:hanging="720"/>
    </w:pPr>
    <w:rPr>
      <w:rFonts w:ascii="Arial" w:hAnsi="Arial" w:cs="Arial"/>
    </w:rPr>
  </w:style>
  <w:style w:type="paragraph" w:customStyle="1" w:styleId="Legal3">
    <w:name w:val="Legal 3"/>
    <w:basedOn w:val="Normal"/>
    <w:uiPriority w:val="99"/>
    <w:unhideWhenUsed/>
    <w:rsid w:val="00D35D24"/>
    <w:pPr>
      <w:tabs>
        <w:tab w:val="num" w:pos="2304"/>
      </w:tabs>
      <w:snapToGrid w:val="0"/>
      <w:spacing w:after="0" w:line="240" w:lineRule="auto"/>
      <w:ind w:left="2340" w:hanging="900"/>
    </w:pPr>
    <w:rPr>
      <w:rFonts w:ascii="Arial" w:hAnsi="Arial" w:cs="Arial"/>
    </w:rPr>
  </w:style>
  <w:style w:type="character" w:customStyle="1" w:styleId="Salutation2">
    <w:name w:val="Salutation2"/>
    <w:basedOn w:val="DefaultParagraphFont"/>
    <w:uiPriority w:val="99"/>
    <w:unhideWhenUsed/>
    <w:rsid w:val="00D35D24"/>
  </w:style>
  <w:style w:type="character" w:styleId="UnresolvedMention">
    <w:name w:val="Unresolved Mention"/>
    <w:basedOn w:val="DefaultParagraphFont"/>
    <w:uiPriority w:val="99"/>
    <w:unhideWhenUsed/>
    <w:rsid w:val="00D35D24"/>
    <w:rPr>
      <w:color w:val="605E5C"/>
      <w:shd w:val="clear" w:color="auto" w:fill="E1DFDD"/>
    </w:rPr>
  </w:style>
  <w:style w:type="character" w:styleId="Mention">
    <w:name w:val="Mention"/>
    <w:basedOn w:val="DefaultParagraphFont"/>
    <w:uiPriority w:val="99"/>
    <w:unhideWhenUsed/>
    <w:rsid w:val="00D35D24"/>
    <w:rPr>
      <w:color w:val="2B579A"/>
      <w:shd w:val="clear" w:color="auto" w:fill="E1DFDD"/>
    </w:rPr>
  </w:style>
  <w:style w:type="paragraph" w:customStyle="1" w:styleId="paragraph">
    <w:name w:val="paragraph"/>
    <w:basedOn w:val="Normal"/>
    <w:uiPriority w:val="99"/>
    <w:unhideWhenUsed/>
    <w:rsid w:val="00D35D2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99"/>
    <w:unhideWhenUsed/>
    <w:rsid w:val="00D35D24"/>
    <w:pPr>
      <w:spacing w:after="0" w:line="240" w:lineRule="auto"/>
    </w:pPr>
  </w:style>
  <w:style w:type="character" w:styleId="FootnoteReference">
    <w:name w:val="footnote reference"/>
    <w:basedOn w:val="DefaultParagraphFont"/>
    <w:uiPriority w:val="99"/>
    <w:semiHidden/>
    <w:unhideWhenUsed/>
    <w:rsid w:val="00D35D24"/>
    <w:rPr>
      <w:vertAlign w:val="superscript"/>
    </w:rPr>
  </w:style>
  <w:style w:type="character" w:customStyle="1" w:styleId="ui-provider">
    <w:name w:val="ui-provider"/>
    <w:basedOn w:val="DefaultParagraphFont"/>
    <w:uiPriority w:val="99"/>
    <w:unhideWhenUsed/>
    <w:rsid w:val="00D35D24"/>
  </w:style>
  <w:style w:type="paragraph" w:customStyle="1" w:styleId="T-NumberedList">
    <w:name w:val="T-Numbered List"/>
    <w:basedOn w:val="T-Text"/>
    <w:link w:val="T-NumberedListChar"/>
    <w:uiPriority w:val="13"/>
    <w:qFormat/>
    <w:rsid w:val="00D3446B"/>
    <w:pPr>
      <w:tabs>
        <w:tab w:val="num" w:pos="720"/>
      </w:tabs>
      <w:ind w:left="1440" w:hanging="720"/>
      <w:contextualSpacing/>
    </w:pPr>
    <w:rPr>
      <w:szCs w:val="24"/>
    </w:rPr>
  </w:style>
  <w:style w:type="paragraph" w:customStyle="1" w:styleId="PageTitle">
    <w:name w:val="Page Title"/>
    <w:basedOn w:val="Heading1"/>
    <w:link w:val="PageTitleChar"/>
    <w:uiPriority w:val="99"/>
    <w:qFormat/>
    <w:rsid w:val="00D35D24"/>
    <w:pPr>
      <w:jc w:val="center"/>
    </w:pPr>
    <w:rPr>
      <w:sz w:val="32"/>
      <w:szCs w:val="32"/>
    </w:rPr>
  </w:style>
  <w:style w:type="character" w:customStyle="1" w:styleId="T-NumberedListChar">
    <w:name w:val="T-Numbered List Char"/>
    <w:basedOn w:val="T-TextChar"/>
    <w:link w:val="T-NumberedList"/>
    <w:uiPriority w:val="13"/>
    <w:rsid w:val="00D3446B"/>
    <w:rPr>
      <w:rFonts w:ascii="Arial" w:hAnsi="Arial" w:cs="Arial"/>
      <w:szCs w:val="24"/>
    </w:rPr>
  </w:style>
  <w:style w:type="character" w:customStyle="1" w:styleId="PageTitleChar">
    <w:name w:val="Page Title Char"/>
    <w:basedOn w:val="Heading1Char"/>
    <w:link w:val="PageTitle"/>
    <w:uiPriority w:val="99"/>
    <w:rsid w:val="00D35D24"/>
    <w:rPr>
      <w:rFonts w:ascii="Arial" w:hAnsi="Arial" w:cs="Arial"/>
      <w:b/>
      <w:bCs/>
      <w:sz w:val="32"/>
      <w:szCs w:val="32"/>
    </w:rPr>
  </w:style>
  <w:style w:type="character" w:customStyle="1" w:styleId="TitleChar">
    <w:name w:val="Title Char"/>
    <w:basedOn w:val="DefaultParagraphFont"/>
    <w:link w:val="Title"/>
    <w:uiPriority w:val="10"/>
    <w:rsid w:val="009F43AE"/>
    <w:rPr>
      <w:rFonts w:ascii="Arial" w:eastAsia="Times New Roman" w:hAnsi="Arial" w:cs="Times New Roman"/>
      <w:b/>
      <w:bCs/>
      <w:caps/>
      <w:sz w:val="28"/>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anXZxaKfTcJJ4wyFzv4zHVV9g==">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2820</Words>
  <Characters>16077</Characters>
  <Application>Microsoft Office Word</Application>
  <DocSecurity>0</DocSecurity>
  <Lines>133</Lines>
  <Paragraphs>37</Paragraphs>
  <ScaleCrop>false</ScaleCrop>
  <Company/>
  <LinksUpToDate>false</LinksUpToDate>
  <CharactersWithSpaces>18860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Erickson, Lilian</dc:creator>
  <cp:lastModifiedBy>Chaelea Allred</cp:lastModifiedBy>
  <cp:revision>2</cp:revision>
  <dcterms:created xsi:type="dcterms:W3CDTF">2025-06-02T00:55:00Z</dcterms:created>
  <dcterms:modified xsi:type="dcterms:W3CDTF">2025-06-02T00:55:00Z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0x0101008B7F06B4FC50C7439A88249DC27806A4</vt:lpwstr>
  </property>
  <property fmtid="{D5CDD505-2E9C-101B-9397-08002B2CF9AE}" pid="3" name="MediaServiceImageTags">
    <vt:lpwstr/>
  </property>
</Properties>
</file>