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BB6A1" w14:textId="77777777" w:rsidR="007B726E" w:rsidRPr="007B726E" w:rsidRDefault="007B726E" w:rsidP="007B726E">
      <w:pPr>
        <w:spacing w:before="240" w:after="0" w:line="240" w:lineRule="auto"/>
        <w:jc w:val="both"/>
        <w:outlineLvl w:val="0"/>
        <w:rPr>
          <w:rFonts w:ascii="Times New Roman" w:eastAsia="Times New Roman" w:hAnsi="Times New Roman" w:cs="Times New Roman"/>
          <w:b/>
          <w:bCs/>
          <w:kern w:val="36"/>
          <w:sz w:val="48"/>
          <w:szCs w:val="48"/>
          <w14:ligatures w14:val="none"/>
        </w:rPr>
      </w:pPr>
      <w:r w:rsidRPr="007B726E">
        <w:rPr>
          <w:rFonts w:ascii="Times New Roman" w:eastAsia="Times New Roman" w:hAnsi="Times New Roman" w:cs="Times New Roman"/>
          <w:b/>
          <w:bCs/>
          <w:color w:val="000000"/>
          <w:kern w:val="36"/>
          <w:sz w:val="40"/>
          <w:szCs w:val="40"/>
          <w14:ligatures w14:val="none"/>
        </w:rPr>
        <w:t>Chapter 7: Conservation Subdivisions</w:t>
      </w:r>
    </w:p>
    <w:p w14:paraId="066A13C3"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2E84C814"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Section</w:t>
      </w:r>
    </w:p>
    <w:p w14:paraId="36FC6F7F"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w:t>
      </w:r>
      <w:r w:rsidRPr="007B726E">
        <w:rPr>
          <w:rFonts w:ascii="Times New Roman" w:eastAsia="Times New Roman" w:hAnsi="Times New Roman" w:cs="Times New Roman"/>
          <w:b/>
          <w:bCs/>
          <w:color w:val="000000"/>
          <w:kern w:val="0"/>
          <w14:ligatures w14:val="none"/>
        </w:rPr>
        <w:tab/>
        <w:t>Purpose.</w:t>
      </w:r>
    </w:p>
    <w:p w14:paraId="0D4E38E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16-7-2.</w:t>
      </w:r>
      <w:r w:rsidRPr="007B726E">
        <w:rPr>
          <w:rFonts w:ascii="Times New Roman" w:eastAsia="Times New Roman" w:hAnsi="Times New Roman" w:cs="Times New Roman"/>
          <w:b/>
          <w:bCs/>
          <w:color w:val="000000"/>
          <w:kern w:val="0"/>
          <w14:ligatures w14:val="none"/>
        </w:rPr>
        <w:tab/>
        <w:t>Applicability of regulations.</w:t>
      </w:r>
    </w:p>
    <w:p w14:paraId="0CE8A5C5"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16-7-3.</w:t>
      </w:r>
      <w:r w:rsidRPr="007B726E">
        <w:rPr>
          <w:rFonts w:ascii="Times New Roman" w:eastAsia="Times New Roman" w:hAnsi="Times New Roman" w:cs="Times New Roman"/>
          <w:b/>
          <w:bCs/>
          <w:color w:val="000000"/>
          <w:kern w:val="0"/>
          <w14:ligatures w14:val="none"/>
        </w:rPr>
        <w:tab/>
        <w:t>Application requirements.</w:t>
      </w:r>
    </w:p>
    <w:p w14:paraId="542C397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16-7-4.</w:t>
      </w:r>
      <w:r w:rsidRPr="007B726E">
        <w:rPr>
          <w:rFonts w:ascii="Times New Roman" w:eastAsia="Times New Roman" w:hAnsi="Times New Roman" w:cs="Times New Roman"/>
          <w:b/>
          <w:bCs/>
          <w:color w:val="000000"/>
          <w:kern w:val="0"/>
          <w14:ligatures w14:val="none"/>
        </w:rPr>
        <w:tab/>
        <w:t>Definition of open space.</w:t>
      </w:r>
    </w:p>
    <w:p w14:paraId="3FA5DF07"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16-7-5.</w:t>
      </w:r>
      <w:r w:rsidRPr="007B726E">
        <w:rPr>
          <w:rFonts w:ascii="Times New Roman" w:eastAsia="Times New Roman" w:hAnsi="Times New Roman" w:cs="Times New Roman"/>
          <w:b/>
          <w:bCs/>
          <w:color w:val="000000"/>
          <w:kern w:val="0"/>
          <w14:ligatures w14:val="none"/>
        </w:rPr>
        <w:tab/>
        <w:t>Open space requirements.</w:t>
      </w:r>
    </w:p>
    <w:p w14:paraId="5969E3FC"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16-7-6.</w:t>
      </w:r>
      <w:r w:rsidRPr="007B726E">
        <w:rPr>
          <w:rFonts w:ascii="Times New Roman" w:eastAsia="Times New Roman" w:hAnsi="Times New Roman" w:cs="Times New Roman"/>
          <w:b/>
          <w:bCs/>
          <w:color w:val="000000"/>
          <w:kern w:val="0"/>
          <w14:ligatures w14:val="none"/>
        </w:rPr>
        <w:tab/>
        <w:t>Open space networks configuration.</w:t>
      </w:r>
    </w:p>
    <w:p w14:paraId="4E5C2F96"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16-7-7.</w:t>
      </w:r>
      <w:r w:rsidRPr="007B726E">
        <w:rPr>
          <w:rFonts w:ascii="Times New Roman" w:eastAsia="Times New Roman" w:hAnsi="Times New Roman" w:cs="Times New Roman"/>
          <w:b/>
          <w:bCs/>
          <w:color w:val="000000"/>
          <w:kern w:val="0"/>
          <w14:ligatures w14:val="none"/>
        </w:rPr>
        <w:tab/>
        <w:t>Open space and conservation areas.</w:t>
      </w:r>
    </w:p>
    <w:p w14:paraId="419A5CB1"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16-7-8.</w:t>
      </w:r>
      <w:r w:rsidRPr="007B726E">
        <w:rPr>
          <w:rFonts w:ascii="Times New Roman" w:eastAsia="Times New Roman" w:hAnsi="Times New Roman" w:cs="Times New Roman"/>
          <w:b/>
          <w:bCs/>
          <w:color w:val="000000"/>
          <w:kern w:val="0"/>
          <w14:ligatures w14:val="none"/>
        </w:rPr>
        <w:tab/>
        <w:t>Primary conservation areas.</w:t>
      </w:r>
    </w:p>
    <w:p w14:paraId="59E2CBE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16-7-9.</w:t>
      </w:r>
      <w:r w:rsidRPr="007B726E">
        <w:rPr>
          <w:rFonts w:ascii="Times New Roman" w:eastAsia="Times New Roman" w:hAnsi="Times New Roman" w:cs="Times New Roman"/>
          <w:b/>
          <w:bCs/>
          <w:color w:val="000000"/>
          <w:kern w:val="0"/>
          <w14:ligatures w14:val="none"/>
        </w:rPr>
        <w:tab/>
        <w:t>Value of primary conservation areas.</w:t>
      </w:r>
    </w:p>
    <w:p w14:paraId="6CB5B323"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16-7-10.</w:t>
      </w:r>
      <w:r w:rsidRPr="007B726E">
        <w:rPr>
          <w:rFonts w:ascii="Times New Roman" w:eastAsia="Times New Roman" w:hAnsi="Times New Roman" w:cs="Times New Roman"/>
          <w:b/>
          <w:bCs/>
          <w:color w:val="000000"/>
          <w:kern w:val="0"/>
          <w14:ligatures w14:val="none"/>
        </w:rPr>
        <w:tab/>
        <w:t>Secondary conservation areas.</w:t>
      </w:r>
    </w:p>
    <w:p w14:paraId="11A62B78"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16-7-11.</w:t>
      </w:r>
      <w:r w:rsidRPr="007B726E">
        <w:rPr>
          <w:rFonts w:ascii="Times New Roman" w:eastAsia="Times New Roman" w:hAnsi="Times New Roman" w:cs="Times New Roman"/>
          <w:b/>
          <w:bCs/>
          <w:color w:val="000000"/>
          <w:kern w:val="0"/>
          <w14:ligatures w14:val="none"/>
        </w:rPr>
        <w:tab/>
        <w:t>Ownership and management of open space.</w:t>
      </w:r>
    </w:p>
    <w:p w14:paraId="2EDE67D9"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16-7-12.</w:t>
      </w:r>
      <w:r w:rsidRPr="007B726E">
        <w:rPr>
          <w:rFonts w:ascii="Times New Roman" w:eastAsia="Times New Roman" w:hAnsi="Times New Roman" w:cs="Times New Roman"/>
          <w:b/>
          <w:bCs/>
          <w:color w:val="000000"/>
          <w:kern w:val="0"/>
          <w14:ligatures w14:val="none"/>
        </w:rPr>
        <w:tab/>
        <w:t>Prohibited uses of open space.</w:t>
      </w:r>
    </w:p>
    <w:p w14:paraId="2542ADB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16-7-13.</w:t>
      </w:r>
      <w:r w:rsidRPr="007B726E">
        <w:rPr>
          <w:rFonts w:ascii="Times New Roman" w:eastAsia="Times New Roman" w:hAnsi="Times New Roman" w:cs="Times New Roman"/>
          <w:b/>
          <w:bCs/>
          <w:color w:val="000000"/>
          <w:kern w:val="0"/>
          <w14:ligatures w14:val="none"/>
        </w:rPr>
        <w:tab/>
        <w:t>Requirements for conservation easements.</w:t>
      </w:r>
    </w:p>
    <w:p w14:paraId="0A0F6D66"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b/>
          <w:bCs/>
          <w:color w:val="000000"/>
          <w:kern w:val="0"/>
          <w14:ligatures w14:val="none"/>
        </w:rPr>
        <w:t>16-7-14.</w:t>
      </w:r>
      <w:r w:rsidRPr="007B726E">
        <w:rPr>
          <w:rFonts w:ascii="Times New Roman" w:eastAsia="Times New Roman" w:hAnsi="Times New Roman" w:cs="Times New Roman"/>
          <w:b/>
          <w:bCs/>
          <w:color w:val="000000"/>
          <w:kern w:val="0"/>
          <w14:ligatures w14:val="none"/>
        </w:rPr>
        <w:tab/>
        <w:t>Notice of disclosure.</w:t>
      </w:r>
    </w:p>
    <w:p w14:paraId="0CE497B5"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389CB054"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16-7-1. Purpose.</w:t>
      </w:r>
    </w:p>
    <w:p w14:paraId="6E255B7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It is the purpose and intent of conservation subdivisions to preserve open space within residential developments; provide flexibility to allow for creativity in developments; minimize the environmental and visual impacts of new development on critical natural resources and historically and culturally significant sites and structures; provide an interconnected network of permanent open space; encourage a more efficient form of development that consumes less open land and conforms to existing topography and natural features; reduce erosion and sedimentation by minimizing land disturbance and removal of vegetation; enhance the community character; permit clustering of houses and structures which will reduce the amount of infrastructure, including paved surfaces and utility lines; encourage street design that controls traffic speeds and creates street inter-connectivity; and promote construction of convenient and accessible walking trails and bike paths both within a subdivision and connected to neighboring communities, businesses, and facilities to reduce reliance on automobiles. </w:t>
      </w:r>
    </w:p>
    <w:p w14:paraId="2A337D23"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p>
    <w:p w14:paraId="14548082"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16-7-2. Applicability of regulations.</w:t>
      </w:r>
    </w:p>
    <w:p w14:paraId="08D2B812"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lastRenderedPageBreak/>
        <w:tab/>
        <w:t>(1)</w:t>
      </w:r>
      <w:r w:rsidRPr="007B726E">
        <w:rPr>
          <w:rFonts w:ascii="Times New Roman" w:eastAsia="Times New Roman" w:hAnsi="Times New Roman" w:cs="Times New Roman"/>
          <w:color w:val="000000"/>
          <w:kern w:val="0"/>
          <w14:ligatures w14:val="none"/>
        </w:rPr>
        <w:tab/>
        <w:t>The conservation subdivision option is available for single family detached residential developments in the following districts: residential, residential multi-family, rural residential, agricultural, and multiple use. Compliance with all applicable Erda City ordinances, regulations, or resolutions is required; however, when in conflict, the provisions of this title shall prevail.</w:t>
      </w:r>
    </w:p>
    <w:p w14:paraId="16EC50E6"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The maximum number of lots in the conservation subdivision shall be determined by either of the following two methods, adding any bonus density allowed in the zoning district where it is located, at the discretion of the applicant:</w:t>
      </w:r>
    </w:p>
    <w:p w14:paraId="02E8508A"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The maximum number of lots is determined by dividing the area of the tract of land by the minimum lot size specified in the underlying zoning. In making this calculation, the following shall not be included in the total area of the parcel: </w:t>
      </w:r>
    </w:p>
    <w:p w14:paraId="25666E77"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w:t>
      </w:r>
      <w:proofErr w:type="spellStart"/>
      <w:r w:rsidRPr="007B726E">
        <w:rPr>
          <w:rFonts w:ascii="Times New Roman" w:eastAsia="Times New Roman" w:hAnsi="Times New Roman" w:cs="Times New Roman"/>
          <w:color w:val="000000"/>
          <w:kern w:val="0"/>
          <w14:ligatures w14:val="none"/>
        </w:rPr>
        <w:t>i</w:t>
      </w:r>
      <w:proofErr w:type="spellEnd"/>
      <w:r w:rsidRPr="007B726E">
        <w:rPr>
          <w:rFonts w:ascii="Times New Roman" w:eastAsia="Times New Roman" w:hAnsi="Times New Roman" w:cs="Times New Roman"/>
          <w:color w:val="000000"/>
          <w:kern w:val="0"/>
          <w14:ligatures w14:val="none"/>
        </w:rPr>
        <w:t>)</w:t>
      </w:r>
      <w:r w:rsidRPr="007B726E">
        <w:rPr>
          <w:rFonts w:ascii="Times New Roman" w:eastAsia="Times New Roman" w:hAnsi="Times New Roman" w:cs="Times New Roman"/>
          <w:color w:val="000000"/>
          <w:kern w:val="0"/>
          <w14:ligatures w14:val="none"/>
        </w:rPr>
        <w:tab/>
        <w:t>slopes over 30% of at least 5,000 square feet contiguous area;</w:t>
      </w:r>
    </w:p>
    <w:p w14:paraId="65A884C7"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(ii)</w:t>
      </w:r>
      <w:r w:rsidRPr="007B726E">
        <w:rPr>
          <w:rFonts w:ascii="Times New Roman" w:eastAsia="Times New Roman" w:hAnsi="Times New Roman" w:cs="Times New Roman"/>
          <w:color w:val="000000"/>
          <w:kern w:val="0"/>
          <w14:ligatures w14:val="none"/>
        </w:rPr>
        <w:tab/>
        <w:t>the 100-year flood plain;</w:t>
      </w:r>
    </w:p>
    <w:p w14:paraId="0CFAA3F5"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(iii)</w:t>
      </w:r>
      <w:r w:rsidRPr="007B726E">
        <w:rPr>
          <w:rFonts w:ascii="Times New Roman" w:eastAsia="Times New Roman" w:hAnsi="Times New Roman" w:cs="Times New Roman"/>
          <w:color w:val="000000"/>
          <w:kern w:val="0"/>
          <w14:ligatures w14:val="none"/>
        </w:rPr>
        <w:tab/>
        <w:t>bodies of open water over 5,000 square feet contiguous area; and</w:t>
      </w:r>
    </w:p>
    <w:p w14:paraId="0670A36E"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(iv)</w:t>
      </w:r>
      <w:r w:rsidRPr="007B726E">
        <w:rPr>
          <w:rFonts w:ascii="Times New Roman" w:eastAsia="Times New Roman" w:hAnsi="Times New Roman" w:cs="Times New Roman"/>
          <w:color w:val="000000"/>
          <w:kern w:val="0"/>
          <w14:ligatures w14:val="none"/>
        </w:rPr>
        <w:tab/>
        <w:t>wetlands that meet the definition of the Army Corps of Engineers pursuant to the Clean Water Act; or</w:t>
      </w:r>
    </w:p>
    <w:p w14:paraId="2A3A79F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The maximum number of lots is based on a conventional subdivision design plan prepared by the applicant, in which the tract of land is subdivided in a manner intended to yield the highest number of lots possible. </w:t>
      </w:r>
    </w:p>
    <w:p w14:paraId="2066E69C"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r>
    </w:p>
    <w:p w14:paraId="26A9A047"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p>
    <w:p w14:paraId="547680B5"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16-7-3. Application requirements.</w:t>
      </w:r>
    </w:p>
    <w:p w14:paraId="61349371"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Concurrent with the submission of a concept plan, the applicant shall prepare and submit a site analysis map. The purpose of the site analysis map is to ensure that the important site features have been adequately identified prior to the creation of the site design and that the proposed open space will meet the requirements of this title. The site concept plan shall include the following features:</w:t>
      </w:r>
    </w:p>
    <w:p w14:paraId="39094146"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property boundaries;</w:t>
      </w:r>
    </w:p>
    <w:p w14:paraId="3319F17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all streams, rivers, lakes, wetlands, and other hydrologic features;</w:t>
      </w:r>
    </w:p>
    <w:p w14:paraId="05527187"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topographic contours of no less than 10-foot intervals;</w:t>
      </w:r>
    </w:p>
    <w:p w14:paraId="46D9FA1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all primary and secondary conservation areas labeled by type, as described in sections 13-8-8 and 13-8-10 of this chapter;</w:t>
      </w:r>
    </w:p>
    <w:p w14:paraId="335C5172"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general vegetation characteristics;</w:t>
      </w:r>
    </w:p>
    <w:p w14:paraId="77AD5D60"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(f)</w:t>
      </w:r>
      <w:r w:rsidRPr="007B726E">
        <w:rPr>
          <w:rFonts w:ascii="Times New Roman" w:eastAsia="Times New Roman" w:hAnsi="Times New Roman" w:cs="Times New Roman"/>
          <w:color w:val="000000"/>
          <w:kern w:val="0"/>
          <w14:ligatures w14:val="none"/>
        </w:rPr>
        <w:tab/>
        <w:t>general soil types;</w:t>
      </w:r>
    </w:p>
    <w:p w14:paraId="50E4195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(g)</w:t>
      </w:r>
      <w:r w:rsidRPr="007B726E">
        <w:rPr>
          <w:rFonts w:ascii="Times New Roman" w:eastAsia="Times New Roman" w:hAnsi="Times New Roman" w:cs="Times New Roman"/>
          <w:color w:val="000000"/>
          <w:kern w:val="0"/>
          <w14:ligatures w14:val="none"/>
        </w:rPr>
        <w:tab/>
        <w:t>the planned location of protected open space;</w:t>
      </w:r>
    </w:p>
    <w:p w14:paraId="59AD2D5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(h)</w:t>
      </w:r>
      <w:r w:rsidRPr="007B726E">
        <w:rPr>
          <w:rFonts w:ascii="Times New Roman" w:eastAsia="Times New Roman" w:hAnsi="Times New Roman" w:cs="Times New Roman"/>
          <w:color w:val="000000"/>
          <w:kern w:val="0"/>
          <w14:ligatures w14:val="none"/>
        </w:rPr>
        <w:tab/>
        <w:t>existing roads and structures; and</w:t>
      </w:r>
    </w:p>
    <w:p w14:paraId="63B163C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w:t>
      </w:r>
      <w:proofErr w:type="spellStart"/>
      <w:r w:rsidRPr="007B726E">
        <w:rPr>
          <w:rFonts w:ascii="Times New Roman" w:eastAsia="Times New Roman" w:hAnsi="Times New Roman" w:cs="Times New Roman"/>
          <w:color w:val="000000"/>
          <w:kern w:val="0"/>
          <w14:ligatures w14:val="none"/>
        </w:rPr>
        <w:t>i</w:t>
      </w:r>
      <w:proofErr w:type="spellEnd"/>
      <w:r w:rsidRPr="007B726E">
        <w:rPr>
          <w:rFonts w:ascii="Times New Roman" w:eastAsia="Times New Roman" w:hAnsi="Times New Roman" w:cs="Times New Roman"/>
          <w:color w:val="000000"/>
          <w:kern w:val="0"/>
          <w14:ligatures w14:val="none"/>
        </w:rPr>
        <w:t>)</w:t>
      </w:r>
      <w:r w:rsidRPr="007B726E">
        <w:rPr>
          <w:rFonts w:ascii="Times New Roman" w:eastAsia="Times New Roman" w:hAnsi="Times New Roman" w:cs="Times New Roman"/>
          <w:color w:val="000000"/>
          <w:kern w:val="0"/>
          <w14:ligatures w14:val="none"/>
        </w:rPr>
        <w:tab/>
        <w:t>potential connections with existing greenspace and trails.</w:t>
      </w:r>
    </w:p>
    <w:p w14:paraId="274DCF31"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An open space management plan, as described in Section 13-7-11, shall be prepared and submitted prior to the approval of the final plat.</w:t>
      </w:r>
    </w:p>
    <w:p w14:paraId="6F1254F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(3)</w:t>
      </w:r>
      <w:r w:rsidRPr="007B726E">
        <w:rPr>
          <w:rFonts w:ascii="Times New Roman" w:eastAsia="Times New Roman" w:hAnsi="Times New Roman" w:cs="Times New Roman"/>
          <w:color w:val="000000"/>
          <w:kern w:val="0"/>
          <w14:ligatures w14:val="none"/>
        </w:rPr>
        <w:tab/>
        <w:t>An instrument of permanent protection, such as a conservation easement as described in Section 13-7-13, shall be placed on the open space concurrent with the issuance of a land disturbance permit.</w:t>
      </w:r>
    </w:p>
    <w:p w14:paraId="2D52F448"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(4)</w:t>
      </w:r>
      <w:r w:rsidRPr="007B726E">
        <w:rPr>
          <w:rFonts w:ascii="Times New Roman" w:eastAsia="Times New Roman" w:hAnsi="Times New Roman" w:cs="Times New Roman"/>
          <w:color w:val="000000"/>
          <w:kern w:val="0"/>
          <w14:ligatures w14:val="none"/>
        </w:rPr>
        <w:tab/>
        <w:t>The applicant shall adhere to all other applicable requirements of the underlying zoning and Erda City land use codes for the division of land. </w:t>
      </w:r>
    </w:p>
    <w:p w14:paraId="62723290"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16-7-4. Definition of open space.</w:t>
      </w:r>
    </w:p>
    <w:p w14:paraId="520AB84C"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lastRenderedPageBreak/>
        <w:tab/>
        <w:t>(1)</w:t>
      </w:r>
      <w:r w:rsidRPr="007B726E">
        <w:rPr>
          <w:rFonts w:ascii="Times New Roman" w:eastAsia="Times New Roman" w:hAnsi="Times New Roman" w:cs="Times New Roman"/>
          <w:color w:val="000000"/>
          <w:kern w:val="0"/>
          <w14:ligatures w14:val="none"/>
        </w:rPr>
        <w:tab/>
        <w:t>Open space is the portion of the conservation subdivision that has been set aside for permanent protection. Activities within the open space shall be restricted in perpetuity through the use of an approved legal instrument.</w:t>
      </w:r>
    </w:p>
    <w:p w14:paraId="004D0A5D"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The required open space areas shall be protected in perpetuity from further development or unauthorized use by a conservation easement or permanent restrictive covenant per Utah Code Section 57-18-4. Erda City reserves the right to enforce all restrictive covenants and conservation easements per Utah Code Section 57-18-6. Uses of open space may include the following:</w:t>
      </w:r>
    </w:p>
    <w:p w14:paraId="26934197"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conservation of natural, archeological, or historical resources;</w:t>
      </w:r>
    </w:p>
    <w:p w14:paraId="7A481359"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meadows, woodlands, wetlands, wildlife corridors, game preserves, or similar conservation-oriented areas;</w:t>
      </w:r>
    </w:p>
    <w:p w14:paraId="3A1B2F39"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walking, equestrian, off-highway vehicle, or bicycle trails;</w:t>
      </w:r>
    </w:p>
    <w:p w14:paraId="3FEF7B25"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passive recreation areas, such as open fields;</w:t>
      </w:r>
    </w:p>
    <w:p w14:paraId="61540152"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active recreation areas which include 15% or less of the total open space area in impervious surfaces;</w:t>
      </w:r>
    </w:p>
    <w:p w14:paraId="6EC3A08C"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(f)</w:t>
      </w:r>
      <w:r w:rsidRPr="007B726E">
        <w:rPr>
          <w:rFonts w:ascii="Times New Roman" w:eastAsia="Times New Roman" w:hAnsi="Times New Roman" w:cs="Times New Roman"/>
          <w:color w:val="000000"/>
          <w:kern w:val="0"/>
          <w14:ligatures w14:val="none"/>
        </w:rPr>
        <w:tab/>
        <w:t>agriculture, horticulture, silviculture, or pasture uses, provided that all applicable best management practices are used to minimize environmental impacts; </w:t>
      </w:r>
    </w:p>
    <w:p w14:paraId="61F2FB11"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(g)</w:t>
      </w:r>
      <w:r w:rsidRPr="007B726E">
        <w:rPr>
          <w:rFonts w:ascii="Times New Roman" w:eastAsia="Times New Roman" w:hAnsi="Times New Roman" w:cs="Times New Roman"/>
          <w:color w:val="000000"/>
          <w:kern w:val="0"/>
          <w14:ligatures w14:val="none"/>
        </w:rPr>
        <w:tab/>
        <w:t>landscaped stormwater management facilities, community wastewater disposal systems, and individual wastewater disposal systems located on soils particularly suited to such uses;</w:t>
      </w:r>
    </w:p>
    <w:p w14:paraId="41969DB5"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(h)</w:t>
      </w:r>
      <w:r w:rsidRPr="007B726E">
        <w:rPr>
          <w:rFonts w:ascii="Times New Roman" w:eastAsia="Times New Roman" w:hAnsi="Times New Roman" w:cs="Times New Roman"/>
          <w:color w:val="000000"/>
          <w:kern w:val="0"/>
          <w14:ligatures w14:val="none"/>
        </w:rPr>
        <w:tab/>
        <w:t>easements for drainage, access, and underground utility lines; and</w:t>
      </w:r>
    </w:p>
    <w:p w14:paraId="4A2CFD1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w:t>
      </w:r>
      <w:proofErr w:type="spellStart"/>
      <w:r w:rsidRPr="007B726E">
        <w:rPr>
          <w:rFonts w:ascii="Times New Roman" w:eastAsia="Times New Roman" w:hAnsi="Times New Roman" w:cs="Times New Roman"/>
          <w:color w:val="000000"/>
          <w:kern w:val="0"/>
          <w14:ligatures w14:val="none"/>
        </w:rPr>
        <w:t>i</w:t>
      </w:r>
      <w:proofErr w:type="spellEnd"/>
      <w:r w:rsidRPr="007B726E">
        <w:rPr>
          <w:rFonts w:ascii="Times New Roman" w:eastAsia="Times New Roman" w:hAnsi="Times New Roman" w:cs="Times New Roman"/>
          <w:color w:val="000000"/>
          <w:kern w:val="0"/>
          <w14:ligatures w14:val="none"/>
        </w:rPr>
        <w:t>)</w:t>
      </w:r>
      <w:r w:rsidRPr="007B726E">
        <w:rPr>
          <w:rFonts w:ascii="Times New Roman" w:eastAsia="Times New Roman" w:hAnsi="Times New Roman" w:cs="Times New Roman"/>
          <w:color w:val="000000"/>
          <w:kern w:val="0"/>
          <w14:ligatures w14:val="none"/>
        </w:rPr>
        <w:tab/>
        <w:t>other conservation-oriented uses compatible with the purposes of this chapter. </w:t>
      </w:r>
    </w:p>
    <w:p w14:paraId="3AF77C55"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43699C33"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16-7-5. Open space requirements.</w:t>
      </w:r>
    </w:p>
    <w:p w14:paraId="459A29C4"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Each conservation subdivision shall provide a minimum of 40% of its total acreage as open space. The open space shall be designated on the conceptual plan and recorded on the final plat. The minimum restricted open space shall comprise at least 40% of the gross tract area.</w:t>
      </w:r>
    </w:p>
    <w:p w14:paraId="46412AD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Utility rights-of-way and small areas of impervious surface may be included within the protected open space but cannot be counted towards the 40% minimum area requirement, except historic structures and existing trails may be counted. Areas greater than 15% of the total open space area that is covered with any impervious surface shall be excluded from the open space.</w:t>
      </w:r>
    </w:p>
    <w:p w14:paraId="4D15E78E"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(3)</w:t>
      </w:r>
      <w:r w:rsidRPr="007B726E">
        <w:rPr>
          <w:rFonts w:ascii="Times New Roman" w:eastAsia="Times New Roman" w:hAnsi="Times New Roman" w:cs="Times New Roman"/>
          <w:color w:val="000000"/>
          <w:kern w:val="0"/>
          <w14:ligatures w14:val="none"/>
        </w:rPr>
        <w:tab/>
        <w:t>At least 25% of the open space shall consist of land that is suitable for building.</w:t>
      </w:r>
    </w:p>
    <w:p w14:paraId="5C60FDD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(4)</w:t>
      </w:r>
      <w:r w:rsidRPr="007B726E">
        <w:rPr>
          <w:rFonts w:ascii="Times New Roman" w:eastAsia="Times New Roman" w:hAnsi="Times New Roman" w:cs="Times New Roman"/>
          <w:color w:val="000000"/>
          <w:kern w:val="0"/>
          <w14:ligatures w14:val="none"/>
        </w:rPr>
        <w:tab/>
        <w:t>At least 75% of the open space shall be in a contiguous tract. The open space shall adjoin any neighboring areas of open space, other protected areas, and non-protected natural areas that would be candidates for inclusion as part of a future area of protected open space.</w:t>
      </w:r>
    </w:p>
    <w:p w14:paraId="0FF5FC7E"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(5)</w:t>
      </w:r>
      <w:r w:rsidRPr="007B726E">
        <w:rPr>
          <w:rFonts w:ascii="Times New Roman" w:eastAsia="Times New Roman" w:hAnsi="Times New Roman" w:cs="Times New Roman"/>
          <w:color w:val="000000"/>
          <w:kern w:val="0"/>
          <w14:ligatures w14:val="none"/>
        </w:rPr>
        <w:tab/>
        <w:t>The open space shall be directly accessible to the largest practicable number of lots within the subdivision. Non-adjoining lots shall be provided with safe, convenient access to the open space. </w:t>
      </w:r>
    </w:p>
    <w:p w14:paraId="6AE41EC6" w14:textId="77777777" w:rsidR="007B726E" w:rsidRPr="007B726E" w:rsidRDefault="007B726E" w:rsidP="007B726E">
      <w:pPr>
        <w:spacing w:after="0" w:line="240" w:lineRule="auto"/>
        <w:rPr>
          <w:rFonts w:ascii="Times New Roman" w:eastAsia="Times New Roman" w:hAnsi="Times New Roman" w:cs="Times New Roman"/>
          <w:kern w:val="0"/>
          <w14:ligatures w14:val="none"/>
        </w:rPr>
      </w:pPr>
    </w:p>
    <w:p w14:paraId="4C7D8A30"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16-7-6. Open space networks configuration.</w:t>
      </w:r>
    </w:p>
    <w:p w14:paraId="072B41D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The minimum standards for open space networks are as follows:</w:t>
      </w:r>
    </w:p>
    <w:p w14:paraId="21886B08"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The minimum width of any open space area is 25 feet.</w:t>
      </w:r>
    </w:p>
    <w:p w14:paraId="097EDAA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 xml:space="preserve">All paths shall be a minimum of 20 feet from any property line except where </w:t>
      </w:r>
      <w:proofErr w:type="spellStart"/>
      <w:r w:rsidRPr="007B726E">
        <w:rPr>
          <w:rFonts w:ascii="Times New Roman" w:eastAsia="Times New Roman" w:hAnsi="Times New Roman" w:cs="Times New Roman"/>
          <w:color w:val="000000"/>
          <w:kern w:val="0"/>
          <w14:ligatures w14:val="none"/>
        </w:rPr>
        <w:t>interparcel</w:t>
      </w:r>
      <w:proofErr w:type="spellEnd"/>
      <w:r w:rsidRPr="007B726E">
        <w:rPr>
          <w:rFonts w:ascii="Times New Roman" w:eastAsia="Times New Roman" w:hAnsi="Times New Roman" w:cs="Times New Roman"/>
          <w:color w:val="000000"/>
          <w:kern w:val="0"/>
          <w14:ligatures w14:val="none"/>
        </w:rPr>
        <w:t xml:space="preserve"> access may be provided.</w:t>
      </w:r>
    </w:p>
    <w:p w14:paraId="62976D8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lastRenderedPageBreak/>
        <w:tab/>
        <w:t>(3)</w:t>
      </w:r>
      <w:r w:rsidRPr="007B726E">
        <w:rPr>
          <w:rFonts w:ascii="Times New Roman" w:eastAsia="Times New Roman" w:hAnsi="Times New Roman" w:cs="Times New Roman"/>
          <w:color w:val="000000"/>
          <w:kern w:val="0"/>
          <w14:ligatures w14:val="none"/>
        </w:rPr>
        <w:tab/>
        <w:t>All open space networks shall provide connectivity to any common areas within the development and to any adjacent public places and rights-of-way.</w:t>
      </w:r>
    </w:p>
    <w:p w14:paraId="665259C4"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(4)</w:t>
      </w:r>
      <w:r w:rsidRPr="007B726E">
        <w:rPr>
          <w:rFonts w:ascii="Times New Roman" w:eastAsia="Times New Roman" w:hAnsi="Times New Roman" w:cs="Times New Roman"/>
          <w:color w:val="000000"/>
          <w:kern w:val="0"/>
          <w14:ligatures w14:val="none"/>
        </w:rPr>
        <w:tab/>
        <w:t>Paths located in primary conservation areas shall be constructed of pervious materials.</w:t>
      </w:r>
    </w:p>
    <w:p w14:paraId="004AA01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(5)</w:t>
      </w:r>
      <w:r w:rsidRPr="007B726E">
        <w:rPr>
          <w:rFonts w:ascii="Times New Roman" w:eastAsia="Times New Roman" w:hAnsi="Times New Roman" w:cs="Times New Roman"/>
          <w:color w:val="000000"/>
          <w:kern w:val="0"/>
          <w14:ligatures w14:val="none"/>
        </w:rPr>
        <w:tab/>
      </w:r>
      <w:proofErr w:type="gramStart"/>
      <w:r w:rsidRPr="007B726E">
        <w:rPr>
          <w:rFonts w:ascii="Times New Roman" w:eastAsia="Times New Roman" w:hAnsi="Times New Roman" w:cs="Times New Roman"/>
          <w:color w:val="000000"/>
          <w:kern w:val="0"/>
          <w14:ligatures w14:val="none"/>
        </w:rPr>
        <w:t>Where</w:t>
      </w:r>
      <w:proofErr w:type="gramEnd"/>
      <w:r w:rsidRPr="007B726E">
        <w:rPr>
          <w:rFonts w:ascii="Times New Roman" w:eastAsia="Times New Roman" w:hAnsi="Times New Roman" w:cs="Times New Roman"/>
          <w:color w:val="000000"/>
          <w:kern w:val="0"/>
          <w14:ligatures w14:val="none"/>
        </w:rPr>
        <w:t xml:space="preserve"> path networks cross internal subdivision streets or public streets, access points shall be directly across from each other or as approved by the City Engineer or its designee.</w:t>
      </w:r>
    </w:p>
    <w:p w14:paraId="49ECCE8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(6)</w:t>
      </w:r>
      <w:r w:rsidRPr="007B726E">
        <w:rPr>
          <w:rFonts w:ascii="Times New Roman" w:eastAsia="Times New Roman" w:hAnsi="Times New Roman" w:cs="Times New Roman"/>
          <w:color w:val="000000"/>
          <w:kern w:val="0"/>
          <w14:ligatures w14:val="none"/>
        </w:rPr>
        <w:tab/>
        <w:t>Crossings and access points shall be clearly identified to pedestrians and motorists and may include traffic control devices, bridges, and tunnels as approved by the City Engineer or its designee. </w:t>
      </w:r>
    </w:p>
    <w:p w14:paraId="1CBAE22A"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p>
    <w:p w14:paraId="48832911"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16-7-7. Open space and conservation areas.</w:t>
      </w:r>
    </w:p>
    <w:p w14:paraId="6ACB59C6"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Open space shall be designated as either primary conservation areas or secondary conservation areas and shall be configured to create or maintain a network of open space. </w:t>
      </w:r>
    </w:p>
    <w:p w14:paraId="163FF0A7"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2DFFE38D"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16-7-8. Primary conservation areas.</w:t>
      </w:r>
    </w:p>
    <w:p w14:paraId="4CC96A7E"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Primary conservation areas form the core of the open space to be protected. The following are considered primary conservation areas and are required to be included within the open space, unless the applicant demonstrates that this provision would constitute an unusual hardship and be counter to the purposes of this chapter:</w:t>
      </w:r>
    </w:p>
    <w:p w14:paraId="66074E8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cemeteries;</w:t>
      </w:r>
    </w:p>
    <w:p w14:paraId="415D247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alluvial soils identified by the Federal Emergency Management Agency (FEMA) and the 100-year flood plain;</w:t>
      </w:r>
    </w:p>
    <w:p w14:paraId="2D4D516F"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(3)</w:t>
      </w:r>
      <w:r w:rsidRPr="007B726E">
        <w:rPr>
          <w:rFonts w:ascii="Times New Roman" w:eastAsia="Times New Roman" w:hAnsi="Times New Roman" w:cs="Times New Roman"/>
          <w:color w:val="000000"/>
          <w:kern w:val="0"/>
          <w14:ligatures w14:val="none"/>
        </w:rPr>
        <w:tab/>
        <w:t>archaeological sites, cemeteries, and burial grounds;</w:t>
      </w:r>
    </w:p>
    <w:p w14:paraId="0A39E57F"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(4)</w:t>
      </w:r>
      <w:r w:rsidRPr="007B726E">
        <w:rPr>
          <w:rFonts w:ascii="Times New Roman" w:eastAsia="Times New Roman" w:hAnsi="Times New Roman" w:cs="Times New Roman"/>
          <w:color w:val="000000"/>
          <w:kern w:val="0"/>
          <w14:ligatures w14:val="none"/>
        </w:rPr>
        <w:tab/>
        <w:t>prime agricultural lands of at least five acres contiguous area;</w:t>
      </w:r>
    </w:p>
    <w:p w14:paraId="6A25E844"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(5)</w:t>
      </w:r>
      <w:r w:rsidRPr="007B726E">
        <w:rPr>
          <w:rFonts w:ascii="Times New Roman" w:eastAsia="Times New Roman" w:hAnsi="Times New Roman" w:cs="Times New Roman"/>
          <w:color w:val="000000"/>
          <w:kern w:val="0"/>
          <w14:ligatures w14:val="none"/>
        </w:rPr>
        <w:tab/>
        <w:t>habitats for endangered or threatened species;</w:t>
      </w:r>
    </w:p>
    <w:p w14:paraId="4B4C5C35"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(6)</w:t>
      </w:r>
      <w:r w:rsidRPr="007B726E">
        <w:rPr>
          <w:rFonts w:ascii="Times New Roman" w:eastAsia="Times New Roman" w:hAnsi="Times New Roman" w:cs="Times New Roman"/>
          <w:color w:val="000000"/>
          <w:kern w:val="0"/>
          <w14:ligatures w14:val="none"/>
        </w:rPr>
        <w:tab/>
        <w:t>wetlands identified by the County Soil Survey prepared by the United States Department of Agriculture (USDA) Natural Resources Conservation Service (NRCS) or a certified wetlands delineation using data from the U.S. Army Corps of Engineers;</w:t>
      </w:r>
    </w:p>
    <w:p w14:paraId="4B7A3F7C"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(7)</w:t>
      </w:r>
      <w:r w:rsidRPr="007B726E">
        <w:rPr>
          <w:rFonts w:ascii="Times New Roman" w:eastAsia="Times New Roman" w:hAnsi="Times New Roman" w:cs="Times New Roman"/>
          <w:color w:val="000000"/>
          <w:kern w:val="0"/>
          <w14:ligatures w14:val="none"/>
        </w:rPr>
        <w:tab/>
        <w:t>lakes, both natural and man-made, rivers, streams, existing ponds, stormwater management ponds and facilities, creeks, and State waters;</w:t>
      </w:r>
    </w:p>
    <w:p w14:paraId="2BE256E8"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(8)</w:t>
      </w:r>
      <w:r w:rsidRPr="007B726E">
        <w:rPr>
          <w:rFonts w:ascii="Times New Roman" w:eastAsia="Times New Roman" w:hAnsi="Times New Roman" w:cs="Times New Roman"/>
          <w:color w:val="000000"/>
          <w:kern w:val="0"/>
          <w14:ligatures w14:val="none"/>
        </w:rPr>
        <w:tab/>
        <w:t>riparian zones along all perennial and intermittent streams equal to any required stream buffers and improvement setbacks;</w:t>
      </w:r>
    </w:p>
    <w:p w14:paraId="252CDA79"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(9)</w:t>
      </w:r>
      <w:r w:rsidRPr="007B726E">
        <w:rPr>
          <w:rFonts w:ascii="Times New Roman" w:eastAsia="Times New Roman" w:hAnsi="Times New Roman" w:cs="Times New Roman"/>
          <w:color w:val="000000"/>
          <w:kern w:val="0"/>
          <w14:ligatures w14:val="none"/>
        </w:rPr>
        <w:tab/>
        <w:t>existing slopes greater than 30% on average with a site area greater than 5,000 square feet identified as part of a site analysis conducted by a registered engineer, land surveyor, or landscape architect and calculated using topographic maps; and</w:t>
      </w:r>
    </w:p>
    <w:p w14:paraId="44C625C7"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(10)</w:t>
      </w:r>
      <w:r w:rsidRPr="007B726E">
        <w:rPr>
          <w:rFonts w:ascii="Times New Roman" w:eastAsia="Times New Roman" w:hAnsi="Times New Roman" w:cs="Times New Roman"/>
          <w:color w:val="000000"/>
          <w:kern w:val="0"/>
          <w14:ligatures w14:val="none"/>
        </w:rPr>
        <w:tab/>
        <w:t>critical wildlife habitat as identified by the State of Utah, Division of Wildlife Resources. </w:t>
      </w:r>
    </w:p>
    <w:p w14:paraId="00A42AA0"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16-7-9. Value of primary conservation areas.</w:t>
      </w:r>
    </w:p>
    <w:p w14:paraId="3503DBBF"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Because primary conservation areas are either protected or sensitive environmental areas, only 50% of the acreage of a primary conservation area may be counted as open space. </w:t>
      </w:r>
    </w:p>
    <w:p w14:paraId="7011FAE3"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p>
    <w:p w14:paraId="7CD2CD43"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lastRenderedPageBreak/>
        <w:t>16-7-10. Secondary conservation areas.</w:t>
      </w:r>
    </w:p>
    <w:p w14:paraId="3E19701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Secondary conservation areas consist of undeveloped or unconstrained but buildable land and protected, or constrained, lands. Secondary conservation areas include the following:</w:t>
      </w:r>
    </w:p>
    <w:p w14:paraId="70ECDEDD"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farmlands, including fields, pastures, and meadows;</w:t>
      </w:r>
    </w:p>
    <w:p w14:paraId="4A2EC84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woodlands and buffers except riparian buffers;</w:t>
      </w:r>
    </w:p>
    <w:p w14:paraId="7FC75AA2"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historic and/or archaeological sites as identified by the Utah Division of State History, Utah State Historical Society;</w:t>
      </w:r>
    </w:p>
    <w:p w14:paraId="1DECF430"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passive recreation areas, public and private, including pedestrian, bicycle, and equestrian trails, picnic areas, community commons or greens, and similar areas;</w:t>
      </w:r>
    </w:p>
    <w:p w14:paraId="26608851"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active recreation areas and facilities, public and private, to include parks, playing fields, and playgrounds, but recreation areas with impervious surfaces greater than 15% of the total secondary open space such as parking lots, tennis courts, basketball courts, and pools shall be excluded;</w:t>
      </w:r>
    </w:p>
    <w:p w14:paraId="605A4BB6"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(f)</w:t>
      </w:r>
      <w:r w:rsidRPr="007B726E">
        <w:rPr>
          <w:rFonts w:ascii="Times New Roman" w:eastAsia="Times New Roman" w:hAnsi="Times New Roman" w:cs="Times New Roman"/>
          <w:color w:val="000000"/>
          <w:kern w:val="0"/>
          <w14:ligatures w14:val="none"/>
        </w:rPr>
        <w:tab/>
        <w:t xml:space="preserve">existing healthy, native forests of at least </w:t>
      </w:r>
      <w:proofErr w:type="gramStart"/>
      <w:r w:rsidRPr="007B726E">
        <w:rPr>
          <w:rFonts w:ascii="Times New Roman" w:eastAsia="Times New Roman" w:hAnsi="Times New Roman" w:cs="Times New Roman"/>
          <w:color w:val="000000"/>
          <w:kern w:val="0"/>
          <w14:ligatures w14:val="none"/>
        </w:rPr>
        <w:t>one acre</w:t>
      </w:r>
      <w:proofErr w:type="gramEnd"/>
      <w:r w:rsidRPr="007B726E">
        <w:rPr>
          <w:rFonts w:ascii="Times New Roman" w:eastAsia="Times New Roman" w:hAnsi="Times New Roman" w:cs="Times New Roman"/>
          <w:color w:val="000000"/>
          <w:kern w:val="0"/>
          <w14:ligatures w14:val="none"/>
        </w:rPr>
        <w:t xml:space="preserve"> contiguous area;</w:t>
      </w:r>
    </w:p>
    <w:p w14:paraId="03177F7B"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(g)</w:t>
      </w:r>
      <w:r w:rsidRPr="007B726E">
        <w:rPr>
          <w:rFonts w:ascii="Times New Roman" w:eastAsia="Times New Roman" w:hAnsi="Times New Roman" w:cs="Times New Roman"/>
          <w:color w:val="000000"/>
          <w:kern w:val="0"/>
          <w14:ligatures w14:val="none"/>
        </w:rPr>
        <w:tab/>
        <w:t>individual existing healthy trees greater than eight inches caliper, as measured from their outermost drip line;</w:t>
      </w:r>
    </w:p>
    <w:p w14:paraId="3782368D"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(h)</w:t>
      </w:r>
      <w:r w:rsidRPr="007B726E">
        <w:rPr>
          <w:rFonts w:ascii="Times New Roman" w:eastAsia="Times New Roman" w:hAnsi="Times New Roman" w:cs="Times New Roman"/>
          <w:color w:val="000000"/>
          <w:kern w:val="0"/>
          <w14:ligatures w14:val="none"/>
        </w:rPr>
        <w:tab/>
        <w:t>other significant natural features and scenic viewsheds such as ridge lines, peaks, and rock outcroppings, particularly those that can be seen from public roads; and</w:t>
      </w:r>
    </w:p>
    <w:p w14:paraId="197380CA"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w:t>
      </w:r>
      <w:proofErr w:type="spellStart"/>
      <w:r w:rsidRPr="007B726E">
        <w:rPr>
          <w:rFonts w:ascii="Times New Roman" w:eastAsia="Times New Roman" w:hAnsi="Times New Roman" w:cs="Times New Roman"/>
          <w:color w:val="000000"/>
          <w:kern w:val="0"/>
          <w14:ligatures w14:val="none"/>
        </w:rPr>
        <w:t>i</w:t>
      </w:r>
      <w:proofErr w:type="spellEnd"/>
      <w:r w:rsidRPr="007B726E">
        <w:rPr>
          <w:rFonts w:ascii="Times New Roman" w:eastAsia="Times New Roman" w:hAnsi="Times New Roman" w:cs="Times New Roman"/>
          <w:color w:val="000000"/>
          <w:kern w:val="0"/>
          <w14:ligatures w14:val="none"/>
        </w:rPr>
        <w:t>)</w:t>
      </w:r>
      <w:r w:rsidRPr="007B726E">
        <w:rPr>
          <w:rFonts w:ascii="Times New Roman" w:eastAsia="Times New Roman" w:hAnsi="Times New Roman" w:cs="Times New Roman"/>
          <w:color w:val="000000"/>
          <w:kern w:val="0"/>
          <w14:ligatures w14:val="none"/>
        </w:rPr>
        <w:tab/>
        <w:t>trails that connect the tract to neighboring areas.</w:t>
      </w:r>
    </w:p>
    <w:p w14:paraId="7F208D63"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One hundred percent of secondary conservation areas may be counted as open space. </w:t>
      </w:r>
    </w:p>
    <w:p w14:paraId="1EDCFE29"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1F0F33A7"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16-7-11. Ownership and management of open space.</w:t>
      </w:r>
    </w:p>
    <w:p w14:paraId="253D4F75"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A homeowner’s association representing residents of the conservation subdivision may own the open space. If owned by a homeowner’s association, membership in the association shall be mandatory and automatic for all homeowners of the subdivision and their successors. The homeowner’s association shall have lien authority to ensure the collection of dues from all members.</w:t>
      </w:r>
    </w:p>
    <w:p w14:paraId="3C1E016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The responsibility for maintaining the open space and any facilities located thereon shall be borne by the owner.</w:t>
      </w:r>
    </w:p>
    <w:p w14:paraId="6629050A"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(3)</w:t>
      </w:r>
      <w:r w:rsidRPr="007B726E">
        <w:rPr>
          <w:rFonts w:ascii="Times New Roman" w:eastAsia="Times New Roman" w:hAnsi="Times New Roman" w:cs="Times New Roman"/>
          <w:color w:val="000000"/>
          <w:kern w:val="0"/>
          <w14:ligatures w14:val="none"/>
        </w:rPr>
        <w:tab/>
        <w:t>The applicant shall submit a plan for management of open space and common facilities that:</w:t>
      </w:r>
    </w:p>
    <w:p w14:paraId="4EB3400D"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allocates responsibility and guidelines for the maintenance and operation of the open space and any facilities located thereon, including provisions for ongoing maintenance and for long-term capital improvements;</w:t>
      </w:r>
    </w:p>
    <w:p w14:paraId="4DAD1062"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estimates the costs and staffing requirements needed for maintenance and operation of, and insurance for, the open space and outlines the means by which such funding will be obtained or provided; </w:t>
      </w:r>
    </w:p>
    <w:p w14:paraId="035A5B65"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provides that any changes to the plan be approved by the City Council; and</w:t>
      </w:r>
    </w:p>
    <w:p w14:paraId="3C70D25C"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provides for enforcement of the plan.</w:t>
      </w:r>
    </w:p>
    <w:p w14:paraId="4F42F4C1"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(4)</w:t>
      </w:r>
      <w:r w:rsidRPr="007B726E">
        <w:rPr>
          <w:rFonts w:ascii="Times New Roman" w:eastAsia="Times New Roman" w:hAnsi="Times New Roman" w:cs="Times New Roman"/>
          <w:color w:val="000000"/>
          <w:kern w:val="0"/>
          <w14:ligatures w14:val="none"/>
        </w:rPr>
        <w:tab/>
        <w:t xml:space="preserve">In the event the party responsible for maintenance of the open space fails to maintain all or any portion in reasonable order and condition, Erda City may assume responsibility for its maintenance and may enter the premises and take corrective action, including the provision </w:t>
      </w:r>
      <w:r w:rsidRPr="007B726E">
        <w:rPr>
          <w:rFonts w:ascii="Times New Roman" w:eastAsia="Times New Roman" w:hAnsi="Times New Roman" w:cs="Times New Roman"/>
          <w:color w:val="000000"/>
          <w:kern w:val="0"/>
          <w14:ligatures w14:val="none"/>
        </w:rPr>
        <w:lastRenderedPageBreak/>
        <w:t>of extended maintenance. The costs of such maintenance may be charged to the homeowner’s association or to the individual property owners and may include administrative costs and penalties. Such costs shall become a lien on all subdivision properties in the case of a homeowner’s association or the open space property. </w:t>
      </w:r>
    </w:p>
    <w:p w14:paraId="56B46814"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r w:rsidRPr="007B726E">
        <w:rPr>
          <w:rFonts w:ascii="Times New Roman" w:eastAsia="Times New Roman" w:hAnsi="Times New Roman" w:cs="Times New Roman"/>
          <w:kern w:val="0"/>
          <w14:ligatures w14:val="none"/>
        </w:rPr>
        <w:br/>
      </w:r>
    </w:p>
    <w:p w14:paraId="6209AA8B"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16-7-12. Prohibited uses of open space.</w:t>
      </w:r>
    </w:p>
    <w:p w14:paraId="27E08A30"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Uses of open space shall not include the following:</w:t>
      </w:r>
    </w:p>
    <w:p w14:paraId="6C22184B"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roads;</w:t>
      </w:r>
    </w:p>
    <w:p w14:paraId="730AF2AC"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parking lots that occupy more than 15% of the open space;</w:t>
      </w:r>
    </w:p>
    <w:p w14:paraId="060CB363"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dwellings;</w:t>
      </w:r>
    </w:p>
    <w:p w14:paraId="304A9D0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commercial uses; or</w:t>
      </w:r>
    </w:p>
    <w:p w14:paraId="3976FAF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land set aside for use that solely benefits any one person or entity.</w:t>
      </w:r>
    </w:p>
    <w:p w14:paraId="2487E03B"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(2)</w:t>
      </w:r>
      <w:r w:rsidRPr="007B726E">
        <w:rPr>
          <w:rFonts w:ascii="Times New Roman" w:eastAsia="Times New Roman" w:hAnsi="Times New Roman" w:cs="Times New Roman"/>
          <w:color w:val="000000"/>
          <w:kern w:val="0"/>
          <w14:ligatures w14:val="none"/>
        </w:rPr>
        <w:tab/>
        <w:t>The instrument for permanent protection shall include clear restrictions on the use of the open space. </w:t>
      </w:r>
    </w:p>
    <w:p w14:paraId="0BB1F7E0" w14:textId="77777777" w:rsidR="007B726E" w:rsidRPr="007B726E" w:rsidRDefault="007B726E" w:rsidP="007B726E">
      <w:pPr>
        <w:spacing w:after="240" w:line="240" w:lineRule="auto"/>
        <w:rPr>
          <w:rFonts w:ascii="Times New Roman" w:eastAsia="Times New Roman" w:hAnsi="Times New Roman" w:cs="Times New Roman"/>
          <w:kern w:val="0"/>
          <w14:ligatures w14:val="none"/>
        </w:rPr>
      </w:pPr>
      <w:r w:rsidRPr="007B726E">
        <w:rPr>
          <w:rFonts w:ascii="Times New Roman" w:eastAsia="Times New Roman" w:hAnsi="Times New Roman" w:cs="Times New Roman"/>
          <w:kern w:val="0"/>
          <w14:ligatures w14:val="none"/>
        </w:rPr>
        <w:br/>
      </w:r>
    </w:p>
    <w:p w14:paraId="457F07F1"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16-7-13. Requirements for conservation easements.</w:t>
      </w:r>
    </w:p>
    <w:p w14:paraId="356091E7"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(1)</w:t>
      </w:r>
      <w:r w:rsidRPr="007B726E">
        <w:rPr>
          <w:rFonts w:ascii="Times New Roman" w:eastAsia="Times New Roman" w:hAnsi="Times New Roman" w:cs="Times New Roman"/>
          <w:color w:val="000000"/>
          <w:kern w:val="0"/>
          <w14:ligatures w14:val="none"/>
        </w:rPr>
        <w:tab/>
        <w:t>A conservation easement shall:</w:t>
      </w:r>
    </w:p>
    <w:p w14:paraId="54CA0D3B"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clearly delineate primary and secondary conservation areas;</w:t>
      </w:r>
    </w:p>
    <w:p w14:paraId="666A60C1"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describe the features of the subject property that should be permanently protected in accordance with the Land Conservation Easement Act, Utah Code Section 57 Chapter 18;</w:t>
      </w:r>
    </w:p>
    <w:p w14:paraId="1A0EC187"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 xml:space="preserve">clearly identify the boundaries of the property by survey and a </w:t>
      </w:r>
      <w:proofErr w:type="gramStart"/>
      <w:r w:rsidRPr="007B726E">
        <w:rPr>
          <w:rFonts w:ascii="Times New Roman" w:eastAsia="Times New Roman" w:hAnsi="Times New Roman" w:cs="Times New Roman"/>
          <w:color w:val="000000"/>
          <w:kern w:val="0"/>
          <w14:ligatures w14:val="none"/>
        </w:rPr>
        <w:t>metes</w:t>
      </w:r>
      <w:proofErr w:type="gramEnd"/>
      <w:r w:rsidRPr="007B726E">
        <w:rPr>
          <w:rFonts w:ascii="Times New Roman" w:eastAsia="Times New Roman" w:hAnsi="Times New Roman" w:cs="Times New Roman"/>
          <w:color w:val="000000"/>
          <w:kern w:val="0"/>
          <w14:ligatures w14:val="none"/>
        </w:rPr>
        <w:t xml:space="preserve"> and bounds legal description;</w:t>
      </w:r>
    </w:p>
    <w:p w14:paraId="432323B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clearly list restrictions;</w:t>
      </w:r>
    </w:p>
    <w:p w14:paraId="361E353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protect the open space in perpetuity by a binding legal instrument to be recorded, which instrument shall be:</w:t>
      </w:r>
    </w:p>
    <w:p w14:paraId="3FEC63FC"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w:t>
      </w:r>
      <w:proofErr w:type="spellStart"/>
      <w:r w:rsidRPr="007B726E">
        <w:rPr>
          <w:rFonts w:ascii="Times New Roman" w:eastAsia="Times New Roman" w:hAnsi="Times New Roman" w:cs="Times New Roman"/>
          <w:color w:val="000000"/>
          <w:kern w:val="0"/>
          <w14:ligatures w14:val="none"/>
        </w:rPr>
        <w:t>i</w:t>
      </w:r>
      <w:proofErr w:type="spellEnd"/>
      <w:r w:rsidRPr="007B726E">
        <w:rPr>
          <w:rFonts w:ascii="Times New Roman" w:eastAsia="Times New Roman" w:hAnsi="Times New Roman" w:cs="Times New Roman"/>
          <w:color w:val="000000"/>
          <w:kern w:val="0"/>
          <w14:ligatures w14:val="none"/>
        </w:rPr>
        <w:t xml:space="preserve">) </w:t>
      </w:r>
      <w:r w:rsidRPr="007B726E">
        <w:rPr>
          <w:rFonts w:ascii="Times New Roman" w:eastAsia="Times New Roman" w:hAnsi="Times New Roman" w:cs="Times New Roman"/>
          <w:color w:val="000000"/>
          <w:kern w:val="0"/>
          <w14:ligatures w14:val="none"/>
        </w:rPr>
        <w:tab/>
        <w:t>a permanent conservation easement in favor of either:</w:t>
      </w:r>
    </w:p>
    <w:p w14:paraId="6AC48EB0" w14:textId="77777777" w:rsidR="007B726E" w:rsidRPr="007B726E" w:rsidRDefault="007B726E" w:rsidP="007B726E">
      <w:pPr>
        <w:spacing w:after="0" w:line="240" w:lineRule="auto"/>
        <w:ind w:left="117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a land trust or similar conservation-oriented non-profit organization with legal authority to accept such easements. The organization shall be bona fide and in perpetual existence and the conveyance instruments shall contain an appropriate provision for retransfer in the event the organization becomes unable to carry out its functions; or </w:t>
      </w:r>
    </w:p>
    <w:p w14:paraId="11A2F578" w14:textId="77777777" w:rsidR="007B726E" w:rsidRPr="007B726E" w:rsidRDefault="007B726E" w:rsidP="007B726E">
      <w:pPr>
        <w:spacing w:after="0" w:line="240" w:lineRule="auto"/>
        <w:ind w:left="117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a governmental entity with an interest in pursuing goals compatible with the purposes of this chapter;</w:t>
      </w:r>
    </w:p>
    <w:p w14:paraId="33AFB5EA"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(ii)</w:t>
      </w:r>
      <w:r w:rsidRPr="007B726E">
        <w:rPr>
          <w:rFonts w:ascii="Times New Roman" w:eastAsia="Times New Roman" w:hAnsi="Times New Roman" w:cs="Times New Roman"/>
          <w:color w:val="000000"/>
          <w:kern w:val="0"/>
          <w14:ligatures w14:val="none"/>
        </w:rPr>
        <w:tab/>
        <w:t>a permanent restrictive covenant for conservation purposes in favor of a governmental entity; or</w:t>
      </w:r>
    </w:p>
    <w:p w14:paraId="76E2AA1F" w14:textId="77777777" w:rsidR="007B726E" w:rsidRPr="007B726E" w:rsidRDefault="007B726E" w:rsidP="007B726E">
      <w:pPr>
        <w:spacing w:after="0" w:line="240" w:lineRule="auto"/>
        <w:ind w:left="810"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(iii)</w:t>
      </w:r>
      <w:r w:rsidRPr="007B726E">
        <w:rPr>
          <w:rFonts w:ascii="Times New Roman" w:eastAsia="Times New Roman" w:hAnsi="Times New Roman" w:cs="Times New Roman"/>
          <w:color w:val="000000"/>
          <w:kern w:val="0"/>
          <w14:ligatures w14:val="none"/>
        </w:rPr>
        <w:tab/>
        <w:t>an equivalent legal tool that provides permanent protection, if approved by Erda City;</w:t>
      </w:r>
    </w:p>
    <w:p w14:paraId="70A5587A"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(f)</w:t>
      </w:r>
      <w:r w:rsidRPr="007B726E">
        <w:rPr>
          <w:rFonts w:ascii="Times New Roman" w:eastAsia="Times New Roman" w:hAnsi="Times New Roman" w:cs="Times New Roman"/>
          <w:color w:val="000000"/>
          <w:kern w:val="0"/>
          <w14:ligatures w14:val="none"/>
        </w:rPr>
        <w:tab/>
        <w:t>show the area and a notation as to the conservation easement on the final plat and be duly recorded with the office of the County Recorder; and</w:t>
      </w:r>
    </w:p>
    <w:p w14:paraId="12402BD8"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(g)</w:t>
      </w:r>
      <w:r w:rsidRPr="007B726E">
        <w:rPr>
          <w:rFonts w:ascii="Times New Roman" w:eastAsia="Times New Roman" w:hAnsi="Times New Roman" w:cs="Times New Roman"/>
          <w:color w:val="000000"/>
          <w:kern w:val="0"/>
          <w14:ligatures w14:val="none"/>
        </w:rPr>
        <w:tab/>
        <w:t>provide for amendments only with the express written permission of the property owners, the holder of the easement, and Erda City.</w:t>
      </w:r>
    </w:p>
    <w:p w14:paraId="42DECA1F" w14:textId="77777777" w:rsidR="007B726E" w:rsidRPr="007B726E" w:rsidRDefault="007B726E" w:rsidP="007B726E">
      <w:pPr>
        <w:spacing w:after="0" w:line="240" w:lineRule="auto"/>
        <w:ind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lastRenderedPageBreak/>
        <w:t>(2)</w:t>
      </w:r>
      <w:r w:rsidRPr="007B726E">
        <w:rPr>
          <w:rFonts w:ascii="Times New Roman" w:eastAsia="Times New Roman" w:hAnsi="Times New Roman" w:cs="Times New Roman"/>
          <w:color w:val="000000"/>
          <w:kern w:val="0"/>
          <w14:ligatures w14:val="none"/>
        </w:rPr>
        <w:tab/>
        <w:t>If the entity accepting the easement is not Erda City, then a third right of enforcement favoring Erda City shall be included in the easement.</w:t>
      </w:r>
    </w:p>
    <w:p w14:paraId="77FCDA21" w14:textId="77777777" w:rsidR="007B726E" w:rsidRPr="007B726E" w:rsidRDefault="007B726E" w:rsidP="007B726E">
      <w:pPr>
        <w:spacing w:after="0" w:line="240" w:lineRule="auto"/>
        <w:ind w:firstLine="18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(3)</w:t>
      </w:r>
      <w:r w:rsidRPr="007B726E">
        <w:rPr>
          <w:rFonts w:ascii="Times New Roman" w:eastAsia="Times New Roman" w:hAnsi="Times New Roman" w:cs="Times New Roman"/>
          <w:color w:val="000000"/>
          <w:kern w:val="0"/>
          <w14:ligatures w14:val="none"/>
        </w:rPr>
        <w:tab/>
        <w:t>The permanent restrictive covenants shall:</w:t>
      </w:r>
    </w:p>
    <w:p w14:paraId="3A492025"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w:t>
      </w:r>
      <w:r w:rsidRPr="007B726E">
        <w:rPr>
          <w:rFonts w:ascii="Times New Roman" w:eastAsia="Times New Roman" w:hAnsi="Times New Roman" w:cs="Times New Roman"/>
          <w:color w:val="000000"/>
          <w:kern w:val="0"/>
          <w14:ligatures w14:val="none"/>
        </w:rPr>
        <w:tab/>
        <w:t>clearly delineate the primary and secondary conservation areas;</w:t>
      </w:r>
    </w:p>
    <w:p w14:paraId="22630489"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(b)</w:t>
      </w:r>
      <w:r w:rsidRPr="007B726E">
        <w:rPr>
          <w:rFonts w:ascii="Times New Roman" w:eastAsia="Times New Roman" w:hAnsi="Times New Roman" w:cs="Times New Roman"/>
          <w:color w:val="000000"/>
          <w:kern w:val="0"/>
          <w14:ligatures w14:val="none"/>
        </w:rPr>
        <w:tab/>
        <w:t>describe the features of the subject property that should be permanently protected;</w:t>
      </w:r>
    </w:p>
    <w:p w14:paraId="4BB1AE1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(c)</w:t>
      </w:r>
      <w:r w:rsidRPr="007B726E">
        <w:rPr>
          <w:rFonts w:ascii="Times New Roman" w:eastAsia="Times New Roman" w:hAnsi="Times New Roman" w:cs="Times New Roman"/>
          <w:color w:val="000000"/>
          <w:kern w:val="0"/>
          <w14:ligatures w14:val="none"/>
        </w:rPr>
        <w:tab/>
        <w:t xml:space="preserve">clearly identify the boundaries of the property by survey and a </w:t>
      </w:r>
      <w:proofErr w:type="gramStart"/>
      <w:r w:rsidRPr="007B726E">
        <w:rPr>
          <w:rFonts w:ascii="Times New Roman" w:eastAsia="Times New Roman" w:hAnsi="Times New Roman" w:cs="Times New Roman"/>
          <w:color w:val="000000"/>
          <w:kern w:val="0"/>
          <w14:ligatures w14:val="none"/>
        </w:rPr>
        <w:t>metes</w:t>
      </w:r>
      <w:proofErr w:type="gramEnd"/>
      <w:r w:rsidRPr="007B726E">
        <w:rPr>
          <w:rFonts w:ascii="Times New Roman" w:eastAsia="Times New Roman" w:hAnsi="Times New Roman" w:cs="Times New Roman"/>
          <w:color w:val="000000"/>
          <w:kern w:val="0"/>
          <w14:ligatures w14:val="none"/>
        </w:rPr>
        <w:t xml:space="preserve"> and bounds legal description;</w:t>
      </w:r>
    </w:p>
    <w:p w14:paraId="7A71B77F"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(d)</w:t>
      </w:r>
      <w:r w:rsidRPr="007B726E">
        <w:rPr>
          <w:rFonts w:ascii="Times New Roman" w:eastAsia="Times New Roman" w:hAnsi="Times New Roman" w:cs="Times New Roman"/>
          <w:color w:val="000000"/>
          <w:kern w:val="0"/>
          <w14:ligatures w14:val="none"/>
        </w:rPr>
        <w:tab/>
        <w:t>clearly list restrictions;</w:t>
      </w:r>
    </w:p>
    <w:p w14:paraId="779973FA"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(e)</w:t>
      </w:r>
      <w:r w:rsidRPr="007B726E">
        <w:rPr>
          <w:rFonts w:ascii="Times New Roman" w:eastAsia="Times New Roman" w:hAnsi="Times New Roman" w:cs="Times New Roman"/>
          <w:color w:val="000000"/>
          <w:kern w:val="0"/>
          <w14:ligatures w14:val="none"/>
        </w:rPr>
        <w:tab/>
        <w:t>provide for inspections of the property by Erda City;</w:t>
      </w:r>
    </w:p>
    <w:p w14:paraId="55032CF0"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(f)</w:t>
      </w:r>
      <w:r w:rsidRPr="007B726E">
        <w:rPr>
          <w:rFonts w:ascii="Times New Roman" w:eastAsia="Times New Roman" w:hAnsi="Times New Roman" w:cs="Times New Roman"/>
          <w:color w:val="000000"/>
          <w:kern w:val="0"/>
          <w14:ligatures w14:val="none"/>
        </w:rPr>
        <w:tab/>
        <w:t>provide for maintenance of the property;</w:t>
      </w:r>
    </w:p>
    <w:p w14:paraId="75DFDB69"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(g)</w:t>
      </w:r>
      <w:r w:rsidRPr="007B726E">
        <w:rPr>
          <w:rFonts w:ascii="Times New Roman" w:eastAsia="Times New Roman" w:hAnsi="Times New Roman" w:cs="Times New Roman"/>
          <w:color w:val="000000"/>
          <w:kern w:val="0"/>
          <w14:ligatures w14:val="none"/>
        </w:rPr>
        <w:tab/>
        <w:t>be shown on the final plat and duly recorded with the office of the County Recorder; and</w:t>
      </w:r>
    </w:p>
    <w:p w14:paraId="27F13E63" w14:textId="77777777" w:rsidR="007B726E" w:rsidRPr="007B726E" w:rsidRDefault="007B726E" w:rsidP="007B726E">
      <w:pPr>
        <w:spacing w:after="0" w:line="240" w:lineRule="auto"/>
        <w:ind w:left="360" w:firstLine="270"/>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(h)</w:t>
      </w:r>
      <w:r w:rsidRPr="007B726E">
        <w:rPr>
          <w:rFonts w:ascii="Times New Roman" w:eastAsia="Times New Roman" w:hAnsi="Times New Roman" w:cs="Times New Roman"/>
          <w:color w:val="000000"/>
          <w:kern w:val="0"/>
          <w14:ligatures w14:val="none"/>
        </w:rPr>
        <w:tab/>
        <w:t>provide for amendments only with the express written permission of the property owners and Erda City, which amendments to the covenant shall be recorded in the office of the County/City Recorder. </w:t>
      </w:r>
    </w:p>
    <w:p w14:paraId="6CF31D86" w14:textId="77777777" w:rsidR="007B726E" w:rsidRPr="007B726E" w:rsidRDefault="007B726E" w:rsidP="007B726E">
      <w:pPr>
        <w:spacing w:after="0" w:line="240" w:lineRule="auto"/>
        <w:rPr>
          <w:rFonts w:ascii="Times New Roman" w:eastAsia="Times New Roman" w:hAnsi="Times New Roman" w:cs="Times New Roman"/>
          <w:kern w:val="0"/>
          <w14:ligatures w14:val="none"/>
        </w:rPr>
      </w:pPr>
    </w:p>
    <w:p w14:paraId="45C09B69" w14:textId="77777777" w:rsidR="007B726E" w:rsidRPr="007B726E" w:rsidRDefault="007B726E" w:rsidP="007B726E">
      <w:pPr>
        <w:spacing w:after="0" w:line="240" w:lineRule="auto"/>
        <w:jc w:val="both"/>
        <w:outlineLvl w:val="2"/>
        <w:rPr>
          <w:rFonts w:ascii="Times New Roman" w:eastAsia="Times New Roman" w:hAnsi="Times New Roman" w:cs="Times New Roman"/>
          <w:b/>
          <w:bCs/>
          <w:kern w:val="0"/>
          <w:sz w:val="27"/>
          <w:szCs w:val="27"/>
          <w14:ligatures w14:val="none"/>
        </w:rPr>
      </w:pPr>
      <w:r w:rsidRPr="007B726E">
        <w:rPr>
          <w:rFonts w:ascii="Times New Roman" w:eastAsia="Times New Roman" w:hAnsi="Times New Roman" w:cs="Times New Roman"/>
          <w:b/>
          <w:bCs/>
          <w:color w:val="000000"/>
          <w:kern w:val="0"/>
          <w14:ligatures w14:val="none"/>
        </w:rPr>
        <w:t>16-7-14. Notice of disclosure.</w:t>
      </w:r>
    </w:p>
    <w:p w14:paraId="0916DD32" w14:textId="77777777" w:rsidR="007B726E" w:rsidRPr="007B726E" w:rsidRDefault="007B726E" w:rsidP="007B726E">
      <w:pPr>
        <w:spacing w:after="0" w:line="240" w:lineRule="auto"/>
        <w:jc w:val="both"/>
        <w:rPr>
          <w:rFonts w:ascii="Times New Roman" w:eastAsia="Times New Roman" w:hAnsi="Times New Roman" w:cs="Times New Roman"/>
          <w:kern w:val="0"/>
          <w14:ligatures w14:val="none"/>
        </w:rPr>
      </w:pPr>
      <w:r w:rsidRPr="007B726E">
        <w:rPr>
          <w:rFonts w:ascii="Times New Roman" w:eastAsia="Times New Roman" w:hAnsi="Times New Roman" w:cs="Times New Roman"/>
          <w:color w:val="000000"/>
          <w:kern w:val="0"/>
          <w14:ligatures w14:val="none"/>
        </w:rPr>
        <w:tab/>
        <w:t>Before Erda City receives a conservation easement, it shall be disclosed to the easement’s grantor, at least three days prior to the granting of the easement, the types of conservation easements available, the legal effect of each easement, and that the grantor should contact an attorney concerning any possible legal and tax implications of granting a conservation easement. </w:t>
      </w:r>
    </w:p>
    <w:p w14:paraId="5998E80F" w14:textId="77777777" w:rsidR="007B726E" w:rsidRDefault="007B726E"/>
    <w:sectPr w:rsidR="007B72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comments="0" w:insDel="0" w:formatting="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26E"/>
    <w:rsid w:val="007B726E"/>
    <w:rsid w:val="00A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E9274"/>
  <w15:chartTrackingRefBased/>
  <w15:docId w15:val="{28EF5F70-875D-4DEC-85AD-975784A43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726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B726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B726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B726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B726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B726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B726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B726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B726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726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B726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B726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B726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B726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B726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B726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B726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B726E"/>
    <w:rPr>
      <w:rFonts w:eastAsiaTheme="majorEastAsia" w:cstheme="majorBidi"/>
      <w:color w:val="272727" w:themeColor="text1" w:themeTint="D8"/>
    </w:rPr>
  </w:style>
  <w:style w:type="paragraph" w:styleId="Title">
    <w:name w:val="Title"/>
    <w:basedOn w:val="Normal"/>
    <w:next w:val="Normal"/>
    <w:link w:val="TitleChar"/>
    <w:uiPriority w:val="10"/>
    <w:qFormat/>
    <w:rsid w:val="007B726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726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B726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B726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B726E"/>
    <w:pPr>
      <w:spacing w:before="160"/>
      <w:jc w:val="center"/>
    </w:pPr>
    <w:rPr>
      <w:i/>
      <w:iCs/>
      <w:color w:val="404040" w:themeColor="text1" w:themeTint="BF"/>
    </w:rPr>
  </w:style>
  <w:style w:type="character" w:customStyle="1" w:styleId="QuoteChar">
    <w:name w:val="Quote Char"/>
    <w:basedOn w:val="DefaultParagraphFont"/>
    <w:link w:val="Quote"/>
    <w:uiPriority w:val="29"/>
    <w:rsid w:val="007B726E"/>
    <w:rPr>
      <w:i/>
      <w:iCs/>
      <w:color w:val="404040" w:themeColor="text1" w:themeTint="BF"/>
    </w:rPr>
  </w:style>
  <w:style w:type="paragraph" w:styleId="ListParagraph">
    <w:name w:val="List Paragraph"/>
    <w:basedOn w:val="Normal"/>
    <w:uiPriority w:val="34"/>
    <w:qFormat/>
    <w:rsid w:val="007B726E"/>
    <w:pPr>
      <w:ind w:left="720"/>
      <w:contextualSpacing/>
    </w:pPr>
  </w:style>
  <w:style w:type="character" w:styleId="IntenseEmphasis">
    <w:name w:val="Intense Emphasis"/>
    <w:basedOn w:val="DefaultParagraphFont"/>
    <w:uiPriority w:val="21"/>
    <w:qFormat/>
    <w:rsid w:val="007B726E"/>
    <w:rPr>
      <w:i/>
      <w:iCs/>
      <w:color w:val="2F5496" w:themeColor="accent1" w:themeShade="BF"/>
    </w:rPr>
  </w:style>
  <w:style w:type="paragraph" w:styleId="IntenseQuote">
    <w:name w:val="Intense Quote"/>
    <w:basedOn w:val="Normal"/>
    <w:next w:val="Normal"/>
    <w:link w:val="IntenseQuoteChar"/>
    <w:uiPriority w:val="30"/>
    <w:qFormat/>
    <w:rsid w:val="007B72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B726E"/>
    <w:rPr>
      <w:i/>
      <w:iCs/>
      <w:color w:val="2F5496" w:themeColor="accent1" w:themeShade="BF"/>
    </w:rPr>
  </w:style>
  <w:style w:type="character" w:styleId="IntenseReference">
    <w:name w:val="Intense Reference"/>
    <w:basedOn w:val="DefaultParagraphFont"/>
    <w:uiPriority w:val="32"/>
    <w:qFormat/>
    <w:rsid w:val="007B72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502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2493</Words>
  <Characters>14211</Characters>
  <Application>Microsoft Office Word</Application>
  <DocSecurity>0</DocSecurity>
  <Lines>118</Lines>
  <Paragraphs>33</Paragraphs>
  <ScaleCrop>false</ScaleCrop>
  <Company/>
  <LinksUpToDate>false</LinksUpToDate>
  <CharactersWithSpaces>16671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Rachelle Custer</dc:creator>
  <cp:keywords/>
  <dc:description/>
  <cp:lastModifiedBy>Rachelle Custer</cp:lastModifiedBy>
  <cp:revision>1</cp:revision>
  <dcterms:created xsi:type="dcterms:W3CDTF">2025-03-28T21:00:00Z</dcterms:created>
  <dcterms:modified xsi:type="dcterms:W3CDTF">2025-03-28T21:02:00Z</dcterms:modified>
</cp:coreProperties>
</file>