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620A4" w14:textId="77777777" w:rsidR="00E836E7" w:rsidRPr="00D81F5A" w:rsidRDefault="00E836E7" w:rsidP="00E836E7">
      <w:pPr>
        <w:pStyle w:val="Header"/>
        <w:jc w:val="both"/>
        <w:rPr>
          <w:b/>
          <w:i/>
          <w:iCs/>
          <w:color w:val="808080" w:themeColor="background1" w:themeShade="80"/>
          <w:sz w:val="20"/>
        </w:rPr>
      </w:pPr>
      <w:bookmarkStart w:id="0" w:name="_Hlk57210133"/>
      <w:r w:rsidRPr="00D81F5A">
        <w:rPr>
          <w:b/>
          <w:i/>
          <w:iCs/>
          <w:color w:val="808080" w:themeColor="background1" w:themeShade="80"/>
          <w:sz w:val="20"/>
        </w:rPr>
        <w:t xml:space="preserve">Please note: These minutes have been prepared with a timestamp linking the agenda items to the video discussion. </w:t>
      </w:r>
    </w:p>
    <w:tbl>
      <w:tblPr>
        <w:tblW w:w="4983" w:type="pct"/>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948"/>
      </w:tblGrid>
      <w:tr w:rsidR="00E836E7" w:rsidRPr="00D81F5A" w14:paraId="37FF95F6" w14:textId="77777777" w:rsidTr="004F7FC9">
        <w:trPr>
          <w:trHeight w:val="195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7DEF54B" w14:textId="77777777" w:rsidR="00E836E7" w:rsidRPr="00D81F5A" w:rsidRDefault="00E836E7" w:rsidP="004F7FC9">
            <w:pPr>
              <w:jc w:val="both"/>
            </w:pPr>
            <w:r w:rsidRPr="00D81F5A">
              <w:br w:type="page"/>
            </w:r>
            <w:r w:rsidRPr="00D81F5A">
              <w:br w:type="page"/>
            </w:r>
            <w:r w:rsidRPr="00D81F5A">
              <w:br w:type="page"/>
            </w:r>
            <w:r w:rsidRPr="00D81F5A">
              <w:br w:type="page"/>
            </w:r>
            <w:r w:rsidRPr="00D81F5A">
              <w:rPr>
                <w:noProof/>
              </w:rPr>
              <w:drawing>
                <wp:inline distT="0" distB="0" distL="0" distR="0" wp14:anchorId="7C03B0C9" wp14:editId="34A1F898">
                  <wp:extent cx="1371666" cy="1379979"/>
                  <wp:effectExtent l="0" t="0" r="0" b="0"/>
                  <wp:docPr id="1550032730" name="Picture 1550032730"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32730" name="Picture 1550032730" descr="A logo of a mountain with sun and wav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71666" cy="1379979"/>
                          </a:xfrm>
                          <a:prstGeom prst="rect">
                            <a:avLst/>
                          </a:prstGeom>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F74FD30" w14:textId="77777777" w:rsidR="00E836E7" w:rsidRPr="00D81F5A" w:rsidRDefault="00E836E7" w:rsidP="004F7FC9">
            <w:pPr>
              <w:rPr>
                <w:b/>
                <w:bCs/>
                <w:sz w:val="36"/>
                <w:szCs w:val="36"/>
              </w:rPr>
            </w:pPr>
            <w:r w:rsidRPr="00D81F5A">
              <w:rPr>
                <w:b/>
                <w:bCs/>
                <w:sz w:val="36"/>
                <w:szCs w:val="36"/>
              </w:rPr>
              <w:t>PROVO MUNICIPAL COUNCIL</w:t>
            </w:r>
          </w:p>
          <w:p w14:paraId="3621E418" w14:textId="77777777" w:rsidR="00E836E7" w:rsidRPr="00D81F5A" w:rsidRDefault="00E836E7" w:rsidP="004F7FC9">
            <w:pPr>
              <w:rPr>
                <w:b/>
                <w:bCs/>
                <w:sz w:val="28"/>
                <w:szCs w:val="28"/>
              </w:rPr>
            </w:pPr>
            <w:r w:rsidRPr="00D81F5A">
              <w:rPr>
                <w:b/>
                <w:bCs/>
                <w:sz w:val="28"/>
                <w:szCs w:val="28"/>
              </w:rPr>
              <w:t>Work Meeting Minutes</w:t>
            </w:r>
          </w:p>
          <w:p w14:paraId="4D383566" w14:textId="30C27C20" w:rsidR="00E836E7" w:rsidRPr="00D81F5A" w:rsidRDefault="00107CB4" w:rsidP="004F7FC9">
            <w:r>
              <w:t>12:00 PM | April 22, 2025</w:t>
            </w:r>
          </w:p>
          <w:p w14:paraId="00656B3E" w14:textId="77777777" w:rsidR="00E836E7" w:rsidRPr="00D81F5A" w:rsidRDefault="00E836E7" w:rsidP="004F7FC9">
            <w:r w:rsidRPr="00D81F5A">
              <w:t>Provo Peak Room</w:t>
            </w:r>
          </w:p>
          <w:p w14:paraId="4DCFCD30" w14:textId="77777777" w:rsidR="00E836E7" w:rsidRPr="00D81F5A" w:rsidRDefault="00E836E7" w:rsidP="004F7FC9">
            <w:r w:rsidRPr="00D81F5A">
              <w:t xml:space="preserve">Hybrid meeting: 445 W. Center Street, Provo, UT 84601 or </w:t>
            </w:r>
            <w:hyperlink r:id="rId11" w:history="1">
              <w:r w:rsidRPr="00D81F5A">
                <w:rPr>
                  <w:rStyle w:val="Hyperlink"/>
                </w:rPr>
                <w:t>https://www.youtube.com/provocitycouncil</w:t>
              </w:r>
            </w:hyperlink>
            <w:r w:rsidRPr="00D81F5A">
              <w:t xml:space="preserve"> </w:t>
            </w:r>
          </w:p>
        </w:tc>
      </w:tr>
    </w:tbl>
    <w:bookmarkEnd w:id="0"/>
    <w:p w14:paraId="6328D954" w14:textId="77777777" w:rsidR="00E836E7" w:rsidRPr="00D81F5A" w:rsidRDefault="00E836E7" w:rsidP="00E836E7">
      <w:pPr>
        <w:jc w:val="both"/>
        <w:rPr>
          <w:b/>
          <w:bCs/>
          <w:sz w:val="28"/>
          <w:szCs w:val="28"/>
        </w:rPr>
      </w:pPr>
      <w:r w:rsidRPr="00D81F5A">
        <w:rPr>
          <w:b/>
          <w:bCs/>
          <w:sz w:val="28"/>
          <w:szCs w:val="28"/>
        </w:rPr>
        <w:t xml:space="preserve">Agenda </w:t>
      </w:r>
    </w:p>
    <w:p w14:paraId="312658FD" w14:textId="77777777" w:rsidR="00E836E7" w:rsidRPr="00D81F5A" w:rsidRDefault="00E836E7" w:rsidP="00E836E7">
      <w:pPr>
        <w:jc w:val="both"/>
      </w:pPr>
    </w:p>
    <w:p w14:paraId="2730A3D9" w14:textId="77777777" w:rsidR="00E836E7" w:rsidRPr="00D81F5A" w:rsidRDefault="00E836E7" w:rsidP="00E836E7">
      <w:pPr>
        <w:jc w:val="both"/>
      </w:pPr>
      <w:r w:rsidRPr="00D81F5A">
        <w:rPr>
          <w:b/>
          <w:bCs/>
          <w:sz w:val="28"/>
          <w:szCs w:val="28"/>
        </w:rPr>
        <w:t xml:space="preserve">Roll Call </w:t>
      </w:r>
    </w:p>
    <w:p w14:paraId="100A8FAE" w14:textId="77777777" w:rsidR="00E836E7" w:rsidRPr="00D81F5A" w:rsidRDefault="00E836E7" w:rsidP="00E836E7">
      <w:pPr>
        <w:ind w:firstLine="720"/>
        <w:jc w:val="both"/>
      </w:pPr>
      <w:r w:rsidRPr="00D81F5A">
        <w:t xml:space="preserve">Council Chair </w:t>
      </w:r>
      <w:r w:rsidR="00807CEC">
        <w:t>Gary Garrett</w:t>
      </w:r>
      <w:r w:rsidRPr="00D81F5A">
        <w:t>, conducting</w:t>
      </w:r>
    </w:p>
    <w:p w14:paraId="0036C382" w14:textId="77777777" w:rsidR="00E836E7" w:rsidRDefault="00E836E7" w:rsidP="00E836E7">
      <w:pPr>
        <w:ind w:firstLine="720"/>
        <w:jc w:val="both"/>
      </w:pPr>
      <w:r w:rsidRPr="00D81F5A">
        <w:t>Council Vice-Chair Rachel Whipple</w:t>
      </w:r>
    </w:p>
    <w:p w14:paraId="4FF6F5AB" w14:textId="77777777" w:rsidR="00807CEC" w:rsidRDefault="00807CEC" w:rsidP="00E836E7">
      <w:pPr>
        <w:ind w:firstLine="720"/>
        <w:jc w:val="both"/>
      </w:pPr>
      <w:r>
        <w:t>Councilor Katrice MacKay</w:t>
      </w:r>
    </w:p>
    <w:p w14:paraId="503B77BD" w14:textId="735B0B75" w:rsidR="00807CEC" w:rsidRDefault="00807CEC" w:rsidP="00E836E7">
      <w:pPr>
        <w:ind w:firstLine="720"/>
        <w:jc w:val="both"/>
      </w:pPr>
      <w:r>
        <w:t>Councilor Craig Christensen</w:t>
      </w:r>
      <w:r w:rsidR="00FB6906">
        <w:t xml:space="preserve"> (Excused)</w:t>
      </w:r>
    </w:p>
    <w:p w14:paraId="146D74FD" w14:textId="77777777" w:rsidR="00807CEC" w:rsidRPr="00D81F5A" w:rsidRDefault="00807CEC" w:rsidP="00E836E7">
      <w:pPr>
        <w:ind w:firstLine="720"/>
        <w:jc w:val="both"/>
      </w:pPr>
      <w:r>
        <w:t>Councilor George Handley</w:t>
      </w:r>
    </w:p>
    <w:p w14:paraId="462DD3E5" w14:textId="77777777" w:rsidR="00807CEC" w:rsidRPr="00D81F5A" w:rsidRDefault="00E836E7" w:rsidP="00E836E7">
      <w:pPr>
        <w:jc w:val="both"/>
      </w:pPr>
      <w:r w:rsidRPr="00D81F5A">
        <w:tab/>
        <w:t>Councilor Becky Bogdin</w:t>
      </w:r>
    </w:p>
    <w:p w14:paraId="6726C4B1" w14:textId="155AB2B6" w:rsidR="00E836E7" w:rsidRPr="00D81F5A" w:rsidRDefault="00E836E7" w:rsidP="00E836E7">
      <w:pPr>
        <w:jc w:val="both"/>
      </w:pPr>
      <w:r w:rsidRPr="00D81F5A">
        <w:tab/>
        <w:t xml:space="preserve">Councilor </w:t>
      </w:r>
      <w:r w:rsidR="00807CEC">
        <w:t>Travis Hoban</w:t>
      </w:r>
      <w:r w:rsidR="008138A8">
        <w:t xml:space="preserve"> (Joined 1:22 PM)</w:t>
      </w:r>
    </w:p>
    <w:p w14:paraId="5554A599" w14:textId="77777777" w:rsidR="006C48AD" w:rsidRPr="00D81F5A" w:rsidRDefault="00E836E7" w:rsidP="006C48AD">
      <w:pPr>
        <w:jc w:val="both"/>
      </w:pPr>
      <w:r w:rsidRPr="00D81F5A">
        <w:tab/>
      </w:r>
      <w:r w:rsidR="006C48AD" w:rsidRPr="00D81F5A">
        <w:t>Mayor Michelle Kaufusi</w:t>
      </w:r>
    </w:p>
    <w:p w14:paraId="2B61BC9E" w14:textId="77777777" w:rsidR="00E836E7" w:rsidRPr="00D81F5A" w:rsidRDefault="00E836E7" w:rsidP="00E836E7">
      <w:pPr>
        <w:jc w:val="both"/>
      </w:pPr>
    </w:p>
    <w:p w14:paraId="5F8DD1AA" w14:textId="77777777" w:rsidR="00807CEC" w:rsidRDefault="00807CEC" w:rsidP="00E836E7">
      <w:pPr>
        <w:jc w:val="both"/>
        <w:rPr>
          <w:b/>
          <w:bCs/>
          <w:sz w:val="28"/>
          <w:szCs w:val="28"/>
        </w:rPr>
      </w:pPr>
      <w:r>
        <w:rPr>
          <w:b/>
          <w:bCs/>
          <w:sz w:val="28"/>
          <w:szCs w:val="28"/>
        </w:rPr>
        <w:t>Approval of Minutes</w:t>
      </w:r>
    </w:p>
    <w:p w14:paraId="5EB13F8C" w14:textId="77777777" w:rsidR="00807CEC" w:rsidRDefault="00807CEC" w:rsidP="00E836E7">
      <w:pPr>
        <w:jc w:val="both"/>
        <w:rPr>
          <w:b/>
          <w:bCs/>
          <w:sz w:val="28"/>
          <w:szCs w:val="28"/>
        </w:rPr>
      </w:pPr>
    </w:p>
    <w:p w14:paraId="18DBA161" w14:textId="0BD1FF54" w:rsidR="00921B43" w:rsidRPr="005D4264" w:rsidRDefault="00921B43" w:rsidP="00921B43">
      <w:pPr>
        <w:pStyle w:val="ListParagraph"/>
        <w:numPr>
          <w:ilvl w:val="0"/>
          <w:numId w:val="2"/>
        </w:numPr>
        <w:jc w:val="both"/>
        <w:rPr>
          <w:sz w:val="28"/>
          <w:szCs w:val="28"/>
        </w:rPr>
      </w:pPr>
      <w:r w:rsidRPr="005D4264">
        <w:rPr>
          <w:sz w:val="28"/>
          <w:szCs w:val="28"/>
        </w:rPr>
        <w:t xml:space="preserve">April 8, 2025 Work Meeting </w:t>
      </w:r>
    </w:p>
    <w:p w14:paraId="50DFC110" w14:textId="77777777" w:rsidR="00807CEC" w:rsidRDefault="00807CEC" w:rsidP="00E836E7">
      <w:pPr>
        <w:jc w:val="both"/>
        <w:rPr>
          <w:b/>
          <w:bCs/>
          <w:sz w:val="28"/>
          <w:szCs w:val="28"/>
        </w:rPr>
      </w:pPr>
    </w:p>
    <w:p w14:paraId="32FE6F89" w14:textId="77777777" w:rsidR="00E836E7" w:rsidRPr="00D81F5A" w:rsidRDefault="00E836E7" w:rsidP="00E836E7">
      <w:pPr>
        <w:jc w:val="both"/>
        <w:rPr>
          <w:b/>
          <w:bCs/>
          <w:sz w:val="28"/>
          <w:szCs w:val="28"/>
        </w:rPr>
      </w:pPr>
      <w:r w:rsidRPr="00D81F5A">
        <w:rPr>
          <w:b/>
          <w:bCs/>
          <w:sz w:val="28"/>
          <w:szCs w:val="28"/>
        </w:rPr>
        <w:t>Business</w:t>
      </w:r>
    </w:p>
    <w:p w14:paraId="12EF655D" w14:textId="10AC5422" w:rsidR="00921B43" w:rsidRDefault="00921B43" w:rsidP="00921B43">
      <w:pPr>
        <w:pStyle w:val="NormalWeb"/>
      </w:pPr>
      <w:r>
        <w:rPr>
          <w:rStyle w:val="Strong"/>
          <w:rFonts w:eastAsiaTheme="majorEastAsia"/>
        </w:rPr>
        <w:t>Item 1: An Ordinance Adjusting the Common Boundary Between Provo and Springville Along 1400 North in Springville. (25-021)</w:t>
      </w:r>
      <w:r w:rsidR="005D4264">
        <w:rPr>
          <w:rStyle w:val="Strong"/>
          <w:rFonts w:eastAsiaTheme="majorEastAsia"/>
        </w:rPr>
        <w:t xml:space="preserve"> </w:t>
      </w:r>
      <w:hyperlink r:id="rId12" w:history="1">
        <w:r w:rsidR="005D4264" w:rsidRPr="005D4264">
          <w:rPr>
            <w:rStyle w:val="Hyperlink"/>
            <w:rFonts w:eastAsiaTheme="majorEastAsia"/>
            <w:b/>
            <w:bCs/>
          </w:rPr>
          <w:t>0:06:55</w:t>
        </w:r>
      </w:hyperlink>
    </w:p>
    <w:p w14:paraId="0510511E" w14:textId="77777777" w:rsidR="00921B43" w:rsidRDefault="00921B43" w:rsidP="00921B43">
      <w:pPr>
        <w:pStyle w:val="NormalWeb"/>
      </w:pPr>
      <w:r>
        <w:t>Jessica Dahneke, Planner, presented an ordinance to adjust the common boundary between Provo and Springville along 1400 North in Springville. She explained that the Municipal Council had previously passed a resolution expressing intent to consider the boundary adjustment, and this ordinance was now being presented for formal approval. Ms. Dahneke noted that the City of Springville was also scheduled to present their corresponding ordinance for approval to their city council on the same day. She reported that no written concerns or formal protests had been submitted regarding the proposed adjustment. There were no questions from the Council, and members indicated they were prepared to vote on the ordinance during the evening session.</w:t>
      </w:r>
    </w:p>
    <w:p w14:paraId="06D52D95" w14:textId="2779B915" w:rsidR="00921B43" w:rsidRDefault="00921B43" w:rsidP="00921B43">
      <w:pPr>
        <w:pStyle w:val="NormalWeb"/>
      </w:pPr>
      <w:r>
        <w:rPr>
          <w:rStyle w:val="Strong"/>
          <w:rFonts w:eastAsiaTheme="majorEastAsia"/>
        </w:rPr>
        <w:t>Item 2: A Resolution to Place an 11.136 Acre Parcel of Ground Located on the Southeast Corner of Bulldog Lane and Lakeview Parkway on the Surplus Property List and Authorize the Mayor to Dispose of the Property. (25-054)</w:t>
      </w:r>
      <w:r w:rsidR="005D4264">
        <w:rPr>
          <w:rStyle w:val="Strong"/>
          <w:rFonts w:eastAsiaTheme="majorEastAsia"/>
        </w:rPr>
        <w:t xml:space="preserve"> </w:t>
      </w:r>
      <w:hyperlink r:id="rId13" w:history="1">
        <w:r w:rsidR="005D4264" w:rsidRPr="005D4264">
          <w:rPr>
            <w:rStyle w:val="Hyperlink"/>
            <w:rFonts w:eastAsiaTheme="majorEastAsia"/>
            <w:b/>
            <w:bCs/>
          </w:rPr>
          <w:t>0:08:02</w:t>
        </w:r>
      </w:hyperlink>
    </w:p>
    <w:p w14:paraId="3B425CB6" w14:textId="77777777" w:rsidR="00921B43" w:rsidRDefault="00921B43" w:rsidP="00921B43">
      <w:pPr>
        <w:pStyle w:val="NormalWeb"/>
      </w:pPr>
      <w:r>
        <w:t xml:space="preserve">Tara Riddle, Property Administrator, presented a resolution to place an 11.136-acre parcel of land located on the southeast corner of Bulldog Lane and Lakeview Parkway on the surplus </w:t>
      </w:r>
      <w:r>
        <w:lastRenderedPageBreak/>
        <w:t>property list. She explained that the land is a remnant parcel from property originally acquired for the Lakeview Parkway project. Ms. Riddle noted that a departmental review had determined there was no future municipal use for the parcel, and it was therefore recommended to be declared surplus. She stated that the current intention is to transfer the property to a developer for the construction of workforce and market-rate housing. Ms. Riddle mentioned that negotiations regarding this transfer are ongoing and that a formal agreement will be brought before the Council at a later date. She requested the Council consider placing the item on their May 6th agenda for approval. There were no questions from the Council.</w:t>
      </w:r>
    </w:p>
    <w:p w14:paraId="7B517D7F" w14:textId="42409586" w:rsidR="00921B43" w:rsidRDefault="00921B43" w:rsidP="00921B43">
      <w:pPr>
        <w:pStyle w:val="NormalWeb"/>
      </w:pPr>
      <w:r>
        <w:rPr>
          <w:rStyle w:val="Strong"/>
          <w:rFonts w:eastAsiaTheme="majorEastAsia"/>
        </w:rPr>
        <w:t>Item 3: A Resolution Approving the First Amendment to the Lakeview Fields Development Agreement to Allow Updated Plans, Optional Basements, Vinyl Fencing, and a Separate HOA for the Subject Property. (25-052)</w:t>
      </w:r>
      <w:r w:rsidR="005D4264">
        <w:rPr>
          <w:rStyle w:val="Strong"/>
          <w:rFonts w:eastAsiaTheme="majorEastAsia"/>
        </w:rPr>
        <w:t xml:space="preserve"> </w:t>
      </w:r>
      <w:hyperlink r:id="rId14" w:history="1">
        <w:r w:rsidR="005D4264" w:rsidRPr="005D4264">
          <w:rPr>
            <w:rStyle w:val="Hyperlink"/>
            <w:rFonts w:eastAsiaTheme="majorEastAsia"/>
            <w:b/>
            <w:bCs/>
          </w:rPr>
          <w:t>0:09:58</w:t>
        </w:r>
      </w:hyperlink>
    </w:p>
    <w:p w14:paraId="00487DA2" w14:textId="201AACBB" w:rsidR="00921B43" w:rsidRDefault="00921B43" w:rsidP="00921B43">
      <w:pPr>
        <w:pStyle w:val="NormalWeb"/>
      </w:pPr>
      <w:r>
        <w:t>Jessica Dahneke, Planner, presented a resolution to approve the first amendment to the Lakeview Fields Development Agreement. She provided background on the development, noting that the original agreement had been approved in 2008 and that the initial phase of the project had already been constructed. Ms. Dahneke stated that the proposed amendments had undergone review by the Coordinators Review Committee (CRC) and City Attorney Brian Jones. She also relayed that Public Works expressed concerns about the language related to basements, particularly due to the high groundwater levels in the area.</w:t>
      </w:r>
    </w:p>
    <w:p w14:paraId="78085324" w14:textId="41A36847" w:rsidR="00921B43" w:rsidRDefault="00921B43" w:rsidP="00921B43">
      <w:pPr>
        <w:pStyle w:val="NormalWeb"/>
      </w:pPr>
      <w:r>
        <w:t>Councilor Bogdin raised concerns that the amended agreement did not include a homeowner occupancy requirement, which she identified as a Council goal and long-standing standard. Ms. Dahneke confirmed that the amendments did not include any increase in density. Councilor Whipple expressed appreciation for the updated designs, noting the variety of housing types proposed as a positive change from the original 2008 plans.</w:t>
      </w:r>
    </w:p>
    <w:p w14:paraId="726A7B1F" w14:textId="34E444BC" w:rsidR="00921B43" w:rsidRDefault="00921B43" w:rsidP="00921B43">
      <w:pPr>
        <w:pStyle w:val="NormalWeb"/>
      </w:pPr>
      <w:r>
        <w:t>Councilor Handley emphasized the significance of offering a range of housing sizes to support affordability. Tyler Horan, the developer, clarified that while the amended agreement would permit basements, their inclusion was unlikely due to feasibility issues. Mr. Jones explained that the amendment did not mandate basements but would allow them if they complied with city standards.</w:t>
      </w:r>
    </w:p>
    <w:p w14:paraId="7A0243D4" w14:textId="77777777" w:rsidR="00921B43" w:rsidRDefault="00921B43" w:rsidP="00921B43">
      <w:pPr>
        <w:pStyle w:val="NormalWeb"/>
      </w:pPr>
      <w:r>
        <w:t>The Council discussed the possibility of including a homeowner occupancy requirement in the agreement. Mr. Horan proposed a compromise of requiring 60–70% owner occupancy. Council members deliberated the appropriate percentage, with some advocating for a higher threshold. They also discussed the duration of the occupancy requirement and potential enforcement mechanisms.</w:t>
      </w:r>
    </w:p>
    <w:p w14:paraId="2557414A" w14:textId="0222C7F8" w:rsidR="00E901E8" w:rsidRDefault="00E901E8" w:rsidP="00E901E8">
      <w:pPr>
        <w:pStyle w:val="NormalWeb"/>
      </w:pPr>
      <w:r>
        <w:rPr>
          <w:rStyle w:val="Strong"/>
          <w:rFonts w:eastAsiaTheme="majorEastAsia"/>
        </w:rPr>
        <w:t>Item 4: An Ordinance Amending the Zone Map Classification of Real Property, Generally Located at 1780 South State Street, from the Agricultural (A1.5) Zone to the Planned Industrial Commercial (PIC) Zone. Spring Creek Neighborhood. (PLRZ20240369)</w:t>
      </w:r>
      <w:r w:rsidR="005D4264">
        <w:rPr>
          <w:rStyle w:val="Strong"/>
          <w:rFonts w:eastAsiaTheme="majorEastAsia"/>
        </w:rPr>
        <w:t xml:space="preserve"> </w:t>
      </w:r>
      <w:hyperlink r:id="rId15" w:history="1">
        <w:r w:rsidR="005D4264" w:rsidRPr="005D4264">
          <w:rPr>
            <w:rStyle w:val="Hyperlink"/>
            <w:rFonts w:eastAsiaTheme="majorEastAsia"/>
            <w:b/>
            <w:bCs/>
          </w:rPr>
          <w:t>0:34:41</w:t>
        </w:r>
      </w:hyperlink>
    </w:p>
    <w:p w14:paraId="1F706BEE" w14:textId="77777777" w:rsidR="00E901E8" w:rsidRDefault="00E901E8" w:rsidP="00E901E8">
      <w:pPr>
        <w:pStyle w:val="NormalWeb"/>
      </w:pPr>
      <w:r>
        <w:t>Mary Barnes, Planner, presented an ordinance proposing to amend the zone map classification of property located at 1780 South State Street, changing it from the Agricultural (A1.5) Zone to the Planned Industrial Commercial (PIC) Zone. She explained that the applicant intends to develop a five-tenant flex office warehouse facility, including one unit with a drive-through.</w:t>
      </w:r>
    </w:p>
    <w:p w14:paraId="36E95E35" w14:textId="77777777" w:rsidR="00E901E8" w:rsidRDefault="00E901E8" w:rsidP="00E901E8">
      <w:pPr>
        <w:pStyle w:val="NormalWeb"/>
      </w:pPr>
      <w:r>
        <w:t>Ms. Barnes noted that the Planning Commission had reviewed and approved the concept plan and recommended the rezone for Council approval. She stated that a neighborhood meeting was held earlier in the process, during which residents raised concerns related to noise, increased traffic, the site's proximity to a nearby school, and child safety during school pick-up and drop-off times.</w:t>
      </w:r>
    </w:p>
    <w:p w14:paraId="31CFDB71" w14:textId="77777777" w:rsidR="00E901E8" w:rsidRDefault="00E901E8" w:rsidP="00E901E8">
      <w:pPr>
        <w:pStyle w:val="NormalWeb"/>
      </w:pPr>
      <w:r>
        <w:t>To address these concerns, Ms. Barnes reported that the applicant worked with staff to propose mitigation measures, including restricting traffic flow from the development during critical school hours. During Council discussion, members inquired about acceptable uses within the PIC zone, as well as building setbacks, noise control, and landscape buffering requirements. Ms. Barnes assured the Council that the applicant did not intend to include heavy manufacturing uses due to the property's proximity to residential areas and the school.</w:t>
      </w:r>
    </w:p>
    <w:p w14:paraId="6C7AA31B" w14:textId="6A8B5A03" w:rsidR="00E901E8" w:rsidRDefault="00E901E8" w:rsidP="00E901E8">
      <w:pPr>
        <w:pStyle w:val="NormalWeb"/>
      </w:pPr>
      <w:r>
        <w:rPr>
          <w:rStyle w:val="Strong"/>
          <w:rFonts w:eastAsiaTheme="majorEastAsia"/>
        </w:rPr>
        <w:t>Item 5: An Ordinance Amending Provo City Code Regarding Permitted Uses and Floor Area Ratio in the Specialty Support Commercial (SSC) Zone. City Wide Application. (PLOTA20250083)</w:t>
      </w:r>
      <w:r w:rsidR="005D4264">
        <w:rPr>
          <w:rStyle w:val="Strong"/>
          <w:rFonts w:eastAsiaTheme="majorEastAsia"/>
        </w:rPr>
        <w:t xml:space="preserve"> </w:t>
      </w:r>
      <w:hyperlink r:id="rId16" w:history="1">
        <w:r w:rsidR="005D4264" w:rsidRPr="005D4264">
          <w:rPr>
            <w:rStyle w:val="Hyperlink"/>
            <w:rFonts w:eastAsiaTheme="majorEastAsia"/>
            <w:b/>
            <w:bCs/>
          </w:rPr>
          <w:t>0:42:20</w:t>
        </w:r>
      </w:hyperlink>
    </w:p>
    <w:p w14:paraId="37D0305B" w14:textId="77777777" w:rsidR="00E901E8" w:rsidRDefault="00E901E8" w:rsidP="00E901E8">
      <w:pPr>
        <w:pStyle w:val="NormalWeb"/>
      </w:pPr>
      <w:r>
        <w:t>Mary Barnes, Planner, presented an ordinance to amend the Provo City Code relating to permitted uses and floor area ratio in the Specialty Support Commercial (SSC) Zone. She explained that the applicant, Doug Nielsen, was requesting to add indoor storage units and drive-through facilities to the list of permitted uses within the SSC zone. Additionally, Mr. Nielsen proposed the complete removal of the existing floor area ratio requirement.</w:t>
      </w:r>
    </w:p>
    <w:p w14:paraId="48DBDC1D" w14:textId="77777777" w:rsidR="00E901E8" w:rsidRDefault="00E901E8" w:rsidP="00E901E8">
      <w:pPr>
        <w:pStyle w:val="NormalWeb"/>
      </w:pPr>
      <w:r>
        <w:t>Ms. Barnes reported that City staff recommended implementing a 30% lot coverage requirement as an alternative, while the Planning Commission recommended a slightly higher standard of 34% lot coverage. She explained that the Planning Commission’s recommendation was based on the applicant’s concept site plan, which reflected a lot coverage of 33.8%.</w:t>
      </w:r>
    </w:p>
    <w:p w14:paraId="35982232" w14:textId="5A5A9075" w:rsidR="00E901E8" w:rsidRDefault="00E901E8" w:rsidP="00E901E8">
      <w:pPr>
        <w:pStyle w:val="NormalWeb"/>
      </w:pPr>
      <w:r>
        <w:t>The Council discussed the proposed amendments and their potential impact on future development patterns within SSC-zoned areas. Councilors also inquired about the distinctions between the SSC zone and other commercial zoning designations in the city to better understand the broader implications of the proposed changes.</w:t>
      </w:r>
    </w:p>
    <w:p w14:paraId="7330A19B" w14:textId="0F9C8894" w:rsidR="00D34A4C" w:rsidRDefault="00D34A4C" w:rsidP="00D34A4C">
      <w:pPr>
        <w:pStyle w:val="NormalWeb"/>
      </w:pPr>
      <w:r>
        <w:rPr>
          <w:rStyle w:val="Strong"/>
          <w:rFonts w:eastAsiaTheme="majorEastAsia"/>
        </w:rPr>
        <w:t>Item 6: An Ordinance Amending the Zone Map Classification of Real Property, Generally Located at 3433 N 100 E, from the Professional Office (PO) Zone to the Specialty Support Commercial (SSC) and Low Density Residential (LDR) Zones. Riverside. (PLRZ20250082)</w:t>
      </w:r>
      <w:r w:rsidR="005D4264">
        <w:rPr>
          <w:rStyle w:val="Strong"/>
          <w:rFonts w:eastAsiaTheme="majorEastAsia"/>
        </w:rPr>
        <w:t xml:space="preserve"> </w:t>
      </w:r>
      <w:hyperlink r:id="rId17" w:history="1">
        <w:r w:rsidR="005D4264" w:rsidRPr="005D4264">
          <w:rPr>
            <w:rStyle w:val="Hyperlink"/>
            <w:rFonts w:eastAsiaTheme="majorEastAsia"/>
            <w:b/>
            <w:bCs/>
          </w:rPr>
          <w:t>0:42:35</w:t>
        </w:r>
      </w:hyperlink>
    </w:p>
    <w:p w14:paraId="2BB4B3EA" w14:textId="77777777" w:rsidR="00D34A4C" w:rsidRDefault="00D34A4C" w:rsidP="00D34A4C">
      <w:pPr>
        <w:pStyle w:val="NormalWeb"/>
      </w:pPr>
      <w:r>
        <w:t>Mary Barnes, Planner, presented an ordinance to amend the zone map classification of property located at 3433 N 100 E from the Professional Office (PO) Zone to the Specialty Support Commercial (SSC) and Low Density Residential (LDR) Zones. She explained that the rezone request was connected to the previous item, which addressed amendments to the SSC zone.</w:t>
      </w:r>
    </w:p>
    <w:p w14:paraId="4E66F48B" w14:textId="77777777" w:rsidR="00D34A4C" w:rsidRDefault="00D34A4C" w:rsidP="00D34A4C">
      <w:pPr>
        <w:pStyle w:val="NormalWeb"/>
      </w:pPr>
      <w:r>
        <w:t>Ms. Barnes displayed a proposed zoning map and clarified that the LDR portion was intended to provide a transitional buffer between the commercial development and the existing residential neighborhood. She also noted that the General Plan future land use map designated the area for commercial use.</w:t>
      </w:r>
    </w:p>
    <w:p w14:paraId="5EC05ED9" w14:textId="7EE67210" w:rsidR="00D34A4C" w:rsidRDefault="00D34A4C" w:rsidP="00D34A4C">
      <w:pPr>
        <w:pStyle w:val="NormalWeb"/>
      </w:pPr>
      <w:r>
        <w:t>During discussion, Councilors raised concerns regarding traffic patterns, particularly the narrow width of 3470 North. They asked about the possibility of road widening and the addition of sidewalks to accommodate increased usage. Ms. Barnes stated that they were working with the Engineering Department to evaluate and address these issues.</w:t>
      </w:r>
    </w:p>
    <w:p w14:paraId="12AA68DE" w14:textId="1BBDEC9A" w:rsidR="00D34A4C" w:rsidRPr="00D34A4C" w:rsidRDefault="00D34A4C" w:rsidP="00D34A4C">
      <w:pPr>
        <w:jc w:val="both"/>
      </w:pPr>
      <w:r w:rsidRPr="00D34A4C">
        <w:t xml:space="preserve">Councilors also inquired about the ownership structure of the proposed townhomes. Ms. Barnes reported that at the Planning Commission meeting, the applicant had indicated plans to rent out the townhomes initially. She stated that she had informed him of the Council’s general preference for owner-occupied units. The applicant expressed a willingness to discuss ownership requirements during the </w:t>
      </w:r>
      <w:r w:rsidR="003853F2">
        <w:t xml:space="preserve">night </w:t>
      </w:r>
      <w:r w:rsidRPr="00D34A4C">
        <w:t>meeting. Councilors responded affirmatively, indicating their intention to pursue that discussion.</w:t>
      </w:r>
    </w:p>
    <w:p w14:paraId="22DF103D" w14:textId="1F97D121" w:rsidR="003853F2" w:rsidRDefault="003853F2" w:rsidP="003853F2">
      <w:pPr>
        <w:pStyle w:val="NormalWeb"/>
      </w:pPr>
      <w:r>
        <w:rPr>
          <w:rStyle w:val="Strong"/>
          <w:rFonts w:eastAsiaTheme="majorEastAsia"/>
        </w:rPr>
        <w:t>Item 7: An Ordinance Amending the Zone Map Classification of Real Property, Generally Located at 130 S. 2050 W., from the One-Family Residential (R1.8) Zone to the One-Family Residential Performance Development Overlay (R1.8PD) Zone. Provo Bay (PLRZ20240323)</w:t>
      </w:r>
      <w:r w:rsidR="005D4264">
        <w:rPr>
          <w:rStyle w:val="Strong"/>
          <w:rFonts w:eastAsiaTheme="majorEastAsia"/>
        </w:rPr>
        <w:t xml:space="preserve"> </w:t>
      </w:r>
      <w:hyperlink r:id="rId18" w:history="1">
        <w:r w:rsidR="005D4264" w:rsidRPr="005D4264">
          <w:rPr>
            <w:rStyle w:val="Hyperlink"/>
            <w:rFonts w:eastAsiaTheme="majorEastAsia"/>
            <w:b/>
            <w:bCs/>
          </w:rPr>
          <w:t>0:55:40</w:t>
        </w:r>
      </w:hyperlink>
    </w:p>
    <w:p w14:paraId="627EBD5D" w14:textId="77777777" w:rsidR="003853F2" w:rsidRDefault="003853F2" w:rsidP="003853F2">
      <w:pPr>
        <w:pStyle w:val="NormalWeb"/>
      </w:pPr>
      <w:r>
        <w:t>Dustin Wright, Planner, presented an ordinance to amend the zone map classification for property located at 130 S. 2050 W. from the One-Family Residential (R1.8) Zone to the One-Family Residential Performance Development Overlay (R1.8PD) Zone. He explained that this item was accompanied by a related concept plan, both of which had been reviewed by the Planning Commission. Mr. Wright reported that the Planning Commission had denied the concept plan and issued a recommendation to the Municipal Council to deny the rezone request as well.</w:t>
      </w:r>
    </w:p>
    <w:p w14:paraId="33338462" w14:textId="77777777" w:rsidR="003853F2" w:rsidRDefault="003853F2" w:rsidP="003853F2">
      <w:pPr>
        <w:pStyle w:val="NormalWeb"/>
      </w:pPr>
      <w:r>
        <w:t>Mr. Wright noted that the existing zoning allows for development of up to three units per gross acre, consistent with the applicable neighborhood plan. He also referenced a previous rezone on the northern portion of the property, which had significantly increased density in that area. Several Councilors expressed concerns about further intensifying residential density and indicated support for following the Planning Commission’s recommendation for denial.</w:t>
      </w:r>
    </w:p>
    <w:p w14:paraId="49D2A781" w14:textId="50205F1A" w:rsidR="003853F2" w:rsidRDefault="003853F2" w:rsidP="003853F2">
      <w:pPr>
        <w:pStyle w:val="NormalWeb"/>
      </w:pPr>
      <w:r>
        <w:rPr>
          <w:rStyle w:val="Strong"/>
          <w:rFonts w:eastAsiaTheme="majorEastAsia"/>
        </w:rPr>
        <w:t>Item 8: An Update Regarding Re-Imagining Code Enforcement. (25-053)</w:t>
      </w:r>
      <w:r w:rsidR="005D4264">
        <w:rPr>
          <w:rStyle w:val="Strong"/>
          <w:rFonts w:eastAsiaTheme="majorEastAsia"/>
        </w:rPr>
        <w:t xml:space="preserve"> </w:t>
      </w:r>
      <w:hyperlink r:id="rId19" w:history="1">
        <w:r w:rsidR="005D4264" w:rsidRPr="005D4264">
          <w:rPr>
            <w:rStyle w:val="Hyperlink"/>
            <w:rFonts w:eastAsiaTheme="majorEastAsia"/>
            <w:b/>
            <w:bCs/>
          </w:rPr>
          <w:t>1:01:45</w:t>
        </w:r>
      </w:hyperlink>
    </w:p>
    <w:p w14:paraId="3170D043" w14:textId="77777777" w:rsidR="003853F2" w:rsidRDefault="003853F2" w:rsidP="003853F2">
      <w:pPr>
        <w:pStyle w:val="NormalWeb"/>
      </w:pPr>
      <w:r>
        <w:t>Scott Johnson, Zoning Administrator, provided an update on efforts to reimagine code enforcement practices in Provo. He outlined several initiatives aimed at improving operations and enhancing enforcement strategies.</w:t>
      </w:r>
    </w:p>
    <w:p w14:paraId="4FF2705B" w14:textId="77777777" w:rsidR="003853F2" w:rsidRDefault="003853F2" w:rsidP="003853F2">
      <w:pPr>
        <w:pStyle w:val="NormalWeb"/>
      </w:pPr>
      <w:r>
        <w:rPr>
          <w:rStyle w:val="Strong"/>
          <w:rFonts w:eastAsiaTheme="majorEastAsia"/>
        </w:rPr>
        <w:t>Utilizing County Data</w:t>
      </w:r>
      <w:r>
        <w:br/>
        <w:t>Mr. Johnson explained that staff had been comparing county data with city records to identify unlicensed rental properties. By isolating residential properties with mailing addresses differing from the site addresses, they reduced an initial dataset of 40,000 entries to 12,000. Of those, at least 6,000 properties were confirmed to have rental licenses. Staff is in the process of verifying the remaining properties, after which letters will be sent to noncompliant property owners requesting licensure or justification for exemption.</w:t>
      </w:r>
    </w:p>
    <w:p w14:paraId="22CD40FB" w14:textId="77777777" w:rsidR="003853F2" w:rsidRDefault="003853F2" w:rsidP="003853F2">
      <w:pPr>
        <w:pStyle w:val="NormalWeb"/>
      </w:pPr>
      <w:r>
        <w:rPr>
          <w:rStyle w:val="Strong"/>
          <w:rFonts w:eastAsiaTheme="majorEastAsia"/>
        </w:rPr>
        <w:t>Drafting an RFP for Software</w:t>
      </w:r>
      <w:r>
        <w:br/>
        <w:t>An RFP is being prepared for software that would identify long-term rental advertisements on public platforms and cross-check them with city licensing data. Although the process has been delayed pending finance department approval, the launch will proceed as soon as possible.</w:t>
      </w:r>
    </w:p>
    <w:p w14:paraId="3742A291" w14:textId="77777777" w:rsidR="003853F2" w:rsidRDefault="003853F2" w:rsidP="003853F2">
      <w:pPr>
        <w:pStyle w:val="NormalWeb"/>
      </w:pPr>
      <w:r>
        <w:rPr>
          <w:rStyle w:val="Strong"/>
          <w:rFonts w:eastAsiaTheme="majorEastAsia"/>
        </w:rPr>
        <w:t>Budget Line Item for Cleaning Vacant Lots</w:t>
      </w:r>
      <w:r>
        <w:br/>
        <w:t>Mr. Johnson discussed a proposed budget item to fund initial cleanup efforts on vacant lots, particularly those with overgrown vegetation. After cleanup, the city would place a lien on the property for reimbursement.</w:t>
      </w:r>
    </w:p>
    <w:p w14:paraId="12637629" w14:textId="77777777" w:rsidR="003853F2" w:rsidRDefault="003853F2" w:rsidP="003853F2">
      <w:pPr>
        <w:pStyle w:val="NormalWeb"/>
      </w:pPr>
      <w:r>
        <w:rPr>
          <w:rStyle w:val="Strong"/>
          <w:rFonts w:eastAsiaTheme="majorEastAsia"/>
        </w:rPr>
        <w:t>Exploring Technology and Privacy Concerns</w:t>
      </w:r>
      <w:r>
        <w:br/>
        <w:t>He also reported that the use of cell phone aggregation data was explored as a way to identify high-occupancy sites. However, privacy limitations restrict the usefulness of such tools, and individual tracking was deemed infeasible.</w:t>
      </w:r>
    </w:p>
    <w:p w14:paraId="0CB8C270" w14:textId="77777777" w:rsidR="003853F2" w:rsidRDefault="003853F2" w:rsidP="003853F2">
      <w:pPr>
        <w:pStyle w:val="NormalWeb"/>
      </w:pPr>
      <w:r>
        <w:rPr>
          <w:rStyle w:val="Strong"/>
          <w:rFonts w:eastAsiaTheme="majorEastAsia"/>
        </w:rPr>
        <w:t>Implementing In-Field Printers and Body Cameras</w:t>
      </w:r>
      <w:r>
        <w:br/>
        <w:t>Field officers are being equipped with mobile printers to issue on-site notices more efficiently. Additionally, body cameras have been ordered for officers, with training to begin upon their arrival.</w:t>
      </w:r>
    </w:p>
    <w:p w14:paraId="2707F75D" w14:textId="77777777" w:rsidR="003853F2" w:rsidRDefault="003853F2" w:rsidP="003853F2">
      <w:pPr>
        <w:pStyle w:val="NormalWeb"/>
      </w:pPr>
      <w:r>
        <w:rPr>
          <w:rStyle w:val="Strong"/>
          <w:rFonts w:eastAsiaTheme="majorEastAsia"/>
        </w:rPr>
        <w:t>Public Education and Outreach</w:t>
      </w:r>
      <w:r>
        <w:br/>
        <w:t>Efforts are underway to increase public awareness, with neighborhood meetings planned to start in June or July. The Public Information Office is collaborating with the department to develop digital media outreach, with an initial focus on rental dwelling licensing.</w:t>
      </w:r>
    </w:p>
    <w:p w14:paraId="77A978DB" w14:textId="77777777" w:rsidR="003853F2" w:rsidRDefault="003853F2" w:rsidP="003853F2">
      <w:pPr>
        <w:pStyle w:val="NormalWeb"/>
      </w:pPr>
      <w:r>
        <w:rPr>
          <w:rStyle w:val="Strong"/>
          <w:rFonts w:eastAsiaTheme="majorEastAsia"/>
        </w:rPr>
        <w:t>Legislative Amendments and Collaboration</w:t>
      </w:r>
      <w:r>
        <w:br/>
        <w:t>Text amendments are being drafted to address civil fines and pest infestation abatement. Mr. Johnson also noted ongoing collaboration with Provo Police and Utah County officials for meth contamination testing at problem properties.</w:t>
      </w:r>
    </w:p>
    <w:p w14:paraId="3B8E741A" w14:textId="77777777" w:rsidR="003853F2" w:rsidRDefault="003853F2" w:rsidP="003853F2">
      <w:pPr>
        <w:pStyle w:val="NormalWeb"/>
      </w:pPr>
      <w:r>
        <w:t>Council members expressed appreciation for the comprehensive and data-driven nature of these initiatives. They asked follow-up questions on specific strategies and encouraged continued progress on code enforcement enhancements.</w:t>
      </w:r>
    </w:p>
    <w:p w14:paraId="07501824" w14:textId="2B2B3462" w:rsidR="003F7B7F" w:rsidRDefault="003F7B7F" w:rsidP="003F7B7F">
      <w:pPr>
        <w:pStyle w:val="NormalWeb"/>
      </w:pPr>
      <w:r>
        <w:rPr>
          <w:rStyle w:val="Strong"/>
          <w:rFonts w:eastAsiaTheme="majorEastAsia"/>
        </w:rPr>
        <w:t>Item 9: A Presentation Regarding the FY2026 Budget: Fleet Management (25-025)</w:t>
      </w:r>
      <w:r w:rsidR="005D4264">
        <w:rPr>
          <w:rStyle w:val="Strong"/>
          <w:rFonts w:eastAsiaTheme="majorEastAsia"/>
        </w:rPr>
        <w:t xml:space="preserve"> </w:t>
      </w:r>
      <w:hyperlink r:id="rId20" w:history="1">
        <w:r w:rsidR="005D4264" w:rsidRPr="005D4264">
          <w:rPr>
            <w:rStyle w:val="Hyperlink"/>
            <w:rFonts w:eastAsiaTheme="majorEastAsia"/>
            <w:b/>
            <w:bCs/>
          </w:rPr>
          <w:t>1:15:02</w:t>
        </w:r>
      </w:hyperlink>
    </w:p>
    <w:p w14:paraId="26BAC47E" w14:textId="77777777" w:rsidR="003F7B7F" w:rsidRDefault="003F7B7F" w:rsidP="003F7B7F">
      <w:pPr>
        <w:pStyle w:val="NormalWeb"/>
      </w:pPr>
      <w:r>
        <w:t>Warren Merritt, Fleet Manager, presented the proposed FY2026 budget for Fleet Management, emphasizing the department’s vital role in supporting other city departments through the maintenance and acquisition of approximately 900 assets. These include emergency vehicles, dump trucks, and specialized equipment such as earthmoving machinery, police vehicles, and fire engines.</w:t>
      </w:r>
    </w:p>
    <w:p w14:paraId="6610DE14" w14:textId="7E8210A5" w:rsidR="003F7B7F" w:rsidRDefault="003F7B7F" w:rsidP="003F7B7F">
      <w:pPr>
        <w:pStyle w:val="NormalWeb"/>
      </w:pPr>
      <w:r>
        <w:t>Mr. Merritt identified several challenges facing the department, notably inflation-driven increases in vehicle costs and uncertainties related to potential tariffs on vehicle imports. He explained that the department employs algorithms, research, and historical trend analysis to forecast what they can expect from inflation.</w:t>
      </w:r>
    </w:p>
    <w:p w14:paraId="302489F8" w14:textId="77777777" w:rsidR="003F7B7F" w:rsidRDefault="003F7B7F" w:rsidP="003F7B7F">
      <w:pPr>
        <w:pStyle w:val="NormalWeb"/>
      </w:pPr>
      <w:r>
        <w:t>He then shared the Fleet Advisory Committee’s recommendations for vehicle acquisitions in FY2026. The recommendations included purchasing police vehicles, fire engines, and increasing the adoption of electric and hybrid vehicles within the municipal fleet. Council members showed particular interest in the city's long-term strategy for electrifying its fleet. In response to questions, Mr. Merritt described the available funding sources, including specific departmental budgets and other capital resources.</w:t>
      </w:r>
    </w:p>
    <w:p w14:paraId="04CDCDBB" w14:textId="77777777" w:rsidR="003F7B7F" w:rsidRDefault="003F7B7F" w:rsidP="003F7B7F">
      <w:pPr>
        <w:pStyle w:val="NormalWeb"/>
      </w:pPr>
      <w:r>
        <w:t>Additionally, Mr. Merritt discussed future acquisition plans focused on operational efficiency and sustainability. He underscored the city’s commitment to reducing its municipal carbon footprint by gradually transitioning to more sustainable vehicle options.</w:t>
      </w:r>
    </w:p>
    <w:p w14:paraId="7038CB8F" w14:textId="3A84CB29" w:rsidR="003F7B7F" w:rsidRDefault="003F7B7F" w:rsidP="003F7B7F">
      <w:pPr>
        <w:pStyle w:val="NormalWeb"/>
      </w:pPr>
      <w:r>
        <w:rPr>
          <w:rStyle w:val="Strong"/>
          <w:rFonts w:eastAsiaTheme="majorEastAsia"/>
        </w:rPr>
        <w:t>Item 10: A Presentation Regarding the FY2026 Budget: Library (25-025)</w:t>
      </w:r>
      <w:r w:rsidR="005D4264">
        <w:rPr>
          <w:rStyle w:val="Strong"/>
          <w:rFonts w:eastAsiaTheme="majorEastAsia"/>
        </w:rPr>
        <w:t xml:space="preserve"> </w:t>
      </w:r>
      <w:hyperlink r:id="rId21" w:history="1">
        <w:r w:rsidR="005D4264" w:rsidRPr="005D4264">
          <w:rPr>
            <w:rStyle w:val="Hyperlink"/>
            <w:rFonts w:eastAsiaTheme="majorEastAsia"/>
            <w:b/>
            <w:bCs/>
          </w:rPr>
          <w:t>1:51:26</w:t>
        </w:r>
      </w:hyperlink>
    </w:p>
    <w:p w14:paraId="4DE6139A" w14:textId="77777777" w:rsidR="003F7B7F" w:rsidRDefault="003F7B7F" w:rsidP="003F7B7F">
      <w:pPr>
        <w:pStyle w:val="NormalWeb"/>
      </w:pPr>
      <w:r>
        <w:t>Carla Gordon, Director of Library Services, presented the FY2026 budget for the Provo City Library, providing a detailed overview of the department’s financial outlook and operational priorities.</w:t>
      </w:r>
    </w:p>
    <w:p w14:paraId="0E8AE605" w14:textId="77777777" w:rsidR="003F7B7F" w:rsidRDefault="003F7B7F" w:rsidP="003F7B7F">
      <w:pPr>
        <w:pStyle w:val="NormalWeb"/>
      </w:pPr>
      <w:r>
        <w:rPr>
          <w:rStyle w:val="Strong"/>
          <w:rFonts w:eastAsiaTheme="majorEastAsia"/>
        </w:rPr>
        <w:t>Increased Revenue</w:t>
      </w:r>
      <w:r>
        <w:br/>
        <w:t>Ms. Gordon reported higher projected revenues due to increases in property tax revenue and room rental income. She noted a 5% increase in rental rates and improved booking strategies, with all Saturdays already fully booked in advance.</w:t>
      </w:r>
    </w:p>
    <w:p w14:paraId="01A716F3" w14:textId="77777777" w:rsidR="003F7B7F" w:rsidRDefault="003F7B7F" w:rsidP="003F7B7F">
      <w:pPr>
        <w:pStyle w:val="NormalWeb"/>
      </w:pPr>
      <w:r>
        <w:rPr>
          <w:rStyle w:val="Strong"/>
          <w:rFonts w:eastAsiaTheme="majorEastAsia"/>
        </w:rPr>
        <w:t>Efforts to Balance Expenses and Revenues</w:t>
      </w:r>
      <w:r>
        <w:br/>
        <w:t>Despite a $108,000 increase in personnel costs driven by merit-based raises and cost-of-living adjustments, the department successfully maintained a balanced budget. Operational streamlining included the elimination of three part-time positions and strategic reliance on enhanced rental revenues.</w:t>
      </w:r>
    </w:p>
    <w:p w14:paraId="0228268C" w14:textId="77777777" w:rsidR="003F7B7F" w:rsidRDefault="003F7B7F" w:rsidP="003F7B7F">
      <w:pPr>
        <w:pStyle w:val="NormalWeb"/>
      </w:pPr>
      <w:r>
        <w:rPr>
          <w:rStyle w:val="Strong"/>
          <w:rFonts w:eastAsiaTheme="majorEastAsia"/>
        </w:rPr>
        <w:t>Growth in Library Memberships and Circulation</w:t>
      </w:r>
      <w:r>
        <w:br/>
        <w:t>Ms. Gordon highlighted that 42% of households maintained active library cards over the past year, exceeding average benchmarks and indicating high levels of community engagement.</w:t>
      </w:r>
    </w:p>
    <w:p w14:paraId="595B7A2A" w14:textId="77777777" w:rsidR="003F7B7F" w:rsidRDefault="003F7B7F" w:rsidP="003F7B7F">
      <w:pPr>
        <w:pStyle w:val="NormalWeb"/>
      </w:pPr>
      <w:r>
        <w:rPr>
          <w:rStyle w:val="Strong"/>
          <w:rFonts w:eastAsiaTheme="majorEastAsia"/>
        </w:rPr>
        <w:t>Successful Fundraising Efforts</w:t>
      </w:r>
      <w:r>
        <w:br/>
        <w:t>She noted the success of the annual Book Ball fundraiser, which netted $8,000. The funds were reinvested into critical facility improvements, including new blinds for the library ballroom.</w:t>
      </w:r>
    </w:p>
    <w:p w14:paraId="256A702A" w14:textId="77777777" w:rsidR="003F7B7F" w:rsidRDefault="003F7B7F" w:rsidP="003F7B7F">
      <w:pPr>
        <w:pStyle w:val="NormalWeb"/>
      </w:pPr>
      <w:r>
        <w:rPr>
          <w:rStyle w:val="Strong"/>
          <w:rFonts w:eastAsiaTheme="majorEastAsia"/>
        </w:rPr>
        <w:t>Future Plans</w:t>
      </w:r>
      <w:r>
        <w:br/>
        <w:t>Looking ahead, Ms. Gordon outlined goals to restore previously reduced services, expand the collections budget, upgrade technology, and introduce professional art exhibitions in the attic space.</w:t>
      </w:r>
    </w:p>
    <w:p w14:paraId="7F5DD0BF" w14:textId="77777777" w:rsidR="003F7B7F" w:rsidRDefault="003F7B7F" w:rsidP="003F7B7F">
      <w:pPr>
        <w:pStyle w:val="NormalWeb"/>
      </w:pPr>
      <w:r>
        <w:rPr>
          <w:rStyle w:val="Strong"/>
          <w:rFonts w:eastAsiaTheme="majorEastAsia"/>
        </w:rPr>
        <w:t>Fee Adjustments</w:t>
      </w:r>
      <w:r>
        <w:br/>
        <w:t>Ms. Gordon explained adjustments to non-resident library card fees and ballroom rental rates. These changes were designed to align with the average cost borne by city taxpayers, ensuring equitable access while supporting financial sustainability.</w:t>
      </w:r>
    </w:p>
    <w:p w14:paraId="4D1E3941" w14:textId="77777777" w:rsidR="003F7B7F" w:rsidRDefault="003F7B7F" w:rsidP="003F7B7F">
      <w:pPr>
        <w:pStyle w:val="NormalWeb"/>
      </w:pPr>
      <w:r>
        <w:t>Council members asked questions regarding specific budget items, discussed rising operational costs related to utility efficiencies, and expressed interest in the Library’s long-term strategic goals for service expansion and community outreach.</w:t>
      </w:r>
    </w:p>
    <w:p w14:paraId="3FFF4299" w14:textId="648D733B" w:rsidR="00231724" w:rsidRDefault="00231724" w:rsidP="00231724">
      <w:pPr>
        <w:pStyle w:val="NormalWeb"/>
      </w:pPr>
      <w:r>
        <w:rPr>
          <w:rStyle w:val="Strong"/>
          <w:rFonts w:eastAsiaTheme="majorEastAsia"/>
        </w:rPr>
        <w:t>Item 11: A Presentation Regarding the FY2026 Budget: Parks &amp; Recreation (25-025)</w:t>
      </w:r>
      <w:r w:rsidR="005D4264">
        <w:rPr>
          <w:rStyle w:val="Strong"/>
          <w:rFonts w:eastAsiaTheme="majorEastAsia"/>
        </w:rPr>
        <w:t xml:space="preserve"> </w:t>
      </w:r>
      <w:hyperlink r:id="rId22" w:history="1">
        <w:r w:rsidR="005D4264" w:rsidRPr="005D4264">
          <w:rPr>
            <w:rStyle w:val="Hyperlink"/>
            <w:rFonts w:eastAsiaTheme="majorEastAsia"/>
            <w:b/>
            <w:bCs/>
          </w:rPr>
          <w:t>2:03:14</w:t>
        </w:r>
      </w:hyperlink>
    </w:p>
    <w:p w14:paraId="3EAACDC9" w14:textId="77777777" w:rsidR="00231724" w:rsidRDefault="00231724" w:rsidP="00231724">
      <w:pPr>
        <w:pStyle w:val="NormalWeb"/>
      </w:pPr>
      <w:r>
        <w:t>Doug Robbins, Director of Parks and Recreation, and Foster Watabe, Assistant Director, presented the FY2026 budget for the Parks and Recreation Department, providing a comprehensive review of departmental operations and strategic goals.</w:t>
      </w:r>
    </w:p>
    <w:p w14:paraId="39A56891" w14:textId="77777777" w:rsidR="00231724" w:rsidRDefault="00231724" w:rsidP="00231724">
      <w:pPr>
        <w:pStyle w:val="NormalWeb"/>
      </w:pPr>
      <w:r>
        <w:rPr>
          <w:rStyle w:val="Strong"/>
          <w:rFonts w:eastAsiaTheme="majorEastAsia"/>
        </w:rPr>
        <w:t>Youth and Adult Sports Programs</w:t>
      </w:r>
      <w:r>
        <w:br/>
        <w:t>Mr. Robbins and Mr. Watabe discussed ongoing efforts to ensure robust and accessible sports programming for both youth and adults. Programs remain well-organized and funded, with no identified unfunded or underfunded needs impacting service delivery.</w:t>
      </w:r>
    </w:p>
    <w:p w14:paraId="19A966A2" w14:textId="77777777" w:rsidR="00231724" w:rsidRDefault="00231724" w:rsidP="00231724">
      <w:pPr>
        <w:pStyle w:val="NormalWeb"/>
      </w:pPr>
      <w:r>
        <w:rPr>
          <w:rStyle w:val="Strong"/>
          <w:rFonts w:eastAsiaTheme="majorEastAsia"/>
        </w:rPr>
        <w:t>Provo Recreation Center</w:t>
      </w:r>
      <w:r>
        <w:br/>
        <w:t>They reported strong performance at the Provo Recreation Center, which is approaching a membership milestone of 25,000. The facility continues to operate with a high cost recovery rate, exceeding benchmarks set by comparable recreation centers.</w:t>
      </w:r>
    </w:p>
    <w:p w14:paraId="12D3142B" w14:textId="77777777" w:rsidR="00231724" w:rsidRDefault="00231724" w:rsidP="00231724">
      <w:pPr>
        <w:pStyle w:val="NormalWeb"/>
      </w:pPr>
      <w:r>
        <w:rPr>
          <w:rStyle w:val="Strong"/>
          <w:rFonts w:eastAsiaTheme="majorEastAsia"/>
        </w:rPr>
        <w:t>The Covey Center for the Arts</w:t>
      </w:r>
      <w:r>
        <w:br/>
        <w:t>Mr. Robbins noted that the Covey Center maintains a 90% booking rate and draws approximately 160,000 visitors annually to downtown Provo. Improvements in cost recovery are ongoing, with personnel scheduling being optimized to align with event demands and enhance operational efficiency.</w:t>
      </w:r>
    </w:p>
    <w:p w14:paraId="46B97BC1" w14:textId="77777777" w:rsidR="00231724" w:rsidRDefault="00231724" w:rsidP="00231724">
      <w:pPr>
        <w:pStyle w:val="NormalWeb"/>
      </w:pPr>
      <w:r>
        <w:rPr>
          <w:rStyle w:val="Strong"/>
          <w:rFonts w:eastAsiaTheme="majorEastAsia"/>
        </w:rPr>
        <w:t>Parks and Grounds Maintenance</w:t>
      </w:r>
      <w:r>
        <w:br/>
        <w:t>The department is implementing operational efficiencies across parks and trails, including the deployment of automated trash compaction systems downtown. These innovations aim to preserve user satisfaction while improving daily maintenance practices.</w:t>
      </w:r>
    </w:p>
    <w:p w14:paraId="54CD758D" w14:textId="77777777" w:rsidR="00231724" w:rsidRDefault="00231724" w:rsidP="00231724">
      <w:pPr>
        <w:pStyle w:val="NormalWeb"/>
      </w:pPr>
      <w:r>
        <w:rPr>
          <w:rStyle w:val="Strong"/>
          <w:rFonts w:eastAsiaTheme="majorEastAsia"/>
        </w:rPr>
        <w:t>Special Events and Cemetery Operations</w:t>
      </w:r>
      <w:r>
        <w:br/>
        <w:t>Community events remain a priority, contributing to civic engagement and community identity. Cemetery operations continue to face challenges related to landmark maintenance and staffing, though the department has achieved efficiencies through skilled management practices.</w:t>
      </w:r>
    </w:p>
    <w:p w14:paraId="69238547" w14:textId="77777777" w:rsidR="00231724" w:rsidRDefault="00231724" w:rsidP="00231724">
      <w:pPr>
        <w:pStyle w:val="NormalWeb"/>
      </w:pPr>
      <w:r>
        <w:rPr>
          <w:rStyle w:val="Strong"/>
          <w:rFonts w:eastAsiaTheme="majorEastAsia"/>
        </w:rPr>
        <w:t>Golf Course Operations</w:t>
      </w:r>
      <w:r>
        <w:br/>
        <w:t>The golf course is operating under a self-sustaining model and recently completed infrastructure improvements, including wiring for electric golf carts. These upgrades align with broader sustainability and modernization goals.</w:t>
      </w:r>
    </w:p>
    <w:p w14:paraId="12BCD395" w14:textId="77777777" w:rsidR="00231724" w:rsidRDefault="00231724" w:rsidP="00231724">
      <w:pPr>
        <w:pStyle w:val="NormalWeb"/>
      </w:pPr>
      <w:r>
        <w:t>Councilors asked questions regarding the sustainability of funding for sports programs, as well as maintenance schedules and standards for parks and public areas. They emphasized the importance of maintaining and enhancing service quality. The directors expressed confidence in meeting these expectations, pointing to performance metrics and a holistic, forward-looking approach to the FY2026 budget.</w:t>
      </w:r>
    </w:p>
    <w:p w14:paraId="469D5C2E" w14:textId="7A77C6A3" w:rsidR="00003F62" w:rsidRDefault="00003F62" w:rsidP="00003F62">
      <w:pPr>
        <w:pStyle w:val="NormalWeb"/>
      </w:pPr>
      <w:r>
        <w:rPr>
          <w:rStyle w:val="Strong"/>
          <w:rFonts w:eastAsiaTheme="majorEastAsia"/>
        </w:rPr>
        <w:t>Item 1</w:t>
      </w:r>
      <w:r w:rsidR="005D4264">
        <w:rPr>
          <w:rStyle w:val="Strong"/>
          <w:rFonts w:eastAsiaTheme="majorEastAsia"/>
        </w:rPr>
        <w:t>2</w:t>
      </w:r>
      <w:r>
        <w:rPr>
          <w:rStyle w:val="Strong"/>
          <w:rFonts w:eastAsiaTheme="majorEastAsia"/>
        </w:rPr>
        <w:t>: A Presentation Regarding the FY2026 Budget: Parks &amp; Recreation (25-025)</w:t>
      </w:r>
      <w:r w:rsidR="005D4264">
        <w:rPr>
          <w:rStyle w:val="Strong"/>
          <w:rFonts w:eastAsiaTheme="majorEastAsia"/>
        </w:rPr>
        <w:t xml:space="preserve"> </w:t>
      </w:r>
      <w:hyperlink r:id="rId23" w:history="1">
        <w:r w:rsidR="005D4264" w:rsidRPr="005D4264">
          <w:rPr>
            <w:rStyle w:val="Hyperlink"/>
            <w:rFonts w:eastAsiaTheme="majorEastAsia"/>
            <w:b/>
            <w:bCs/>
          </w:rPr>
          <w:t>2:21:58</w:t>
        </w:r>
      </w:hyperlink>
    </w:p>
    <w:p w14:paraId="1DE61D71" w14:textId="77777777" w:rsidR="00003F62" w:rsidRDefault="00003F62" w:rsidP="00003F62">
      <w:pPr>
        <w:pStyle w:val="NormalWeb"/>
      </w:pPr>
      <w:r>
        <w:t>Doug Robbins, Director of Parks and Recreation, presented the FY2026 budget, accompanied by Assistant Director Foster Watabe. The presentation covered department operations and budget updates across youth and adult sports, recreation facilities, parks, trails, events, and the Covey Center.</w:t>
      </w:r>
    </w:p>
    <w:p w14:paraId="20042B87" w14:textId="16A05376" w:rsidR="00003F62" w:rsidRDefault="00003F62" w:rsidP="00003F62">
      <w:pPr>
        <w:pStyle w:val="NormalWeb"/>
      </w:pPr>
      <w:r>
        <w:rPr>
          <w:rStyle w:val="Strong"/>
          <w:rFonts w:eastAsiaTheme="majorEastAsia"/>
        </w:rPr>
        <w:t>Youth and Adult Sports</w:t>
      </w:r>
      <w:r>
        <w:br/>
        <w:t>Director Robbins reported that youth and adult sports programs have no unfunded or underfunded needs. The programs aim to recover 100% of direct costs and a portion of indirect costs—150% for adult sports and 125% for youth. Cost recovery metrics are assessed weekly, with each program undergoing post-program analysis to inform future fee adjustments. Robbins highlighted successful partnerships, such as girls softball joining with Little League boys at Fort Utah Park, and noted the department received a Junior Jazz Program of the Year award for a program serving over 3,000 youth.</w:t>
      </w:r>
    </w:p>
    <w:p w14:paraId="5B06ABB7" w14:textId="77777777" w:rsidR="00003F62" w:rsidRDefault="00003F62" w:rsidP="00003F62">
      <w:pPr>
        <w:pStyle w:val="NormalWeb"/>
      </w:pPr>
      <w:r>
        <w:rPr>
          <w:rStyle w:val="Strong"/>
          <w:rFonts w:eastAsiaTheme="majorEastAsia"/>
        </w:rPr>
        <w:t>Recreation Center</w:t>
      </w:r>
      <w:r>
        <w:br/>
        <w:t>Assistant Director Watabe noted that the Provo Recreation Center also has no unfunded needs. Senior meal programs are subsidized but remain within the overall cost recovery plan. The center has nearly 25,000 members and boasts high cost recovery rates and low operating costs. Interest from other cities has been high, with frequent tours and consultations. The possibility of a second facility was discussed, particularly as membership capacity nears limits.</w:t>
      </w:r>
    </w:p>
    <w:p w14:paraId="29F664DF" w14:textId="77777777" w:rsidR="00003F62" w:rsidRDefault="00003F62" w:rsidP="00003F62">
      <w:pPr>
        <w:pStyle w:val="NormalWeb"/>
      </w:pPr>
      <w:r>
        <w:rPr>
          <w:rStyle w:val="Strong"/>
          <w:rFonts w:eastAsiaTheme="majorEastAsia"/>
        </w:rPr>
        <w:t>Epic Sports Park</w:t>
      </w:r>
      <w:r>
        <w:br/>
        <w:t>The Epic Sports Park, which opened in September, has become a hub for recreation and regional tournaments. The park is operating on a cost-neutral basis with no subsidies. Sustainability measures include limited irrigated area, xeriscaping, drip irrigation, and advanced water conservation technology. Seven national tournaments are booked for the coming year. Wayfinding improvements are being addressed based on user feedback.</w:t>
      </w:r>
    </w:p>
    <w:p w14:paraId="6C888D3C" w14:textId="77777777" w:rsidR="00003F62" w:rsidRDefault="00003F62" w:rsidP="00003F62">
      <w:pPr>
        <w:pStyle w:val="NormalWeb"/>
      </w:pPr>
      <w:r>
        <w:rPr>
          <w:rStyle w:val="Strong"/>
          <w:rFonts w:eastAsiaTheme="majorEastAsia"/>
        </w:rPr>
        <w:t>Peaks Ice Arena</w:t>
      </w:r>
      <w:r>
        <w:br/>
        <w:t>Provo’s Olympic facility is now self-sustaining and will serve as a venue for the 2034 Winter Olympics. A $4 million investment is planned for facility upgrades, including resizing the ice sheet and enhancing seating and locker rooms. The project is supported by state and local funds, with additional state funding anticipated. Public skate programs remain popular, and cost recovery exceeds 100%.</w:t>
      </w:r>
    </w:p>
    <w:p w14:paraId="4D9F28EA" w14:textId="77777777" w:rsidR="00003F62" w:rsidRDefault="00003F62" w:rsidP="00003F62">
      <w:pPr>
        <w:pStyle w:val="NormalWeb"/>
      </w:pPr>
      <w:r>
        <w:rPr>
          <w:rStyle w:val="Strong"/>
          <w:rFonts w:eastAsiaTheme="majorEastAsia"/>
        </w:rPr>
        <w:t>Covey Center for the Arts</w:t>
      </w:r>
      <w:r>
        <w:br/>
        <w:t>The Covey Center reflects a reduced subsidy in FY2026, projecting a drop of over $61,000. The facility is exploring expanded concessions and undergoing a visioning study to assess operations and future directions. Current booking rates remain strong at around 90%, drawing over 160,000 visitors annually.</w:t>
      </w:r>
    </w:p>
    <w:p w14:paraId="6DF1650F" w14:textId="77777777" w:rsidR="00003F62" w:rsidRDefault="00003F62" w:rsidP="00003F62">
      <w:pPr>
        <w:pStyle w:val="NormalWeb"/>
      </w:pPr>
      <w:r>
        <w:rPr>
          <w:rStyle w:val="Strong"/>
          <w:rFonts w:eastAsiaTheme="majorEastAsia"/>
        </w:rPr>
        <w:t>Parks, Trails, and Cemeteries</w:t>
      </w:r>
      <w:r>
        <w:br/>
        <w:t>Robbins outlined a pay-as-you-go model for parks and trail projects, leveraging RAP (Recreation, Arts, and Parks) tax funding. Recent improvements include West Park renovations and the Rock Canyon Trailhead overhaul. Supplemental budget requests include $48,000 for three new park areas and $90,000 for additional block beautification projects. Trail usage and volunteer contributions remain high, and the cemetery continues operating with partial cost recovery through a perpetuity account.</w:t>
      </w:r>
    </w:p>
    <w:p w14:paraId="60BED84C" w14:textId="77777777" w:rsidR="00003F62" w:rsidRDefault="00003F62" w:rsidP="00003F62">
      <w:pPr>
        <w:pStyle w:val="NormalWeb"/>
      </w:pPr>
      <w:r>
        <w:rPr>
          <w:rStyle w:val="Strong"/>
          <w:rFonts w:eastAsiaTheme="majorEastAsia"/>
        </w:rPr>
        <w:t>Summary and Accreditation</w:t>
      </w:r>
      <w:r>
        <w:br/>
        <w:t>The department recently underwent a national reaccreditation audit, reviewing 732 standards of evidence. Results are pending. Director Robbins concluded by expressing gratitude to the Council and community for their continued support and partnership.</w:t>
      </w:r>
    </w:p>
    <w:p w14:paraId="1ADBD372" w14:textId="1FAE9B67" w:rsidR="00E836E7" w:rsidRDefault="00003F62" w:rsidP="00003F62">
      <w:pPr>
        <w:pStyle w:val="NormalWeb"/>
      </w:pPr>
      <w:r>
        <w:t>Councilors asked several follow-up questions and praised the department’s comprehensive, community-focused efforts.</w:t>
      </w:r>
    </w:p>
    <w:p w14:paraId="3EED97E1" w14:textId="7AF93F87" w:rsidR="00003F62" w:rsidRDefault="00003F62" w:rsidP="00003F62">
      <w:pPr>
        <w:pStyle w:val="NormalWeb"/>
      </w:pPr>
      <w:r>
        <w:rPr>
          <w:rStyle w:val="Strong"/>
          <w:rFonts w:eastAsiaTheme="majorEastAsia"/>
        </w:rPr>
        <w:t>Item 1</w:t>
      </w:r>
      <w:r w:rsidR="005D4264">
        <w:rPr>
          <w:rStyle w:val="Strong"/>
          <w:rFonts w:eastAsiaTheme="majorEastAsia"/>
        </w:rPr>
        <w:t>3</w:t>
      </w:r>
      <w:r>
        <w:rPr>
          <w:rStyle w:val="Strong"/>
          <w:rFonts w:eastAsiaTheme="majorEastAsia"/>
        </w:rPr>
        <w:t>: A Presentation Regarding the FY2026 Budget: Police (25-025)</w:t>
      </w:r>
      <w:r w:rsidR="005D4264">
        <w:rPr>
          <w:rStyle w:val="Strong"/>
          <w:rFonts w:eastAsiaTheme="majorEastAsia"/>
        </w:rPr>
        <w:t xml:space="preserve"> </w:t>
      </w:r>
      <w:hyperlink r:id="rId24" w:history="1">
        <w:r w:rsidR="005D4264" w:rsidRPr="005D4264">
          <w:rPr>
            <w:rStyle w:val="Hyperlink"/>
            <w:rFonts w:eastAsiaTheme="majorEastAsia"/>
            <w:b/>
            <w:bCs/>
          </w:rPr>
          <w:t>2:56:59</w:t>
        </w:r>
      </w:hyperlink>
    </w:p>
    <w:p w14:paraId="3BE87532" w14:textId="77777777" w:rsidR="00003F62" w:rsidRDefault="00003F62" w:rsidP="00003F62">
      <w:pPr>
        <w:pStyle w:val="NormalWeb"/>
      </w:pPr>
      <w:r>
        <w:t>Chief Troy Beebe and Captain Brian Taylor provided a detailed overview of the FY2026 budget for the Provo Police Department, highlighting operational needs, accomplishments, and key funding requests.</w:t>
      </w:r>
    </w:p>
    <w:p w14:paraId="5FE4CC90" w14:textId="77777777" w:rsidR="00003F62" w:rsidRDefault="00003F62" w:rsidP="00003F62">
      <w:pPr>
        <w:pStyle w:val="NormalWeb"/>
      </w:pPr>
      <w:r>
        <w:rPr>
          <w:rStyle w:val="Strong"/>
          <w:rFonts w:eastAsiaTheme="majorEastAsia"/>
        </w:rPr>
        <w:t>Key Accomplishments and Initiatives</w:t>
      </w:r>
      <w:r>
        <w:br/>
        <w:t>Chief Beebe reviewed notable departmental achievements, including the resolution of a 43-year-old missing person case and efforts to disrupt illegal activities by targeting both perpetrators and their clientele. He emphasized the success of technology-driven initiatives such as the real-time crime center and license plate readers, describing them as force multipliers that enhance officer productivity and support community policing.</w:t>
      </w:r>
    </w:p>
    <w:p w14:paraId="6788A280" w14:textId="77777777" w:rsidR="00003F62" w:rsidRDefault="00003F62" w:rsidP="00003F62">
      <w:pPr>
        <w:pStyle w:val="NormalWeb"/>
      </w:pPr>
      <w:r>
        <w:rPr>
          <w:rStyle w:val="Strong"/>
          <w:rFonts w:eastAsiaTheme="majorEastAsia"/>
        </w:rPr>
        <w:t>Budget Requests for Essential Equipment and Supplies</w:t>
      </w:r>
      <w:r>
        <w:br/>
        <w:t>Captain Taylor outlined the department’s requests to right-size operational budgets, including:</w:t>
      </w:r>
    </w:p>
    <w:p w14:paraId="7FCF01CE" w14:textId="77777777" w:rsidR="00003F62" w:rsidRDefault="00003F62" w:rsidP="00003F62">
      <w:pPr>
        <w:pStyle w:val="NormalWeb"/>
        <w:numPr>
          <w:ilvl w:val="0"/>
          <w:numId w:val="4"/>
        </w:numPr>
      </w:pPr>
      <w:r>
        <w:rPr>
          <w:rStyle w:val="Strong"/>
          <w:rFonts w:eastAsiaTheme="majorEastAsia"/>
        </w:rPr>
        <w:t>Personal Protective Equipment (PPE):</w:t>
      </w:r>
      <w:r>
        <w:t xml:space="preserve"> $25,000 for the rotation and upgrade of officer body armor, replaced every five years to ensure optimal safety.</w:t>
      </w:r>
    </w:p>
    <w:p w14:paraId="43853EF6" w14:textId="77777777" w:rsidR="00003F62" w:rsidRDefault="00003F62" w:rsidP="00003F62">
      <w:pPr>
        <w:pStyle w:val="NormalWeb"/>
        <w:numPr>
          <w:ilvl w:val="0"/>
          <w:numId w:val="4"/>
        </w:numPr>
      </w:pPr>
      <w:r>
        <w:rPr>
          <w:rStyle w:val="Strong"/>
          <w:rFonts w:eastAsiaTheme="majorEastAsia"/>
        </w:rPr>
        <w:t>Cell Phones and Network Connectivity:</w:t>
      </w:r>
      <w:r>
        <w:t xml:space="preserve"> $20,900 to cover increased contract costs for mobile connectivity, enabling real-time data access for patrol operations.</w:t>
      </w:r>
    </w:p>
    <w:p w14:paraId="69CD3869" w14:textId="77777777" w:rsidR="00003F62" w:rsidRDefault="00003F62" w:rsidP="00003F62">
      <w:pPr>
        <w:pStyle w:val="NormalWeb"/>
        <w:numPr>
          <w:ilvl w:val="0"/>
          <w:numId w:val="4"/>
        </w:numPr>
      </w:pPr>
      <w:r>
        <w:rPr>
          <w:rStyle w:val="Strong"/>
          <w:rFonts w:eastAsiaTheme="majorEastAsia"/>
        </w:rPr>
        <w:t>Ammunition and Less-Lethal Munitions:</w:t>
      </w:r>
      <w:r>
        <w:t xml:space="preserve"> $30,000 to support training and field readiness, including Tasers, pepper spray, and other de-escalation tools.</w:t>
      </w:r>
    </w:p>
    <w:p w14:paraId="00F9F435" w14:textId="77777777" w:rsidR="00003F62" w:rsidRDefault="00003F62" w:rsidP="00003F62">
      <w:pPr>
        <w:pStyle w:val="NormalWeb"/>
        <w:numPr>
          <w:ilvl w:val="0"/>
          <w:numId w:val="4"/>
        </w:numPr>
      </w:pPr>
      <w:r>
        <w:rPr>
          <w:rStyle w:val="Strong"/>
          <w:rFonts w:eastAsiaTheme="majorEastAsia"/>
        </w:rPr>
        <w:t>Operational Supplies:</w:t>
      </w:r>
      <w:r>
        <w:t xml:space="preserve"> $40,000 to cover shortfalls in basic supplies, including crossing guard gear, cones, and tactical equipment maintenance.</w:t>
      </w:r>
    </w:p>
    <w:p w14:paraId="101A437D" w14:textId="77777777" w:rsidR="00003F62" w:rsidRDefault="00003F62" w:rsidP="00003F62">
      <w:pPr>
        <w:pStyle w:val="NormalWeb"/>
      </w:pPr>
      <w:r>
        <w:rPr>
          <w:rStyle w:val="Strong"/>
          <w:rFonts w:eastAsiaTheme="majorEastAsia"/>
        </w:rPr>
        <w:t>Victim Advocacy Funding</w:t>
      </w:r>
      <w:r>
        <w:br/>
        <w:t>Due to reductions in federal VOCA (Victims of Crime Act) grant funding, the department requested $40,836 to sustain its victim advocacy program. This service provides essential support, crisis response, and guidance for victims navigating the justice system.</w:t>
      </w:r>
    </w:p>
    <w:p w14:paraId="5A9BC8A8" w14:textId="77777777" w:rsidR="00003F62" w:rsidRDefault="00003F62" w:rsidP="00003F62">
      <w:pPr>
        <w:pStyle w:val="NormalWeb"/>
      </w:pPr>
      <w:r>
        <w:t>Council members expressed strong support for the department's proactive initiatives and reinforced the importance of maintaining critical services such as victim advocacy. Discussions focused on sustainable funding models and the need to balance public safety with fiscal responsibility.</w:t>
      </w:r>
    </w:p>
    <w:p w14:paraId="473D1FBB" w14:textId="6A9B939D" w:rsidR="00887802" w:rsidRDefault="00887802" w:rsidP="00887802">
      <w:pPr>
        <w:pStyle w:val="NormalWeb"/>
      </w:pPr>
      <w:r>
        <w:rPr>
          <w:rStyle w:val="Strong"/>
          <w:rFonts w:eastAsiaTheme="majorEastAsia"/>
        </w:rPr>
        <w:t>Item 1</w:t>
      </w:r>
      <w:r w:rsidR="005D4264">
        <w:rPr>
          <w:rStyle w:val="Strong"/>
          <w:rFonts w:eastAsiaTheme="majorEastAsia"/>
        </w:rPr>
        <w:t>4</w:t>
      </w:r>
      <w:r>
        <w:rPr>
          <w:rStyle w:val="Strong"/>
          <w:rFonts w:eastAsiaTheme="majorEastAsia"/>
        </w:rPr>
        <w:t>: A Presentation Regarding the 2025-29 Consolidated Plan and Year One Annual Action Plan (25-051)</w:t>
      </w:r>
      <w:r w:rsidR="005D4264">
        <w:rPr>
          <w:rStyle w:val="Strong"/>
          <w:rFonts w:eastAsiaTheme="majorEastAsia"/>
        </w:rPr>
        <w:t xml:space="preserve"> </w:t>
      </w:r>
      <w:hyperlink r:id="rId25" w:history="1">
        <w:r w:rsidR="005D4264" w:rsidRPr="005D4264">
          <w:rPr>
            <w:rStyle w:val="Hyperlink"/>
            <w:rFonts w:eastAsiaTheme="majorEastAsia"/>
            <w:b/>
            <w:bCs/>
          </w:rPr>
          <w:t>3:36:13</w:t>
        </w:r>
      </w:hyperlink>
    </w:p>
    <w:p w14:paraId="0EF71AD5" w14:textId="77777777" w:rsidR="00887802" w:rsidRDefault="00887802" w:rsidP="00887802">
      <w:pPr>
        <w:pStyle w:val="NormalWeb"/>
      </w:pPr>
      <w:r>
        <w:t>Melissa McNalley, Director of the Redevelopment Agency (RDA), presented a detailed overview of the 2025–2029 Consolidated Plan and its Year One Annual Action Plan.</w:t>
      </w:r>
    </w:p>
    <w:p w14:paraId="38CD2550" w14:textId="77777777" w:rsidR="00887802" w:rsidRDefault="00887802" w:rsidP="00887802">
      <w:pPr>
        <w:pStyle w:val="NormalWeb"/>
      </w:pPr>
      <w:r>
        <w:rPr>
          <w:rStyle w:val="Strong"/>
          <w:rFonts w:eastAsiaTheme="majorEastAsia"/>
        </w:rPr>
        <w:t>Planning Process and Needs Assessment</w:t>
      </w:r>
      <w:r>
        <w:br/>
        <w:t>Ms. McNalley described the comprehensive planning process, which included extensive community engagement through public hearings, surveys, and consultations with service providers. The primary focus was assessing housing and homeless needs and conducting a housing market analysis in partnership with a consultant to ensure accurate, data-driven insights.</w:t>
      </w:r>
    </w:p>
    <w:p w14:paraId="311D2FED" w14:textId="77777777" w:rsidR="00887802" w:rsidRDefault="00887802" w:rsidP="00887802">
      <w:pPr>
        <w:pStyle w:val="NormalWeb"/>
      </w:pPr>
      <w:r>
        <w:rPr>
          <w:rStyle w:val="Strong"/>
          <w:rFonts w:eastAsiaTheme="majorEastAsia"/>
        </w:rPr>
        <w:t>Community Needs and Funding Priorities</w:t>
      </w:r>
      <w:r>
        <w:br/>
        <w:t>The needs assessment identified housing as the foremost community priority. Specific needs included affordable homebuyer programs, rental housing, and housing for special needs populations such as seniors and individuals with disabilities. Other priorities included economic development—especially higher-income jobs and space for small businesses—infrastructure improvements such as ADA-compliant sidewalks, and critical services like healthcare, domestic violence counseling, and food security.</w:t>
      </w:r>
    </w:p>
    <w:p w14:paraId="47C463F9" w14:textId="77777777" w:rsidR="00887802" w:rsidRDefault="00887802" w:rsidP="00887802">
      <w:pPr>
        <w:pStyle w:val="NormalWeb"/>
      </w:pPr>
      <w:r>
        <w:t>These priorities guided the allocation of HUD funding, emphasizing housing, economic development, infrastructure, and community services.</w:t>
      </w:r>
    </w:p>
    <w:p w14:paraId="543C2F3B" w14:textId="77777777" w:rsidR="00887802" w:rsidRDefault="00887802" w:rsidP="00887802">
      <w:pPr>
        <w:pStyle w:val="NormalWeb"/>
      </w:pPr>
      <w:r>
        <w:rPr>
          <w:rStyle w:val="Strong"/>
          <w:rFonts w:eastAsiaTheme="majorEastAsia"/>
        </w:rPr>
        <w:t>Proposed Funding Allocations</w:t>
      </w:r>
      <w:r>
        <w:br/>
        <w:t>Ms. McNalley detailed proposed funding allocations to various community organizations and capital projects. The application and allocation process was conducted regionally, in collaboration with Utah County and Orem City, to ensure consistency and efficiency for applicants seeking federal program funding.</w:t>
      </w:r>
    </w:p>
    <w:p w14:paraId="23ECDA3B" w14:textId="77777777" w:rsidR="00887802" w:rsidRDefault="00887802" w:rsidP="00887802">
      <w:pPr>
        <w:pStyle w:val="NormalWeb"/>
      </w:pPr>
      <w:r>
        <w:rPr>
          <w:rStyle w:val="Strong"/>
          <w:rFonts w:eastAsiaTheme="majorEastAsia"/>
        </w:rPr>
        <w:t>Council Discussion and Feedback</w:t>
      </w:r>
      <w:r>
        <w:br/>
        <w:t>The Municipal Council engaged in a thorough discussion of the proposed funding framework. Councilors sought clarification on the application scoring methodology and evaluation criteria used to align funding decisions with the plan’s community goals. They showed interest in how project outcomes would be monitored and reported to maintain accountability.</w:t>
      </w:r>
    </w:p>
    <w:p w14:paraId="507CBD35" w14:textId="679B30A9" w:rsidR="00887802" w:rsidRDefault="00887802" w:rsidP="00887802">
      <w:pPr>
        <w:pStyle w:val="NormalWeb"/>
      </w:pPr>
      <w:r>
        <w:t>Ms. McNalley responded by detailing the citizen committee scoring process and emphasized the strategic approach to community engagement and inter-agency coordination. She emphasized the plan’s intent to efficiently deploy federal funds to address key community needs.</w:t>
      </w:r>
    </w:p>
    <w:p w14:paraId="5C7387CC" w14:textId="77777777" w:rsidR="00887802" w:rsidRDefault="00887802" w:rsidP="00887802">
      <w:pPr>
        <w:pStyle w:val="NormalWeb"/>
      </w:pPr>
      <w:r>
        <w:t>Council members expressed appreciation for the clarity and transparency of the presentation. They acknowledged the challenges of meeting increasing demands with limited resources and praised the inclusion of public feedback in the planning process. Councilors voiced support for continuing community input throughout the review period, which concludes on June 6.</w:t>
      </w:r>
    </w:p>
    <w:p w14:paraId="52A2AD97" w14:textId="4CB947F9" w:rsidR="005D4264" w:rsidRPr="00D81F5A" w:rsidRDefault="005D4264" w:rsidP="005D4264">
      <w:pPr>
        <w:jc w:val="both"/>
        <w:rPr>
          <w:b/>
          <w:bCs/>
          <w:sz w:val="28"/>
          <w:szCs w:val="28"/>
        </w:rPr>
      </w:pPr>
      <w:r>
        <w:rPr>
          <w:b/>
          <w:bCs/>
          <w:sz w:val="28"/>
          <w:szCs w:val="28"/>
        </w:rPr>
        <w:t>RDA B</w:t>
      </w:r>
      <w:r w:rsidRPr="00D81F5A">
        <w:rPr>
          <w:b/>
          <w:bCs/>
          <w:sz w:val="28"/>
          <w:szCs w:val="28"/>
        </w:rPr>
        <w:t>usiness</w:t>
      </w:r>
    </w:p>
    <w:p w14:paraId="00A9AEB6" w14:textId="15F9838E" w:rsidR="00887802" w:rsidRDefault="00887802" w:rsidP="00887802">
      <w:pPr>
        <w:pStyle w:val="NormalWeb"/>
      </w:pPr>
      <w:r>
        <w:rPr>
          <w:rStyle w:val="Strong"/>
          <w:rFonts w:eastAsiaTheme="majorEastAsia"/>
        </w:rPr>
        <w:t>Item 1</w:t>
      </w:r>
      <w:r w:rsidR="005D4264">
        <w:rPr>
          <w:rStyle w:val="Strong"/>
          <w:rFonts w:eastAsiaTheme="majorEastAsia"/>
        </w:rPr>
        <w:t>5</w:t>
      </w:r>
      <w:r>
        <w:rPr>
          <w:rStyle w:val="Strong"/>
          <w:rFonts w:eastAsiaTheme="majorEastAsia"/>
        </w:rPr>
        <w:t>: A Resolution Approving the Memorandum of Agreement Between the Provo City Redevelopment Agency and BCP Ironton, LLC for Property Located Within the Mountain Vista Business Park. (25-055)</w:t>
      </w:r>
      <w:r w:rsidR="005D4264">
        <w:rPr>
          <w:rStyle w:val="Strong"/>
          <w:rFonts w:eastAsiaTheme="majorEastAsia"/>
        </w:rPr>
        <w:t xml:space="preserve"> </w:t>
      </w:r>
      <w:hyperlink r:id="rId26" w:history="1">
        <w:r w:rsidR="005D4264" w:rsidRPr="005D4264">
          <w:rPr>
            <w:rStyle w:val="Hyperlink"/>
            <w:rFonts w:eastAsiaTheme="majorEastAsia"/>
            <w:b/>
            <w:bCs/>
          </w:rPr>
          <w:t>3:56:52</w:t>
        </w:r>
      </w:hyperlink>
    </w:p>
    <w:p w14:paraId="08A025C8" w14:textId="77777777" w:rsidR="00887802" w:rsidRDefault="00887802" w:rsidP="00887802">
      <w:pPr>
        <w:pStyle w:val="NormalWeb"/>
      </w:pPr>
      <w:r>
        <w:t>Melissa McNalley, Director of the Redevelopment Agency (RDA), presented a resolution to approve a memorandum of agreement between the Provo City Redevelopment Agency and BCP Ironton, LLC concerning property located in the Mountain Vista Business Park. The property was originally owned by Hall Labs and is part of a 2016 agreement concerning the environmental remediation of parcels formerly used as an ironworks site.</w:t>
      </w:r>
    </w:p>
    <w:p w14:paraId="02D61CD6" w14:textId="77777777" w:rsidR="00887802" w:rsidRDefault="00887802" w:rsidP="00887802">
      <w:pPr>
        <w:pStyle w:val="NormalWeb"/>
      </w:pPr>
      <w:r>
        <w:t>Under the original agreement, Hall Labs assumed responsibility for the environmental remediation of the property, which has been partially completed. The new agreement proposes the sale of the property to BCP Ironton, LLC, with the condition that the new owner will assume responsibility for completing the remediation.</w:t>
      </w:r>
    </w:p>
    <w:p w14:paraId="6B1CFF0A" w14:textId="48B8793A" w:rsidR="00887802" w:rsidRDefault="00887802" w:rsidP="00887802">
      <w:pPr>
        <w:pStyle w:val="NormalWeb"/>
      </w:pPr>
      <w:r>
        <w:t xml:space="preserve">Council members engaged in a comprehensive discussion of the potential risks associated with the remediation process, particularly in light of the </w:t>
      </w:r>
      <w:r w:rsidR="005D4264">
        <w:t xml:space="preserve">two quotes, respectively </w:t>
      </w:r>
      <w:r>
        <w:t xml:space="preserve"> $2.1 million and $3.2 million. A key component of the agreement is a sunset clause, which requires that the remediation be completed by 2028.</w:t>
      </w:r>
    </w:p>
    <w:p w14:paraId="52711B28" w14:textId="77777777" w:rsidR="00887802" w:rsidRDefault="00887802" w:rsidP="00887802">
      <w:pPr>
        <w:pStyle w:val="NormalWeb"/>
      </w:pPr>
      <w:r>
        <w:t>Councilors expressed concerns regarding the adequacy of the approximately $1.9 million purchase price credit relative to the potentially higher remediation costs. They also raised questions about enforcement mechanisms and legal safeguards in place should BCP Ironton, LLC fail to fulfill its obligations. City Attorney Brian Jones clarified that the City holds a trust deed on the property, which provides a level of protection against default.</w:t>
      </w:r>
    </w:p>
    <w:p w14:paraId="582BB1B6" w14:textId="77777777" w:rsidR="00887802" w:rsidRDefault="00887802" w:rsidP="00887802">
      <w:pPr>
        <w:pStyle w:val="NormalWeb"/>
      </w:pPr>
      <w:r>
        <w:t>While acknowledging the complexity and potential liabilities involved, the Council recognized that the proposed agreement offered the best opportunity to advance the remediation and development of the site while minimizing Provo City's exposure to risk. Before proceeding to a vote, which was deferred for two weeks, the Council requested additional details and clarifications regarding financial and legal elements of the agreement.</w:t>
      </w:r>
    </w:p>
    <w:p w14:paraId="7E4B75F5" w14:textId="77777777" w:rsidR="00E836E7" w:rsidRPr="00807CEC" w:rsidRDefault="00E836E7" w:rsidP="00E836E7">
      <w:pPr>
        <w:jc w:val="both"/>
        <w:rPr>
          <w:b/>
          <w:bCs/>
          <w:sz w:val="28"/>
          <w:szCs w:val="28"/>
        </w:rPr>
      </w:pPr>
      <w:bookmarkStart w:id="1" w:name="S8151"/>
      <w:r w:rsidRPr="00807CEC">
        <w:rPr>
          <w:b/>
          <w:bCs/>
          <w:sz w:val="28"/>
          <w:szCs w:val="28"/>
        </w:rPr>
        <w:t>Adjournment</w:t>
      </w:r>
      <w:bookmarkEnd w:id="1"/>
    </w:p>
    <w:p w14:paraId="15BFD965" w14:textId="77777777" w:rsidR="00CE006A" w:rsidRDefault="00CE006A"/>
    <w:sectPr w:rsidR="00CE006A" w:rsidSect="00E836E7">
      <w:headerReference w:type="even" r:id="rId27"/>
      <w:headerReference w:type="default" r:id="rId28"/>
      <w:footerReference w:type="default" r:id="rId29"/>
      <w:headerReference w:type="first" r:id="rId30"/>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D6912" w14:textId="77777777" w:rsidR="00921B43" w:rsidRDefault="00921B43">
      <w:r>
        <w:separator/>
      </w:r>
    </w:p>
  </w:endnote>
  <w:endnote w:type="continuationSeparator" w:id="0">
    <w:p w14:paraId="04180541" w14:textId="77777777" w:rsidR="00921B43" w:rsidRDefault="00921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1AA5" w14:textId="4870C5A7" w:rsidR="0097638C" w:rsidRPr="007916E6" w:rsidRDefault="0097638C" w:rsidP="00D80BB5">
    <w:pPr>
      <w:pStyle w:val="Footer"/>
      <w:tabs>
        <w:tab w:val="clear" w:pos="8640"/>
        <w:tab w:val="left" w:pos="7860"/>
        <w:tab w:val="right" w:pos="9360"/>
      </w:tabs>
      <w:jc w:val="both"/>
      <w:rPr>
        <w:sz w:val="20"/>
        <w:szCs w:val="20"/>
      </w:rPr>
    </w:pPr>
    <w:r>
      <w:rPr>
        <w:sz w:val="20"/>
        <w:szCs w:val="20"/>
      </w:rPr>
      <w:t>Provo City Municipal Council Work Meeting –</w:t>
    </w:r>
    <w:r w:rsidR="00807CEC">
      <w:rPr>
        <w:sz w:val="20"/>
        <w:szCs w:val="20"/>
      </w:rPr>
      <w:t xml:space="preserve"> </w:t>
    </w:r>
    <w:r w:rsidR="00107CB4">
      <w:rPr>
        <w:sz w:val="20"/>
        <w:szCs w:val="20"/>
      </w:rPr>
      <w:t>April 22, 2025</w:t>
    </w:r>
    <w:r>
      <w:rPr>
        <w:sz w:val="20"/>
        <w:szCs w:val="20"/>
      </w:rPr>
      <w:tab/>
    </w:r>
    <w:r>
      <w:rPr>
        <w:sz w:val="20"/>
        <w:szCs w:val="20"/>
      </w:rPr>
      <w:tab/>
      <w:t xml:space="preserve">    </w:t>
    </w:r>
    <w:r w:rsidRPr="00D80BB5">
      <w:rPr>
        <w:sz w:val="20"/>
        <w:szCs w:val="20"/>
      </w:rPr>
      <w:t xml:space="preserve">Page </w:t>
    </w:r>
    <w:r w:rsidRPr="00D80BB5">
      <w:rPr>
        <w:b/>
        <w:bCs/>
        <w:sz w:val="20"/>
        <w:szCs w:val="20"/>
      </w:rPr>
      <w:fldChar w:fldCharType="begin"/>
    </w:r>
    <w:r w:rsidRPr="00D80BB5">
      <w:rPr>
        <w:b/>
        <w:bCs/>
        <w:sz w:val="20"/>
        <w:szCs w:val="20"/>
      </w:rPr>
      <w:instrText xml:space="preserve"> PAGE  \* Arabic  \* MERGEFORMAT </w:instrText>
    </w:r>
    <w:r w:rsidRPr="00D80BB5">
      <w:rPr>
        <w:b/>
        <w:bCs/>
        <w:sz w:val="20"/>
        <w:szCs w:val="20"/>
      </w:rPr>
      <w:fldChar w:fldCharType="separate"/>
    </w:r>
    <w:r w:rsidRPr="00D80BB5">
      <w:rPr>
        <w:b/>
        <w:bCs/>
        <w:noProof/>
        <w:sz w:val="20"/>
        <w:szCs w:val="20"/>
      </w:rPr>
      <w:t>1</w:t>
    </w:r>
    <w:r w:rsidRPr="00D80BB5">
      <w:rPr>
        <w:b/>
        <w:bCs/>
        <w:sz w:val="20"/>
        <w:szCs w:val="20"/>
      </w:rPr>
      <w:fldChar w:fldCharType="end"/>
    </w:r>
    <w:r w:rsidRPr="00D80BB5">
      <w:rPr>
        <w:sz w:val="20"/>
        <w:szCs w:val="20"/>
      </w:rPr>
      <w:t xml:space="preserve"> of </w:t>
    </w:r>
    <w:r w:rsidRPr="00D80BB5">
      <w:rPr>
        <w:b/>
        <w:bCs/>
        <w:sz w:val="20"/>
        <w:szCs w:val="20"/>
      </w:rPr>
      <w:fldChar w:fldCharType="begin"/>
    </w:r>
    <w:r w:rsidRPr="00D80BB5">
      <w:rPr>
        <w:b/>
        <w:bCs/>
        <w:sz w:val="20"/>
        <w:szCs w:val="20"/>
      </w:rPr>
      <w:instrText xml:space="preserve"> NUMPAGES  \* Arabic  \* MERGEFORMAT </w:instrText>
    </w:r>
    <w:r w:rsidRPr="00D80BB5">
      <w:rPr>
        <w:b/>
        <w:bCs/>
        <w:sz w:val="20"/>
        <w:szCs w:val="20"/>
      </w:rPr>
      <w:fldChar w:fldCharType="separate"/>
    </w:r>
    <w:r w:rsidRPr="00D80BB5">
      <w:rPr>
        <w:b/>
        <w:bCs/>
        <w:noProof/>
        <w:sz w:val="20"/>
        <w:szCs w:val="20"/>
      </w:rPr>
      <w:t>2</w:t>
    </w:r>
    <w:r w:rsidRPr="00D80BB5">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88A85" w14:textId="77777777" w:rsidR="00921B43" w:rsidRDefault="00921B43">
      <w:r>
        <w:separator/>
      </w:r>
    </w:p>
  </w:footnote>
  <w:footnote w:type="continuationSeparator" w:id="0">
    <w:p w14:paraId="59F0E9FF" w14:textId="77777777" w:rsidR="00921B43" w:rsidRDefault="00921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70D5" w14:textId="71B45391" w:rsidR="00D63B52" w:rsidRDefault="00D63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372CF" w14:textId="2DF6CD46" w:rsidR="00D63B52" w:rsidRDefault="00D63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6FD2" w14:textId="5386B400" w:rsidR="00D63B52" w:rsidRDefault="00D63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41E24"/>
    <w:multiLevelType w:val="multilevel"/>
    <w:tmpl w:val="277C1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E793F6F"/>
    <w:multiLevelType w:val="multilevel"/>
    <w:tmpl w:val="AEA4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CB6727"/>
    <w:multiLevelType w:val="hybridMultilevel"/>
    <w:tmpl w:val="DF00A7F4"/>
    <w:lvl w:ilvl="0" w:tplc="E18422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38A7D8E"/>
    <w:multiLevelType w:val="multilevel"/>
    <w:tmpl w:val="1DFA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05781">
    <w:abstractNumId w:val="0"/>
  </w:num>
  <w:num w:numId="2" w16cid:durableId="1152260440">
    <w:abstractNumId w:val="2"/>
  </w:num>
  <w:num w:numId="3" w16cid:durableId="1191146386">
    <w:abstractNumId w:val="1"/>
  </w:num>
  <w:num w:numId="4" w16cid:durableId="717516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B43"/>
    <w:rsid w:val="00003F62"/>
    <w:rsid w:val="00030E90"/>
    <w:rsid w:val="00107CB4"/>
    <w:rsid w:val="00231724"/>
    <w:rsid w:val="00233C0A"/>
    <w:rsid w:val="003853F2"/>
    <w:rsid w:val="003F7B7F"/>
    <w:rsid w:val="00483148"/>
    <w:rsid w:val="004D7986"/>
    <w:rsid w:val="005D4264"/>
    <w:rsid w:val="006C48AD"/>
    <w:rsid w:val="00730B9A"/>
    <w:rsid w:val="00807CEC"/>
    <w:rsid w:val="008138A8"/>
    <w:rsid w:val="00887802"/>
    <w:rsid w:val="008F47D2"/>
    <w:rsid w:val="00921B43"/>
    <w:rsid w:val="0097638C"/>
    <w:rsid w:val="00A73E3F"/>
    <w:rsid w:val="00AC2A8E"/>
    <w:rsid w:val="00BE7F10"/>
    <w:rsid w:val="00C81245"/>
    <w:rsid w:val="00CB0BAC"/>
    <w:rsid w:val="00CB18F5"/>
    <w:rsid w:val="00CE006A"/>
    <w:rsid w:val="00D064BE"/>
    <w:rsid w:val="00D34A4C"/>
    <w:rsid w:val="00D63B52"/>
    <w:rsid w:val="00E836E7"/>
    <w:rsid w:val="00E901E8"/>
    <w:rsid w:val="00FB6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5CB5E"/>
  <w15:chartTrackingRefBased/>
  <w15:docId w15:val="{6208851B-7D7C-4DE3-9712-6BCD1F34F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26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E7"/>
    <w:rPr>
      <w:rFonts w:eastAsiaTheme="majorEastAsia" w:cstheme="majorBidi"/>
      <w:color w:val="272727" w:themeColor="text1" w:themeTint="D8"/>
    </w:rPr>
  </w:style>
  <w:style w:type="paragraph" w:styleId="Title">
    <w:name w:val="Title"/>
    <w:basedOn w:val="Normal"/>
    <w:next w:val="Normal"/>
    <w:link w:val="TitleChar"/>
    <w:uiPriority w:val="10"/>
    <w:qFormat/>
    <w:rsid w:val="00E83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E7"/>
    <w:pPr>
      <w:spacing w:before="160"/>
      <w:jc w:val="center"/>
    </w:pPr>
    <w:rPr>
      <w:i/>
      <w:iCs/>
      <w:color w:val="404040" w:themeColor="text1" w:themeTint="BF"/>
    </w:rPr>
  </w:style>
  <w:style w:type="character" w:customStyle="1" w:styleId="QuoteChar">
    <w:name w:val="Quote Char"/>
    <w:basedOn w:val="DefaultParagraphFont"/>
    <w:link w:val="Quote"/>
    <w:uiPriority w:val="29"/>
    <w:rsid w:val="00E836E7"/>
    <w:rPr>
      <w:i/>
      <w:iCs/>
      <w:color w:val="404040" w:themeColor="text1" w:themeTint="BF"/>
    </w:rPr>
  </w:style>
  <w:style w:type="paragraph" w:styleId="ListParagraph">
    <w:name w:val="List Paragraph"/>
    <w:basedOn w:val="Normal"/>
    <w:uiPriority w:val="34"/>
    <w:qFormat/>
    <w:rsid w:val="00E836E7"/>
    <w:pPr>
      <w:ind w:left="720"/>
      <w:contextualSpacing/>
    </w:pPr>
  </w:style>
  <w:style w:type="character" w:styleId="IntenseEmphasis">
    <w:name w:val="Intense Emphasis"/>
    <w:basedOn w:val="DefaultParagraphFont"/>
    <w:uiPriority w:val="21"/>
    <w:qFormat/>
    <w:rsid w:val="00E836E7"/>
    <w:rPr>
      <w:i/>
      <w:iCs/>
      <w:color w:val="0F4761" w:themeColor="accent1" w:themeShade="BF"/>
    </w:rPr>
  </w:style>
  <w:style w:type="paragraph" w:styleId="IntenseQuote">
    <w:name w:val="Intense Quote"/>
    <w:basedOn w:val="Normal"/>
    <w:next w:val="Normal"/>
    <w:link w:val="IntenseQuoteChar"/>
    <w:uiPriority w:val="30"/>
    <w:qFormat/>
    <w:rsid w:val="00E83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6E7"/>
    <w:rPr>
      <w:i/>
      <w:iCs/>
      <w:color w:val="0F4761" w:themeColor="accent1" w:themeShade="BF"/>
    </w:rPr>
  </w:style>
  <w:style w:type="character" w:styleId="IntenseReference">
    <w:name w:val="Intense Reference"/>
    <w:basedOn w:val="DefaultParagraphFont"/>
    <w:uiPriority w:val="32"/>
    <w:qFormat/>
    <w:rsid w:val="00E836E7"/>
    <w:rPr>
      <w:b/>
      <w:bCs/>
      <w:smallCaps/>
      <w:color w:val="0F4761" w:themeColor="accent1" w:themeShade="BF"/>
      <w:spacing w:val="5"/>
    </w:rPr>
  </w:style>
  <w:style w:type="paragraph" w:styleId="Header">
    <w:name w:val="header"/>
    <w:basedOn w:val="Normal"/>
    <w:link w:val="HeaderChar"/>
    <w:rsid w:val="00E836E7"/>
    <w:pPr>
      <w:tabs>
        <w:tab w:val="center" w:pos="4320"/>
        <w:tab w:val="right" w:pos="8640"/>
      </w:tabs>
    </w:pPr>
  </w:style>
  <w:style w:type="character" w:customStyle="1" w:styleId="HeaderChar">
    <w:name w:val="Header Char"/>
    <w:basedOn w:val="DefaultParagraphFont"/>
    <w:link w:val="Header"/>
    <w:rsid w:val="00E836E7"/>
    <w:rPr>
      <w:rFonts w:ascii="Times New Roman" w:eastAsia="Times New Roman" w:hAnsi="Times New Roman" w:cs="Times New Roman"/>
      <w:kern w:val="0"/>
      <w14:ligatures w14:val="none"/>
    </w:rPr>
  </w:style>
  <w:style w:type="paragraph" w:styleId="Footer">
    <w:name w:val="footer"/>
    <w:basedOn w:val="Normal"/>
    <w:link w:val="FooterChar"/>
    <w:uiPriority w:val="99"/>
    <w:rsid w:val="00E836E7"/>
    <w:pPr>
      <w:tabs>
        <w:tab w:val="center" w:pos="4320"/>
        <w:tab w:val="right" w:pos="8640"/>
      </w:tabs>
    </w:pPr>
  </w:style>
  <w:style w:type="character" w:customStyle="1" w:styleId="FooterChar">
    <w:name w:val="Footer Char"/>
    <w:basedOn w:val="DefaultParagraphFont"/>
    <w:link w:val="Footer"/>
    <w:uiPriority w:val="99"/>
    <w:rsid w:val="00E836E7"/>
    <w:rPr>
      <w:rFonts w:ascii="Times New Roman" w:eastAsia="Times New Roman" w:hAnsi="Times New Roman" w:cs="Times New Roman"/>
      <w:kern w:val="0"/>
      <w14:ligatures w14:val="none"/>
    </w:rPr>
  </w:style>
  <w:style w:type="character" w:styleId="Hyperlink">
    <w:name w:val="Hyperlink"/>
    <w:uiPriority w:val="99"/>
    <w:rsid w:val="00E836E7"/>
    <w:rPr>
      <w:color w:val="0000FF"/>
      <w:u w:val="single"/>
    </w:rPr>
  </w:style>
  <w:style w:type="character" w:styleId="FollowedHyperlink">
    <w:name w:val="FollowedHyperlink"/>
    <w:basedOn w:val="DefaultParagraphFont"/>
    <w:uiPriority w:val="99"/>
    <w:semiHidden/>
    <w:unhideWhenUsed/>
    <w:rsid w:val="00E836E7"/>
    <w:rPr>
      <w:color w:val="96607D" w:themeColor="followedHyperlink"/>
      <w:u w:val="single"/>
    </w:rPr>
  </w:style>
  <w:style w:type="paragraph" w:styleId="NormalWeb">
    <w:name w:val="Normal (Web)"/>
    <w:basedOn w:val="Normal"/>
    <w:uiPriority w:val="99"/>
    <w:unhideWhenUsed/>
    <w:rsid w:val="00921B43"/>
    <w:pPr>
      <w:spacing w:before="100" w:beforeAutospacing="1" w:after="100" w:afterAutospacing="1"/>
    </w:pPr>
  </w:style>
  <w:style w:type="character" w:styleId="Strong">
    <w:name w:val="Strong"/>
    <w:basedOn w:val="DefaultParagraphFont"/>
    <w:uiPriority w:val="22"/>
    <w:qFormat/>
    <w:rsid w:val="00921B43"/>
    <w:rPr>
      <w:b/>
      <w:bCs/>
    </w:rPr>
  </w:style>
  <w:style w:type="character" w:styleId="UnresolvedMention">
    <w:name w:val="Unresolved Mention"/>
    <w:basedOn w:val="DefaultParagraphFont"/>
    <w:uiPriority w:val="99"/>
    <w:semiHidden/>
    <w:unhideWhenUsed/>
    <w:rsid w:val="005D4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8797">
      <w:bodyDiv w:val="1"/>
      <w:marLeft w:val="0"/>
      <w:marRight w:val="0"/>
      <w:marTop w:val="0"/>
      <w:marBottom w:val="0"/>
      <w:divBdr>
        <w:top w:val="none" w:sz="0" w:space="0" w:color="auto"/>
        <w:left w:val="none" w:sz="0" w:space="0" w:color="auto"/>
        <w:bottom w:val="none" w:sz="0" w:space="0" w:color="auto"/>
        <w:right w:val="none" w:sz="0" w:space="0" w:color="auto"/>
      </w:divBdr>
    </w:div>
    <w:div w:id="36900720">
      <w:bodyDiv w:val="1"/>
      <w:marLeft w:val="0"/>
      <w:marRight w:val="0"/>
      <w:marTop w:val="0"/>
      <w:marBottom w:val="0"/>
      <w:divBdr>
        <w:top w:val="none" w:sz="0" w:space="0" w:color="auto"/>
        <w:left w:val="none" w:sz="0" w:space="0" w:color="auto"/>
        <w:bottom w:val="none" w:sz="0" w:space="0" w:color="auto"/>
        <w:right w:val="none" w:sz="0" w:space="0" w:color="auto"/>
      </w:divBdr>
    </w:div>
    <w:div w:id="82843009">
      <w:bodyDiv w:val="1"/>
      <w:marLeft w:val="0"/>
      <w:marRight w:val="0"/>
      <w:marTop w:val="0"/>
      <w:marBottom w:val="0"/>
      <w:divBdr>
        <w:top w:val="none" w:sz="0" w:space="0" w:color="auto"/>
        <w:left w:val="none" w:sz="0" w:space="0" w:color="auto"/>
        <w:bottom w:val="none" w:sz="0" w:space="0" w:color="auto"/>
        <w:right w:val="none" w:sz="0" w:space="0" w:color="auto"/>
      </w:divBdr>
    </w:div>
    <w:div w:id="163521177">
      <w:bodyDiv w:val="1"/>
      <w:marLeft w:val="0"/>
      <w:marRight w:val="0"/>
      <w:marTop w:val="0"/>
      <w:marBottom w:val="0"/>
      <w:divBdr>
        <w:top w:val="none" w:sz="0" w:space="0" w:color="auto"/>
        <w:left w:val="none" w:sz="0" w:space="0" w:color="auto"/>
        <w:bottom w:val="none" w:sz="0" w:space="0" w:color="auto"/>
        <w:right w:val="none" w:sz="0" w:space="0" w:color="auto"/>
      </w:divBdr>
    </w:div>
    <w:div w:id="164370370">
      <w:bodyDiv w:val="1"/>
      <w:marLeft w:val="0"/>
      <w:marRight w:val="0"/>
      <w:marTop w:val="0"/>
      <w:marBottom w:val="0"/>
      <w:divBdr>
        <w:top w:val="none" w:sz="0" w:space="0" w:color="auto"/>
        <w:left w:val="none" w:sz="0" w:space="0" w:color="auto"/>
        <w:bottom w:val="none" w:sz="0" w:space="0" w:color="auto"/>
        <w:right w:val="none" w:sz="0" w:space="0" w:color="auto"/>
      </w:divBdr>
    </w:div>
    <w:div w:id="178156420">
      <w:bodyDiv w:val="1"/>
      <w:marLeft w:val="0"/>
      <w:marRight w:val="0"/>
      <w:marTop w:val="0"/>
      <w:marBottom w:val="0"/>
      <w:divBdr>
        <w:top w:val="none" w:sz="0" w:space="0" w:color="auto"/>
        <w:left w:val="none" w:sz="0" w:space="0" w:color="auto"/>
        <w:bottom w:val="none" w:sz="0" w:space="0" w:color="auto"/>
        <w:right w:val="none" w:sz="0" w:space="0" w:color="auto"/>
      </w:divBdr>
    </w:div>
    <w:div w:id="355497125">
      <w:bodyDiv w:val="1"/>
      <w:marLeft w:val="0"/>
      <w:marRight w:val="0"/>
      <w:marTop w:val="0"/>
      <w:marBottom w:val="0"/>
      <w:divBdr>
        <w:top w:val="none" w:sz="0" w:space="0" w:color="auto"/>
        <w:left w:val="none" w:sz="0" w:space="0" w:color="auto"/>
        <w:bottom w:val="none" w:sz="0" w:space="0" w:color="auto"/>
        <w:right w:val="none" w:sz="0" w:space="0" w:color="auto"/>
      </w:divBdr>
    </w:div>
    <w:div w:id="392510699">
      <w:bodyDiv w:val="1"/>
      <w:marLeft w:val="0"/>
      <w:marRight w:val="0"/>
      <w:marTop w:val="0"/>
      <w:marBottom w:val="0"/>
      <w:divBdr>
        <w:top w:val="none" w:sz="0" w:space="0" w:color="auto"/>
        <w:left w:val="none" w:sz="0" w:space="0" w:color="auto"/>
        <w:bottom w:val="none" w:sz="0" w:space="0" w:color="auto"/>
        <w:right w:val="none" w:sz="0" w:space="0" w:color="auto"/>
      </w:divBdr>
    </w:div>
    <w:div w:id="448204141">
      <w:bodyDiv w:val="1"/>
      <w:marLeft w:val="0"/>
      <w:marRight w:val="0"/>
      <w:marTop w:val="0"/>
      <w:marBottom w:val="0"/>
      <w:divBdr>
        <w:top w:val="none" w:sz="0" w:space="0" w:color="auto"/>
        <w:left w:val="none" w:sz="0" w:space="0" w:color="auto"/>
        <w:bottom w:val="none" w:sz="0" w:space="0" w:color="auto"/>
        <w:right w:val="none" w:sz="0" w:space="0" w:color="auto"/>
      </w:divBdr>
    </w:div>
    <w:div w:id="489175268">
      <w:bodyDiv w:val="1"/>
      <w:marLeft w:val="0"/>
      <w:marRight w:val="0"/>
      <w:marTop w:val="0"/>
      <w:marBottom w:val="0"/>
      <w:divBdr>
        <w:top w:val="none" w:sz="0" w:space="0" w:color="auto"/>
        <w:left w:val="none" w:sz="0" w:space="0" w:color="auto"/>
        <w:bottom w:val="none" w:sz="0" w:space="0" w:color="auto"/>
        <w:right w:val="none" w:sz="0" w:space="0" w:color="auto"/>
      </w:divBdr>
    </w:div>
    <w:div w:id="745766462">
      <w:bodyDiv w:val="1"/>
      <w:marLeft w:val="0"/>
      <w:marRight w:val="0"/>
      <w:marTop w:val="0"/>
      <w:marBottom w:val="0"/>
      <w:divBdr>
        <w:top w:val="none" w:sz="0" w:space="0" w:color="auto"/>
        <w:left w:val="none" w:sz="0" w:space="0" w:color="auto"/>
        <w:bottom w:val="none" w:sz="0" w:space="0" w:color="auto"/>
        <w:right w:val="none" w:sz="0" w:space="0" w:color="auto"/>
      </w:divBdr>
    </w:div>
    <w:div w:id="1196428932">
      <w:bodyDiv w:val="1"/>
      <w:marLeft w:val="0"/>
      <w:marRight w:val="0"/>
      <w:marTop w:val="0"/>
      <w:marBottom w:val="0"/>
      <w:divBdr>
        <w:top w:val="none" w:sz="0" w:space="0" w:color="auto"/>
        <w:left w:val="none" w:sz="0" w:space="0" w:color="auto"/>
        <w:bottom w:val="none" w:sz="0" w:space="0" w:color="auto"/>
        <w:right w:val="none" w:sz="0" w:space="0" w:color="auto"/>
      </w:divBdr>
    </w:div>
    <w:div w:id="1296176074">
      <w:bodyDiv w:val="1"/>
      <w:marLeft w:val="0"/>
      <w:marRight w:val="0"/>
      <w:marTop w:val="0"/>
      <w:marBottom w:val="0"/>
      <w:divBdr>
        <w:top w:val="none" w:sz="0" w:space="0" w:color="auto"/>
        <w:left w:val="none" w:sz="0" w:space="0" w:color="auto"/>
        <w:bottom w:val="none" w:sz="0" w:space="0" w:color="auto"/>
        <w:right w:val="none" w:sz="0" w:space="0" w:color="auto"/>
      </w:divBdr>
    </w:div>
    <w:div w:id="1417675763">
      <w:bodyDiv w:val="1"/>
      <w:marLeft w:val="0"/>
      <w:marRight w:val="0"/>
      <w:marTop w:val="0"/>
      <w:marBottom w:val="0"/>
      <w:divBdr>
        <w:top w:val="none" w:sz="0" w:space="0" w:color="auto"/>
        <w:left w:val="none" w:sz="0" w:space="0" w:color="auto"/>
        <w:bottom w:val="none" w:sz="0" w:space="0" w:color="auto"/>
        <w:right w:val="none" w:sz="0" w:space="0" w:color="auto"/>
      </w:divBdr>
    </w:div>
    <w:div w:id="1733694982">
      <w:bodyDiv w:val="1"/>
      <w:marLeft w:val="0"/>
      <w:marRight w:val="0"/>
      <w:marTop w:val="0"/>
      <w:marBottom w:val="0"/>
      <w:divBdr>
        <w:top w:val="none" w:sz="0" w:space="0" w:color="auto"/>
        <w:left w:val="none" w:sz="0" w:space="0" w:color="auto"/>
        <w:bottom w:val="none" w:sz="0" w:space="0" w:color="auto"/>
        <w:right w:val="none" w:sz="0" w:space="0" w:color="auto"/>
      </w:divBdr>
    </w:div>
    <w:div w:id="1915386871">
      <w:bodyDiv w:val="1"/>
      <w:marLeft w:val="0"/>
      <w:marRight w:val="0"/>
      <w:marTop w:val="0"/>
      <w:marBottom w:val="0"/>
      <w:divBdr>
        <w:top w:val="none" w:sz="0" w:space="0" w:color="auto"/>
        <w:left w:val="none" w:sz="0" w:space="0" w:color="auto"/>
        <w:bottom w:val="none" w:sz="0" w:space="0" w:color="auto"/>
        <w:right w:val="none" w:sz="0" w:space="0" w:color="auto"/>
      </w:divBdr>
    </w:div>
    <w:div w:id="2035762406">
      <w:bodyDiv w:val="1"/>
      <w:marLeft w:val="0"/>
      <w:marRight w:val="0"/>
      <w:marTop w:val="0"/>
      <w:marBottom w:val="0"/>
      <w:divBdr>
        <w:top w:val="none" w:sz="0" w:space="0" w:color="auto"/>
        <w:left w:val="none" w:sz="0" w:space="0" w:color="auto"/>
        <w:bottom w:val="none" w:sz="0" w:space="0" w:color="auto"/>
        <w:right w:val="none" w:sz="0" w:space="0" w:color="auto"/>
      </w:divBdr>
    </w:div>
    <w:div w:id="2071659479">
      <w:bodyDiv w:val="1"/>
      <w:marLeft w:val="0"/>
      <w:marRight w:val="0"/>
      <w:marTop w:val="0"/>
      <w:marBottom w:val="0"/>
      <w:divBdr>
        <w:top w:val="none" w:sz="0" w:space="0" w:color="auto"/>
        <w:left w:val="none" w:sz="0" w:space="0" w:color="auto"/>
        <w:bottom w:val="none" w:sz="0" w:space="0" w:color="auto"/>
        <w:right w:val="none" w:sz="0" w:space="0" w:color="auto"/>
      </w:divBdr>
    </w:div>
    <w:div w:id="208263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AqFAKKSAH5k&amp;t=482s" TargetMode="External"/><Relationship Id="rId18" Type="http://schemas.openxmlformats.org/officeDocument/2006/relationships/hyperlink" Target="https://www.youtube.com/watch?v=AqFAKKSAH5k&amp;t=3340s" TargetMode="External"/><Relationship Id="rId26" Type="http://schemas.openxmlformats.org/officeDocument/2006/relationships/hyperlink" Target="https://www.youtube.com/watch?v=AqFAKKSAH5k&amp;t=14212s" TargetMode="External"/><Relationship Id="rId3" Type="http://schemas.openxmlformats.org/officeDocument/2006/relationships/customXml" Target="../customXml/item3.xml"/><Relationship Id="rId21" Type="http://schemas.openxmlformats.org/officeDocument/2006/relationships/hyperlink" Target="https://www.youtube.com/watch?v=AqFAKKSAH5k&amp;t=6686s" TargetMode="External"/><Relationship Id="rId7" Type="http://schemas.openxmlformats.org/officeDocument/2006/relationships/webSettings" Target="webSettings.xml"/><Relationship Id="rId12" Type="http://schemas.openxmlformats.org/officeDocument/2006/relationships/hyperlink" Target="https://www.youtube.com/watch?v=AqFAKKSAH5k&amp;t=415s" TargetMode="External"/><Relationship Id="rId17" Type="http://schemas.openxmlformats.org/officeDocument/2006/relationships/hyperlink" Target="https://www.youtube.com/watch?v=AqFAKKSAH5k&amp;t=2555s" TargetMode="External"/><Relationship Id="rId25" Type="http://schemas.openxmlformats.org/officeDocument/2006/relationships/hyperlink" Target="https://www.youtube.com/watch?v=AqFAKKSAH5k&amp;t=12973s" TargetMode="External"/><Relationship Id="rId2" Type="http://schemas.openxmlformats.org/officeDocument/2006/relationships/customXml" Target="../customXml/item2.xml"/><Relationship Id="rId16" Type="http://schemas.openxmlformats.org/officeDocument/2006/relationships/hyperlink" Target="https://www.youtube.com/watch?v=AqFAKKSAH5k&amp;t=2540s" TargetMode="External"/><Relationship Id="rId20" Type="http://schemas.openxmlformats.org/officeDocument/2006/relationships/hyperlink" Target="https://www.youtube.com/watch?v=AqFAKKSAH5k&amp;t=4502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provocitycouncil" TargetMode="External"/><Relationship Id="rId24" Type="http://schemas.openxmlformats.org/officeDocument/2006/relationships/hyperlink" Target="https://www.youtube.com/watch?v=AqFAKKSAH5k&amp;t=10619s"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youtube.com/watch?v=AqFAKKSAH5k&amp;t=2081s" TargetMode="External"/><Relationship Id="rId23" Type="http://schemas.openxmlformats.org/officeDocument/2006/relationships/hyperlink" Target="https://www.youtube.com/watch?v=AqFAKKSAH5k&amp;t=8518s" TargetMode="External"/><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www.youtube.com/watch?v=AqFAKKSAH5k&amp;t=3705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AqFAKKSAH5k&amp;t=598s" TargetMode="External"/><Relationship Id="rId22" Type="http://schemas.openxmlformats.org/officeDocument/2006/relationships/hyperlink" Target="https://www.youtube.com/watch?v=AqFAKKSAH5k&amp;t=7394s" TargetMode="External"/><Relationship Id="rId27" Type="http://schemas.openxmlformats.org/officeDocument/2006/relationships/header" Target="header1.xml"/><Relationship Id="rId30"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rtins\OneDrive%20-%20City%20of%20Provo\Documents\Templates\Work%20Meeting%20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A5939D71D960419C9280DDFE8B668B" ma:contentTypeVersion="2" ma:contentTypeDescription="Create a new document." ma:contentTypeScope="" ma:versionID="5fe35df7e8424c25ac4c3147424ea90a">
  <xsd:schema xmlns:xsd="http://www.w3.org/2001/XMLSchema" xmlns:xs="http://www.w3.org/2001/XMLSchema" xmlns:p="http://schemas.microsoft.com/office/2006/metadata/properties" xmlns:ns3="cf06d1eb-9af4-44f7-92ee-90826b05862e" targetNamespace="http://schemas.microsoft.com/office/2006/metadata/properties" ma:root="true" ma:fieldsID="2a2623e33578717f89dcb6ab4f898291" ns3:_="">
    <xsd:import namespace="cf06d1eb-9af4-44f7-92ee-90826b05862e"/>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6d1eb-9af4-44f7-92ee-90826b0586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f06d1eb-9af4-44f7-92ee-90826b05862e" xsi:nil="true"/>
  </documentManagement>
</p:properties>
</file>

<file path=customXml/itemProps1.xml><?xml version="1.0" encoding="utf-8"?>
<ds:datastoreItem xmlns:ds="http://schemas.openxmlformats.org/officeDocument/2006/customXml" ds:itemID="{073671C3-4741-4A0C-986D-917184E54DFD}">
  <ds:schemaRefs>
    <ds:schemaRef ds:uri="http://schemas.microsoft.com/sharepoint/v3/contenttype/forms"/>
  </ds:schemaRefs>
</ds:datastoreItem>
</file>

<file path=customXml/itemProps2.xml><?xml version="1.0" encoding="utf-8"?>
<ds:datastoreItem xmlns:ds="http://schemas.openxmlformats.org/officeDocument/2006/customXml" ds:itemID="{96CAC32B-B770-45CB-AE98-7C3DEEDEA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6d1eb-9af4-44f7-92ee-90826b058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6FAA95-A725-4C54-AC67-D49B131AE94C}">
  <ds:schemaRefs>
    <ds:schemaRef ds:uri="http://schemas.microsoft.com/office/2006/metadata/properties"/>
    <ds:schemaRef ds:uri="http://schemas.microsoft.com/office/infopath/2007/PartnerControls"/>
    <ds:schemaRef ds:uri="cf06d1eb-9af4-44f7-92ee-90826b05862e"/>
  </ds:schemaRefs>
</ds:datastoreItem>
</file>

<file path=docProps/app.xml><?xml version="1.0" encoding="utf-8"?>
<Properties xmlns="http://schemas.openxmlformats.org/officeDocument/2006/extended-properties" xmlns:vt="http://schemas.openxmlformats.org/officeDocument/2006/docPropsVTypes">
  <Template>Work Meeting Minutes Template.dotx</Template>
  <TotalTime>97</TotalTime>
  <Pages>11</Pages>
  <Words>4606</Words>
  <Characters>26257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Martins</dc:creator>
  <cp:keywords/>
  <dc:description/>
  <cp:lastModifiedBy>Kevin Martins</cp:lastModifiedBy>
  <cp:revision>3</cp:revision>
  <dcterms:created xsi:type="dcterms:W3CDTF">2025-04-23T22:24:00Z</dcterms:created>
  <dcterms:modified xsi:type="dcterms:W3CDTF">2025-05-08T13:20:00Z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0x01010005A5939D71D960419C9280DDFE8B668B</vt:lpwstr>
  </property>
</Properties>
</file>