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0C020150" w:rsidR="00DC7763" w:rsidRPr="00D9061C" w:rsidRDefault="00DB3501" w:rsidP="00DC7763">
      <w:pPr>
        <w:spacing w:after="0"/>
        <w:jc w:val="center"/>
        <w:rPr>
          <w:rFonts w:ascii="Times New Roman" w:hAnsi="Times New Roman" w:cs="Times New Roman"/>
          <w:b/>
        </w:rPr>
      </w:pPr>
      <w:r w:rsidRPr="00D9061C">
        <w:rPr>
          <w:rFonts w:ascii="Times New Roman" w:hAnsi="Times New Roman" w:cs="Times New Roman"/>
          <w:b/>
        </w:rPr>
        <w:t>Draft</w:t>
      </w:r>
      <w:r w:rsidR="00DC7763" w:rsidRPr="00D9061C">
        <w:rPr>
          <w:rFonts w:ascii="Times New Roman" w:hAnsi="Times New Roman" w:cs="Times New Roman"/>
          <w:b/>
        </w:rPr>
        <w:t xml:space="preserve"> Minutes</w:t>
      </w:r>
    </w:p>
    <w:p w14:paraId="72D5FA21" w14:textId="4BF8689F" w:rsidR="00DC7763" w:rsidRPr="00D9061C" w:rsidRDefault="00152A94" w:rsidP="00DC7763">
      <w:pPr>
        <w:spacing w:after="0" w:line="240" w:lineRule="auto"/>
        <w:jc w:val="center"/>
        <w:rPr>
          <w:rFonts w:ascii="Times New Roman" w:hAnsi="Times New Roman" w:cs="Times New Roman"/>
          <w:b/>
        </w:rPr>
      </w:pPr>
      <w:r w:rsidRPr="00D9061C">
        <w:rPr>
          <w:rFonts w:ascii="Times New Roman" w:hAnsi="Times New Roman" w:cs="Times New Roman"/>
          <w:b/>
        </w:rPr>
        <w:t>State Finance Review Commission</w:t>
      </w:r>
    </w:p>
    <w:p w14:paraId="15E9BC40" w14:textId="00925D63" w:rsidR="00DC7763" w:rsidRPr="00D9061C" w:rsidRDefault="000321B9" w:rsidP="00DC7763">
      <w:pPr>
        <w:spacing w:after="0" w:line="240" w:lineRule="auto"/>
        <w:jc w:val="center"/>
        <w:rPr>
          <w:rFonts w:ascii="Times New Roman" w:hAnsi="Times New Roman" w:cs="Times New Roman"/>
          <w:b/>
        </w:rPr>
      </w:pPr>
      <w:r w:rsidRPr="00D9061C">
        <w:rPr>
          <w:rFonts w:ascii="Times New Roman" w:hAnsi="Times New Roman" w:cs="Times New Roman"/>
          <w:b/>
        </w:rPr>
        <w:t>Friday</w:t>
      </w:r>
      <w:r w:rsidR="00DC7763" w:rsidRPr="00D9061C">
        <w:rPr>
          <w:rFonts w:ascii="Times New Roman" w:hAnsi="Times New Roman" w:cs="Times New Roman"/>
          <w:b/>
        </w:rPr>
        <w:t xml:space="preserve">, </w:t>
      </w:r>
      <w:r w:rsidR="00DB3501" w:rsidRPr="00D9061C">
        <w:rPr>
          <w:rFonts w:ascii="Times New Roman" w:hAnsi="Times New Roman" w:cs="Times New Roman"/>
          <w:b/>
        </w:rPr>
        <w:t>March</w:t>
      </w:r>
      <w:r w:rsidR="00EF3242" w:rsidRPr="00D9061C">
        <w:rPr>
          <w:rFonts w:ascii="Times New Roman" w:hAnsi="Times New Roman" w:cs="Times New Roman"/>
          <w:b/>
        </w:rPr>
        <w:t xml:space="preserve"> </w:t>
      </w:r>
      <w:r w:rsidRPr="00D9061C">
        <w:rPr>
          <w:rFonts w:ascii="Times New Roman" w:hAnsi="Times New Roman" w:cs="Times New Roman"/>
          <w:b/>
        </w:rPr>
        <w:t>28</w:t>
      </w:r>
      <w:r w:rsidR="005F54B1" w:rsidRPr="00D9061C">
        <w:rPr>
          <w:rFonts w:ascii="Times New Roman" w:hAnsi="Times New Roman" w:cs="Times New Roman"/>
          <w:b/>
        </w:rPr>
        <w:t>,</w:t>
      </w:r>
      <w:r w:rsidR="00DC7763" w:rsidRPr="00D9061C">
        <w:rPr>
          <w:rFonts w:ascii="Times New Roman" w:hAnsi="Times New Roman" w:cs="Times New Roman"/>
          <w:b/>
        </w:rPr>
        <w:t xml:space="preserve"> 202</w:t>
      </w:r>
      <w:r w:rsidR="00DB3501" w:rsidRPr="00D9061C">
        <w:rPr>
          <w:rFonts w:ascii="Times New Roman" w:hAnsi="Times New Roman" w:cs="Times New Roman"/>
          <w:b/>
        </w:rPr>
        <w:t>5</w:t>
      </w:r>
    </w:p>
    <w:p w14:paraId="42E7AB42" w14:textId="77777777" w:rsidR="00DC7763" w:rsidRPr="00D9061C" w:rsidRDefault="00DC7763" w:rsidP="00DC7763">
      <w:pPr>
        <w:spacing w:after="0" w:line="240" w:lineRule="auto"/>
        <w:jc w:val="center"/>
        <w:rPr>
          <w:rFonts w:ascii="Times New Roman" w:hAnsi="Times New Roman" w:cs="Times New Roman"/>
          <w:b/>
        </w:rPr>
      </w:pPr>
      <w:r w:rsidRPr="00D9061C">
        <w:rPr>
          <w:rFonts w:ascii="Times New Roman" w:hAnsi="Times New Roman" w:cs="Times New Roman"/>
          <w:b/>
        </w:rPr>
        <w:t>Office of State Treasurer, C170 State Capitol Complex and</w:t>
      </w:r>
    </w:p>
    <w:p w14:paraId="4CA1CBCE" w14:textId="77777777" w:rsidR="00DC7763" w:rsidRPr="00D9061C" w:rsidRDefault="00DC7763" w:rsidP="00DC7763">
      <w:pPr>
        <w:spacing w:after="0" w:line="240" w:lineRule="auto"/>
        <w:jc w:val="center"/>
        <w:rPr>
          <w:rFonts w:ascii="Times New Roman" w:hAnsi="Times New Roman" w:cs="Times New Roman"/>
          <w:b/>
        </w:rPr>
      </w:pPr>
      <w:r w:rsidRPr="00D9061C">
        <w:rPr>
          <w:rFonts w:ascii="Times New Roman" w:hAnsi="Times New Roman" w:cs="Times New Roman"/>
          <w:b/>
        </w:rPr>
        <w:t>Electronic Meeting via Zoom</w:t>
      </w:r>
    </w:p>
    <w:p w14:paraId="76148CF4" w14:textId="77777777" w:rsidR="00DC7763" w:rsidRPr="00D9061C" w:rsidRDefault="00DC7763" w:rsidP="00DC7763">
      <w:pPr>
        <w:spacing w:after="0" w:line="240" w:lineRule="auto"/>
        <w:jc w:val="center"/>
        <w:rPr>
          <w:rFonts w:ascii="Times New Roman" w:hAnsi="Times New Roman" w:cs="Times New Roman"/>
        </w:rPr>
      </w:pPr>
    </w:p>
    <w:p w14:paraId="0D7054CB" w14:textId="3D39462E"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 xml:space="preserve">Members of the </w:t>
      </w:r>
      <w:r w:rsidR="00152A94" w:rsidRPr="00D9061C">
        <w:rPr>
          <w:rFonts w:ascii="Times New Roman" w:hAnsi="Times New Roman" w:cs="Times New Roman"/>
        </w:rPr>
        <w:t>Commission</w:t>
      </w:r>
      <w:r w:rsidRPr="00D9061C">
        <w:rPr>
          <w:rFonts w:ascii="Times New Roman" w:hAnsi="Times New Roman" w:cs="Times New Roman"/>
        </w:rPr>
        <w:t xml:space="preserve"> Present:</w:t>
      </w:r>
    </w:p>
    <w:p w14:paraId="4746BFD5" w14:textId="04D3D647" w:rsidR="00152A94"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ab/>
        <w:t xml:space="preserve">Marlo M. Oaks (Utah State Treasurer, Chair) </w:t>
      </w:r>
    </w:p>
    <w:p w14:paraId="4DD01904" w14:textId="799296DF" w:rsidR="00D71556" w:rsidRPr="00D9061C" w:rsidRDefault="00D71556" w:rsidP="00DC7763">
      <w:pPr>
        <w:spacing w:after="0" w:line="240" w:lineRule="auto"/>
        <w:rPr>
          <w:rFonts w:ascii="Times New Roman" w:hAnsi="Times New Roman" w:cs="Times New Roman"/>
        </w:rPr>
      </w:pPr>
      <w:r w:rsidRPr="00D9061C">
        <w:rPr>
          <w:rFonts w:ascii="Times New Roman" w:hAnsi="Times New Roman" w:cs="Times New Roman"/>
        </w:rPr>
        <w:tab/>
      </w:r>
      <w:r w:rsidR="00DB3501" w:rsidRPr="00D9061C">
        <w:rPr>
          <w:rFonts w:ascii="Times New Roman" w:hAnsi="Times New Roman" w:cs="Times New Roman"/>
        </w:rPr>
        <w:t>Tina Cannon</w:t>
      </w:r>
      <w:r w:rsidRPr="00D9061C">
        <w:rPr>
          <w:rFonts w:ascii="Times New Roman" w:hAnsi="Times New Roman" w:cs="Times New Roman"/>
        </w:rPr>
        <w:t xml:space="preserve"> (Utah State Auditor)</w:t>
      </w:r>
    </w:p>
    <w:p w14:paraId="0A58734F" w14:textId="17280A68" w:rsidR="00DC7763" w:rsidRPr="00D9061C" w:rsidRDefault="00152A94" w:rsidP="00DC7763">
      <w:pPr>
        <w:spacing w:after="0" w:line="240" w:lineRule="auto"/>
        <w:rPr>
          <w:rFonts w:ascii="Times New Roman" w:hAnsi="Times New Roman" w:cs="Times New Roman"/>
        </w:rPr>
      </w:pPr>
      <w:r w:rsidRPr="00D9061C">
        <w:rPr>
          <w:rFonts w:ascii="Times New Roman" w:hAnsi="Times New Roman" w:cs="Times New Roman"/>
        </w:rPr>
        <w:tab/>
      </w:r>
      <w:r w:rsidR="005A1182" w:rsidRPr="00D9061C">
        <w:rPr>
          <w:rFonts w:ascii="Times New Roman" w:hAnsi="Times New Roman" w:cs="Times New Roman"/>
        </w:rPr>
        <w:t>Robbi Foxxe</w:t>
      </w:r>
      <w:r w:rsidR="00DC7763" w:rsidRPr="00D9061C">
        <w:rPr>
          <w:rFonts w:ascii="Times New Roman" w:hAnsi="Times New Roman" w:cs="Times New Roman"/>
        </w:rPr>
        <w:t xml:space="preserve"> (Governor’s Office of Planning and Budget</w:t>
      </w:r>
      <w:r w:rsidR="005A1182" w:rsidRPr="00D9061C">
        <w:rPr>
          <w:rFonts w:ascii="Times New Roman" w:hAnsi="Times New Roman" w:cs="Times New Roman"/>
        </w:rPr>
        <w:t>-designee</w:t>
      </w:r>
      <w:r w:rsidR="00DC7763" w:rsidRPr="00D9061C">
        <w:rPr>
          <w:rFonts w:ascii="Times New Roman" w:hAnsi="Times New Roman" w:cs="Times New Roman"/>
        </w:rPr>
        <w:t>)</w:t>
      </w:r>
      <w:r w:rsidR="006E7B9C" w:rsidRPr="00D9061C">
        <w:rPr>
          <w:rFonts w:ascii="Times New Roman" w:hAnsi="Times New Roman" w:cs="Times New Roman"/>
        </w:rPr>
        <w:t xml:space="preserve"> </w:t>
      </w:r>
    </w:p>
    <w:p w14:paraId="4983D9E3" w14:textId="72071D74" w:rsidR="001F6685" w:rsidRPr="00D9061C" w:rsidRDefault="001F6685" w:rsidP="00DC7763">
      <w:pPr>
        <w:spacing w:after="0" w:line="240" w:lineRule="auto"/>
        <w:rPr>
          <w:rFonts w:ascii="Times New Roman" w:hAnsi="Times New Roman" w:cs="Times New Roman"/>
        </w:rPr>
      </w:pPr>
      <w:r w:rsidRPr="00D9061C">
        <w:rPr>
          <w:rFonts w:ascii="Times New Roman" w:hAnsi="Times New Roman" w:cs="Times New Roman"/>
        </w:rPr>
        <w:tab/>
        <w:t>Van Christensen (Director of Finance</w:t>
      </w:r>
      <w:r w:rsidR="006E7B9C" w:rsidRPr="00D9061C">
        <w:rPr>
          <w:rFonts w:ascii="Times New Roman" w:hAnsi="Times New Roman" w:cs="Times New Roman"/>
        </w:rPr>
        <w:t>)</w:t>
      </w:r>
      <w:r w:rsidR="00DB3501" w:rsidRPr="00D9061C">
        <w:rPr>
          <w:rFonts w:ascii="Times New Roman" w:hAnsi="Times New Roman" w:cs="Times New Roman"/>
        </w:rPr>
        <w:t xml:space="preserve"> – Zoom </w:t>
      </w:r>
    </w:p>
    <w:p w14:paraId="1B92026E" w14:textId="17E0DD97" w:rsidR="001F6685" w:rsidRPr="00D9061C" w:rsidRDefault="00DC7763" w:rsidP="00AC0DD9">
      <w:pPr>
        <w:spacing w:after="0" w:line="240" w:lineRule="auto"/>
        <w:rPr>
          <w:rFonts w:ascii="Times New Roman" w:hAnsi="Times New Roman" w:cs="Times New Roman"/>
        </w:rPr>
      </w:pPr>
      <w:r w:rsidRPr="00D9061C">
        <w:rPr>
          <w:rFonts w:ascii="Times New Roman" w:hAnsi="Times New Roman" w:cs="Times New Roman"/>
        </w:rPr>
        <w:tab/>
      </w:r>
      <w:r w:rsidR="001F6685" w:rsidRPr="00D9061C">
        <w:rPr>
          <w:rFonts w:ascii="Times New Roman" w:hAnsi="Times New Roman" w:cs="Times New Roman"/>
        </w:rPr>
        <w:t>Cleon Butterfield (Governor’s Office designee)</w:t>
      </w:r>
    </w:p>
    <w:p w14:paraId="68330568" w14:textId="158FD45C" w:rsidR="00E4129D" w:rsidRPr="00D9061C" w:rsidRDefault="00CB2F82" w:rsidP="00AC0DD9">
      <w:pPr>
        <w:spacing w:after="0" w:line="240" w:lineRule="auto"/>
        <w:rPr>
          <w:rFonts w:ascii="Times New Roman" w:hAnsi="Times New Roman" w:cs="Times New Roman"/>
        </w:rPr>
      </w:pPr>
      <w:r w:rsidRPr="00D9061C">
        <w:rPr>
          <w:rFonts w:ascii="Times New Roman" w:hAnsi="Times New Roman" w:cs="Times New Roman"/>
        </w:rPr>
        <w:tab/>
      </w:r>
      <w:r w:rsidR="00AC0DD9" w:rsidRPr="00D9061C">
        <w:rPr>
          <w:rFonts w:ascii="Times New Roman" w:hAnsi="Times New Roman" w:cs="Times New Roman"/>
        </w:rPr>
        <w:t>Perri Babalis</w:t>
      </w:r>
      <w:r w:rsidR="00E4129D" w:rsidRPr="00D9061C">
        <w:rPr>
          <w:rFonts w:ascii="Times New Roman" w:hAnsi="Times New Roman" w:cs="Times New Roman"/>
        </w:rPr>
        <w:t xml:space="preserve"> (Attorney General Office-designee) </w:t>
      </w:r>
    </w:p>
    <w:p w14:paraId="64D7BB14" w14:textId="25AFF92A" w:rsidR="00A603B8" w:rsidRPr="00D9061C" w:rsidRDefault="00A603B8" w:rsidP="00DC7763">
      <w:pPr>
        <w:spacing w:after="0" w:line="240" w:lineRule="auto"/>
        <w:rPr>
          <w:rFonts w:ascii="Times New Roman" w:hAnsi="Times New Roman" w:cs="Times New Roman"/>
        </w:rPr>
      </w:pPr>
      <w:r w:rsidRPr="00D9061C">
        <w:rPr>
          <w:rFonts w:ascii="Times New Roman" w:hAnsi="Times New Roman" w:cs="Times New Roman"/>
        </w:rPr>
        <w:tab/>
      </w:r>
    </w:p>
    <w:p w14:paraId="3C3CBD92" w14:textId="587AF58C"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Others Present:</w:t>
      </w:r>
    </w:p>
    <w:p w14:paraId="01416F45" w14:textId="271EFAAE"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ab/>
        <w:t>Kirt Slaugh (Office of State Treasurer)</w:t>
      </w:r>
    </w:p>
    <w:p w14:paraId="273F2691" w14:textId="56654833" w:rsidR="00820535" w:rsidRPr="00D9061C" w:rsidRDefault="001908ED" w:rsidP="001908ED">
      <w:pPr>
        <w:spacing w:after="0" w:line="240" w:lineRule="auto"/>
        <w:rPr>
          <w:rFonts w:ascii="Times New Roman" w:hAnsi="Times New Roman" w:cs="Times New Roman"/>
        </w:rPr>
      </w:pPr>
      <w:r w:rsidRPr="00D9061C">
        <w:rPr>
          <w:rFonts w:ascii="Times New Roman" w:hAnsi="Times New Roman" w:cs="Times New Roman"/>
        </w:rPr>
        <w:tab/>
      </w:r>
      <w:r w:rsidR="00A603B8" w:rsidRPr="00D9061C">
        <w:rPr>
          <w:rFonts w:ascii="Times New Roman" w:hAnsi="Times New Roman" w:cs="Times New Roman"/>
        </w:rPr>
        <w:t xml:space="preserve">Diana Artica (Office of State Treasurer) </w:t>
      </w:r>
    </w:p>
    <w:p w14:paraId="273CA2ED" w14:textId="49D28B50" w:rsidR="005A1182" w:rsidRPr="00D9061C" w:rsidRDefault="005A1182" w:rsidP="005A1182">
      <w:pPr>
        <w:spacing w:after="0" w:line="240" w:lineRule="auto"/>
        <w:rPr>
          <w:rFonts w:ascii="Times New Roman" w:hAnsi="Times New Roman" w:cs="Times New Roman"/>
        </w:rPr>
      </w:pPr>
      <w:r w:rsidRPr="00D9061C">
        <w:rPr>
          <w:rFonts w:ascii="Times New Roman" w:hAnsi="Times New Roman" w:cs="Times New Roman"/>
        </w:rPr>
        <w:tab/>
        <w:t>Japheth McGee (Zions Public Finance)</w:t>
      </w:r>
    </w:p>
    <w:p w14:paraId="2D375740" w14:textId="0AB7D147" w:rsidR="005A1182" w:rsidRPr="00D9061C" w:rsidRDefault="005A1182" w:rsidP="005A1182">
      <w:pPr>
        <w:spacing w:after="0" w:line="240" w:lineRule="auto"/>
        <w:rPr>
          <w:rFonts w:ascii="Times New Roman" w:hAnsi="Times New Roman" w:cs="Times New Roman"/>
        </w:rPr>
      </w:pPr>
      <w:r w:rsidRPr="00D9061C">
        <w:rPr>
          <w:rFonts w:ascii="Times New Roman" w:hAnsi="Times New Roman" w:cs="Times New Roman"/>
        </w:rPr>
        <w:tab/>
        <w:t>Brian Baker (Zions Public Finance)</w:t>
      </w:r>
    </w:p>
    <w:p w14:paraId="4BB1E40B" w14:textId="3F18A36C" w:rsidR="006E7B9C" w:rsidRPr="00D9061C" w:rsidRDefault="006E7B9C" w:rsidP="001908ED">
      <w:pPr>
        <w:spacing w:after="0" w:line="240" w:lineRule="auto"/>
        <w:rPr>
          <w:rFonts w:ascii="Times New Roman" w:hAnsi="Times New Roman" w:cs="Times New Roman"/>
        </w:rPr>
      </w:pPr>
      <w:r w:rsidRPr="00D9061C">
        <w:rPr>
          <w:rFonts w:ascii="Times New Roman" w:hAnsi="Times New Roman" w:cs="Times New Roman"/>
        </w:rPr>
        <w:tab/>
      </w:r>
      <w:r w:rsidR="000636DC" w:rsidRPr="00D9061C">
        <w:rPr>
          <w:rFonts w:ascii="Times New Roman" w:hAnsi="Times New Roman" w:cs="Times New Roman"/>
        </w:rPr>
        <w:t>Brook McCarrick</w:t>
      </w:r>
      <w:r w:rsidRPr="00D9061C">
        <w:rPr>
          <w:rFonts w:ascii="Times New Roman" w:hAnsi="Times New Roman" w:cs="Times New Roman"/>
        </w:rPr>
        <w:t xml:space="preserve"> (Attorney General Office Assigned to SFRC) – Zoom</w:t>
      </w:r>
    </w:p>
    <w:p w14:paraId="105BD533" w14:textId="1B44EEB7" w:rsidR="00DB3501" w:rsidRPr="00D9061C" w:rsidRDefault="00DB3501" w:rsidP="000636DC">
      <w:pPr>
        <w:spacing w:after="0" w:line="240" w:lineRule="auto"/>
        <w:rPr>
          <w:rFonts w:ascii="Times New Roman" w:hAnsi="Times New Roman" w:cs="Times New Roman"/>
        </w:rPr>
      </w:pPr>
      <w:r w:rsidRPr="00D9061C">
        <w:rPr>
          <w:rFonts w:ascii="Times New Roman" w:hAnsi="Times New Roman" w:cs="Times New Roman"/>
        </w:rPr>
        <w:tab/>
        <w:t>Randy Larsen (Gilmore &amp; Bell)</w:t>
      </w:r>
    </w:p>
    <w:p w14:paraId="65029BBB" w14:textId="2A2BCC4E" w:rsidR="00DB3501"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Maria Mamaril</w:t>
      </w:r>
      <w:r w:rsidR="00DB3501" w:rsidRPr="00D9061C">
        <w:rPr>
          <w:rFonts w:ascii="Times New Roman" w:hAnsi="Times New Roman" w:cs="Times New Roman"/>
        </w:rPr>
        <w:t xml:space="preserve"> (</w:t>
      </w:r>
      <w:r w:rsidRPr="00D9061C">
        <w:rPr>
          <w:rFonts w:ascii="Times New Roman" w:hAnsi="Times New Roman" w:cs="Times New Roman"/>
        </w:rPr>
        <w:t>Piper Sandler</w:t>
      </w:r>
      <w:r w:rsidR="00DB3501" w:rsidRPr="00D9061C">
        <w:rPr>
          <w:rFonts w:ascii="Times New Roman" w:hAnsi="Times New Roman" w:cs="Times New Roman"/>
        </w:rPr>
        <w:t>)</w:t>
      </w:r>
    </w:p>
    <w:p w14:paraId="6D498AD3" w14:textId="33A21275" w:rsidR="000636DC"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Benj Becker (Piper Sandler)</w:t>
      </w:r>
    </w:p>
    <w:p w14:paraId="69A490AE" w14:textId="30322B3C" w:rsidR="008D5E68" w:rsidRPr="00D9061C" w:rsidRDefault="005A1182" w:rsidP="00DB3501">
      <w:pPr>
        <w:spacing w:after="0" w:line="240" w:lineRule="auto"/>
        <w:ind w:firstLine="720"/>
        <w:rPr>
          <w:rFonts w:ascii="Times New Roman" w:hAnsi="Times New Roman" w:cs="Times New Roman"/>
        </w:rPr>
      </w:pPr>
      <w:r w:rsidRPr="00D9061C">
        <w:rPr>
          <w:rFonts w:ascii="Times New Roman" w:hAnsi="Times New Roman" w:cs="Times New Roman"/>
        </w:rPr>
        <w:t>Robert Booth</w:t>
      </w:r>
      <w:r w:rsidR="008D5E68" w:rsidRPr="00D9061C">
        <w:rPr>
          <w:rFonts w:ascii="Times New Roman" w:hAnsi="Times New Roman" w:cs="Times New Roman"/>
        </w:rPr>
        <w:t xml:space="preserve"> (</w:t>
      </w:r>
      <w:r w:rsidR="00DF6672" w:rsidRPr="00D9061C">
        <w:rPr>
          <w:rFonts w:ascii="Times New Roman" w:hAnsi="Times New Roman" w:cs="Times New Roman"/>
        </w:rPr>
        <w:t>Point Phase PID Board</w:t>
      </w:r>
      <w:r w:rsidR="008D5E68" w:rsidRPr="00D9061C">
        <w:rPr>
          <w:rFonts w:ascii="Times New Roman" w:hAnsi="Times New Roman" w:cs="Times New Roman"/>
        </w:rPr>
        <w:t>)</w:t>
      </w:r>
    </w:p>
    <w:p w14:paraId="75751076" w14:textId="3890A938" w:rsidR="008D5E68"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Jay Hardy</w:t>
      </w:r>
      <w:r w:rsidR="008D5E68" w:rsidRPr="00D9061C">
        <w:rPr>
          <w:rFonts w:ascii="Times New Roman" w:hAnsi="Times New Roman" w:cs="Times New Roman"/>
        </w:rPr>
        <w:t xml:space="preserve"> (</w:t>
      </w:r>
      <w:r w:rsidRPr="00D9061C">
        <w:rPr>
          <w:rFonts w:ascii="Times New Roman" w:hAnsi="Times New Roman" w:cs="Times New Roman"/>
        </w:rPr>
        <w:t>Colmena Group</w:t>
      </w:r>
      <w:r w:rsidR="008D5E68" w:rsidRPr="00D9061C">
        <w:rPr>
          <w:rFonts w:ascii="Times New Roman" w:hAnsi="Times New Roman" w:cs="Times New Roman"/>
        </w:rPr>
        <w:t>)</w:t>
      </w:r>
      <w:r w:rsidRPr="00D9061C">
        <w:rPr>
          <w:rFonts w:ascii="Times New Roman" w:hAnsi="Times New Roman" w:cs="Times New Roman"/>
        </w:rPr>
        <w:t xml:space="preserve"> – Zoom </w:t>
      </w:r>
    </w:p>
    <w:p w14:paraId="7B8C0C5A" w14:textId="5C9E0840" w:rsidR="00DB3501" w:rsidRPr="00D9061C" w:rsidRDefault="000636DC" w:rsidP="00DB3501">
      <w:pPr>
        <w:spacing w:after="0" w:line="240" w:lineRule="auto"/>
        <w:ind w:firstLine="720"/>
        <w:rPr>
          <w:rFonts w:ascii="Times New Roman" w:hAnsi="Times New Roman" w:cs="Times New Roman"/>
        </w:rPr>
      </w:pPr>
      <w:r w:rsidRPr="00D9061C">
        <w:rPr>
          <w:rFonts w:ascii="Times New Roman" w:hAnsi="Times New Roman" w:cs="Times New Roman"/>
        </w:rPr>
        <w:t>Craig Wallentine</w:t>
      </w:r>
      <w:r w:rsidR="00DB3501" w:rsidRPr="00D9061C">
        <w:rPr>
          <w:rFonts w:ascii="Times New Roman" w:hAnsi="Times New Roman" w:cs="Times New Roman"/>
        </w:rPr>
        <w:t xml:space="preserve"> (</w:t>
      </w:r>
      <w:r w:rsidRPr="00D9061C">
        <w:rPr>
          <w:rFonts w:ascii="Times New Roman" w:hAnsi="Times New Roman" w:cs="Times New Roman"/>
        </w:rPr>
        <w:t>Public</w:t>
      </w:r>
      <w:r w:rsidR="00DB3501" w:rsidRPr="00D9061C">
        <w:rPr>
          <w:rFonts w:ascii="Times New Roman" w:hAnsi="Times New Roman" w:cs="Times New Roman"/>
        </w:rPr>
        <w:t xml:space="preserve">) – Zoom </w:t>
      </w:r>
    </w:p>
    <w:p w14:paraId="5843D042" w14:textId="77777777" w:rsidR="008D5E68" w:rsidRPr="00D9061C" w:rsidRDefault="008D5E68" w:rsidP="00DB3501">
      <w:pPr>
        <w:spacing w:after="0" w:line="240" w:lineRule="auto"/>
        <w:ind w:firstLine="720"/>
        <w:rPr>
          <w:rFonts w:ascii="Times New Roman" w:hAnsi="Times New Roman" w:cs="Times New Roman"/>
        </w:rPr>
      </w:pPr>
    </w:p>
    <w:p w14:paraId="0403DEF5" w14:textId="225F98F3"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Meeting called t</w:t>
      </w:r>
      <w:r w:rsidR="001B714B" w:rsidRPr="00D9061C">
        <w:rPr>
          <w:rFonts w:ascii="Times New Roman" w:hAnsi="Times New Roman" w:cs="Times New Roman"/>
        </w:rPr>
        <w:t xml:space="preserve">o order by Treasurer Oaks at </w:t>
      </w:r>
      <w:r w:rsidR="000321B9" w:rsidRPr="00D9061C">
        <w:rPr>
          <w:rFonts w:ascii="Times New Roman" w:hAnsi="Times New Roman" w:cs="Times New Roman"/>
        </w:rPr>
        <w:t>11:00</w:t>
      </w:r>
      <w:r w:rsidR="00B03429" w:rsidRPr="00D9061C">
        <w:rPr>
          <w:rFonts w:ascii="Times New Roman" w:hAnsi="Times New Roman" w:cs="Times New Roman"/>
        </w:rPr>
        <w:t xml:space="preserve"> </w:t>
      </w:r>
      <w:r w:rsidR="000321B9" w:rsidRPr="00D9061C">
        <w:rPr>
          <w:rFonts w:ascii="Times New Roman" w:hAnsi="Times New Roman" w:cs="Times New Roman"/>
        </w:rPr>
        <w:t>a.m.</w:t>
      </w:r>
    </w:p>
    <w:p w14:paraId="62D5FE8C" w14:textId="3E2F344D" w:rsidR="00DC7763" w:rsidRPr="00D9061C" w:rsidRDefault="00DC7763" w:rsidP="00DC7763">
      <w:pPr>
        <w:spacing w:after="0" w:line="240" w:lineRule="auto"/>
        <w:rPr>
          <w:rFonts w:ascii="Times New Roman" w:hAnsi="Times New Roman" w:cs="Times New Roman"/>
        </w:rPr>
      </w:pPr>
    </w:p>
    <w:p w14:paraId="06D80EA6" w14:textId="77777777" w:rsidR="00EF1AE7" w:rsidRPr="00D9061C" w:rsidRDefault="00EF1AE7" w:rsidP="00EF1AE7">
      <w:pPr>
        <w:pStyle w:val="ListParagraph"/>
        <w:numPr>
          <w:ilvl w:val="0"/>
          <w:numId w:val="1"/>
        </w:numPr>
        <w:spacing w:after="0" w:line="240" w:lineRule="auto"/>
        <w:rPr>
          <w:rFonts w:ascii="Times New Roman" w:hAnsi="Times New Roman" w:cs="Times New Roman"/>
          <w:u w:val="single"/>
        </w:rPr>
      </w:pPr>
      <w:r w:rsidRPr="00D9061C">
        <w:rPr>
          <w:rFonts w:ascii="Times New Roman" w:hAnsi="Times New Roman" w:cs="Times New Roman"/>
          <w:u w:val="single"/>
        </w:rPr>
        <w:t>Prior Meeting Minutes</w:t>
      </w:r>
    </w:p>
    <w:p w14:paraId="33F6318F" w14:textId="65146121" w:rsidR="00EF1AE7" w:rsidRPr="00D9061C" w:rsidRDefault="00EF1AE7" w:rsidP="00DC7763">
      <w:pPr>
        <w:spacing w:after="0" w:line="240" w:lineRule="auto"/>
        <w:rPr>
          <w:rFonts w:ascii="Times New Roman" w:hAnsi="Times New Roman" w:cs="Times New Roman"/>
        </w:rPr>
      </w:pPr>
    </w:p>
    <w:p w14:paraId="485C72BA" w14:textId="4AE74224" w:rsidR="00EF1AE7" w:rsidRDefault="00C77775" w:rsidP="00EF1AE7">
      <w:pPr>
        <w:spacing w:after="0" w:line="240" w:lineRule="auto"/>
        <w:jc w:val="both"/>
        <w:rPr>
          <w:rFonts w:ascii="Times New Roman" w:hAnsi="Times New Roman" w:cs="Times New Roman"/>
        </w:rPr>
      </w:pPr>
      <w:r w:rsidRPr="00D9061C">
        <w:rPr>
          <w:rFonts w:ascii="Times New Roman" w:hAnsi="Times New Roman" w:cs="Times New Roman"/>
        </w:rPr>
        <w:t>The meeting minutes from March 6, 2025, were presented for discussion and approval. Ms. Babalis moved to approve the minutes, and Mr. Butterfield seconded the motion. Auditor Cannon noted a minor correction: on the third page, near the bottom, the reference to Auditor Cannon should reflect that she is female. With this correction, the motion carried unanimously, with all Commission members voting in favor.</w:t>
      </w:r>
    </w:p>
    <w:p w14:paraId="24E12A62" w14:textId="77777777" w:rsidR="00C77775" w:rsidRPr="0031762F" w:rsidRDefault="00C77775" w:rsidP="00EF1AE7">
      <w:pPr>
        <w:spacing w:after="0" w:line="240" w:lineRule="auto"/>
        <w:jc w:val="both"/>
        <w:rPr>
          <w:rFonts w:ascii="Times New Roman" w:hAnsi="Times New Roman" w:cs="Times New Roman"/>
        </w:rPr>
      </w:pPr>
    </w:p>
    <w:p w14:paraId="3A7A0E2B" w14:textId="733A2CD8" w:rsidR="00737F50" w:rsidRPr="0031762F" w:rsidRDefault="00737F50" w:rsidP="00737F50">
      <w:pPr>
        <w:pStyle w:val="ListParagraph"/>
        <w:numPr>
          <w:ilvl w:val="0"/>
          <w:numId w:val="1"/>
        </w:numPr>
        <w:spacing w:after="0" w:line="240" w:lineRule="auto"/>
        <w:jc w:val="both"/>
        <w:rPr>
          <w:rFonts w:ascii="Times New Roman" w:hAnsi="Times New Roman" w:cs="Times New Roman"/>
          <w:u w:val="single"/>
        </w:rPr>
      </w:pPr>
      <w:r w:rsidRPr="0031762F">
        <w:rPr>
          <w:rFonts w:ascii="Times New Roman" w:hAnsi="Times New Roman" w:cs="Times New Roman"/>
          <w:u w:val="single"/>
        </w:rPr>
        <w:t xml:space="preserve">Review and comment on the issuance by the Board of Trustees of </w:t>
      </w:r>
      <w:r w:rsidR="00E66F19">
        <w:rPr>
          <w:rFonts w:ascii="Times New Roman" w:hAnsi="Times New Roman" w:cs="Times New Roman"/>
          <w:u w:val="single"/>
        </w:rPr>
        <w:t xml:space="preserve">POMSLA Point Phase 1 </w:t>
      </w:r>
      <w:r w:rsidRPr="0031762F">
        <w:rPr>
          <w:rFonts w:ascii="Times New Roman" w:hAnsi="Times New Roman" w:cs="Times New Roman"/>
          <w:u w:val="single"/>
        </w:rPr>
        <w:t>Public Infrastructure District (PID)</w:t>
      </w:r>
    </w:p>
    <w:p w14:paraId="22AB97D4" w14:textId="0D437829" w:rsidR="001C21DF" w:rsidRDefault="001C21DF" w:rsidP="001C21DF">
      <w:pPr>
        <w:spacing w:after="0" w:line="240" w:lineRule="auto"/>
        <w:jc w:val="both"/>
      </w:pPr>
    </w:p>
    <w:p w14:paraId="4A175652"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Mr. Becker introduced the project by noting it has been recognized by the Governor as one of the most transformational developments in both Utah and the Western United States. He explained that the presentation focused on Public Infrastructure District (PID) No. 1, which is part of a larger 600-acre mixed-use development. Phase One encompasses the first 100 acres, with PID No. 1 covering a portion of that area.</w:t>
      </w:r>
    </w:p>
    <w:p w14:paraId="7C575C4E" w14:textId="77777777" w:rsidR="00A70EA4" w:rsidRPr="00A70EA4" w:rsidRDefault="00A70EA4" w:rsidP="00A70EA4">
      <w:pPr>
        <w:spacing w:after="0" w:line="240" w:lineRule="auto"/>
        <w:jc w:val="both"/>
        <w:rPr>
          <w:rFonts w:ascii="Times New Roman" w:hAnsi="Times New Roman" w:cs="Times New Roman"/>
        </w:rPr>
      </w:pPr>
    </w:p>
    <w:p w14:paraId="3E7D1858"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The development includes a variety of uses—multifamily housing, retail, entertainment venues, and public gathering spaces like a promenade and main street—designed to create a vibrant, people-focused environment. Conceptual renderings were included in the presentation, highlighting both the district’s layout and its planned amenities.</w:t>
      </w:r>
    </w:p>
    <w:p w14:paraId="601BB31F" w14:textId="77777777" w:rsidR="00A70EA4" w:rsidRPr="00A70EA4" w:rsidRDefault="00A70EA4" w:rsidP="00A70EA4">
      <w:pPr>
        <w:spacing w:after="0" w:line="240" w:lineRule="auto"/>
        <w:jc w:val="both"/>
        <w:rPr>
          <w:rFonts w:ascii="Times New Roman" w:hAnsi="Times New Roman" w:cs="Times New Roman"/>
        </w:rPr>
      </w:pPr>
    </w:p>
    <w:p w14:paraId="21B38D39"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 xml:space="preserve">Mr. Becker stated that the bonds proposed for issuance are tax increment and revenue bonds, estimated at $244 million in </w:t>
      </w:r>
      <w:proofErr w:type="spellStart"/>
      <w:r w:rsidRPr="00A70EA4">
        <w:rPr>
          <w:rFonts w:ascii="Times New Roman" w:hAnsi="Times New Roman" w:cs="Times New Roman"/>
        </w:rPr>
        <w:t>par amount</w:t>
      </w:r>
      <w:proofErr w:type="spellEnd"/>
      <w:r w:rsidRPr="00A70EA4">
        <w:rPr>
          <w:rFonts w:ascii="Times New Roman" w:hAnsi="Times New Roman" w:cs="Times New Roman"/>
        </w:rPr>
        <w:t>, and are expected to be issued within six to seven weeks. He noted that construction has already begun, with a groundbreaking held recently by the Governor and state legislators.</w:t>
      </w:r>
    </w:p>
    <w:p w14:paraId="003D78D6" w14:textId="77777777" w:rsidR="00A70EA4" w:rsidRPr="00A70EA4" w:rsidRDefault="00A70EA4" w:rsidP="00A70EA4">
      <w:pPr>
        <w:spacing w:after="0" w:line="240" w:lineRule="auto"/>
        <w:jc w:val="both"/>
        <w:rPr>
          <w:rFonts w:ascii="Times New Roman" w:hAnsi="Times New Roman" w:cs="Times New Roman"/>
        </w:rPr>
      </w:pPr>
    </w:p>
    <w:p w14:paraId="515154E6"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lastRenderedPageBreak/>
        <w:t>He outlined five revenue sources supporting the bonds: property tax increment (within the PID), a share of state sales tax, an additional public infrastructure fee (PIF) on retail sales, event venue revenue, and parking revenue. These are detailed in a pie chart included in the materials.</w:t>
      </w:r>
    </w:p>
    <w:p w14:paraId="3832ED5F" w14:textId="77777777" w:rsidR="00A70EA4" w:rsidRPr="00A70EA4" w:rsidRDefault="00A70EA4" w:rsidP="00A70EA4">
      <w:pPr>
        <w:spacing w:after="0" w:line="240" w:lineRule="auto"/>
        <w:jc w:val="both"/>
        <w:rPr>
          <w:rFonts w:ascii="Times New Roman" w:hAnsi="Times New Roman" w:cs="Times New Roman"/>
        </w:rPr>
      </w:pPr>
    </w:p>
    <w:p w14:paraId="14C93A5E" w14:textId="77777777" w:rsidR="00A70EA4" w:rsidRP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The bonds will have a 1.30x debt service coverage ratio, three years of capitalized interest, a debt reserve fund, and will be non-rated with no claim on state revenues, consistent with other PIDs the Commission has reviewed.</w:t>
      </w:r>
    </w:p>
    <w:p w14:paraId="06D0EE5C" w14:textId="77777777" w:rsidR="00A70EA4" w:rsidRPr="00A70EA4" w:rsidRDefault="00A70EA4" w:rsidP="00A70EA4">
      <w:pPr>
        <w:spacing w:after="0" w:line="240" w:lineRule="auto"/>
        <w:jc w:val="both"/>
        <w:rPr>
          <w:rFonts w:ascii="Times New Roman" w:hAnsi="Times New Roman" w:cs="Times New Roman"/>
        </w:rPr>
      </w:pPr>
    </w:p>
    <w:p w14:paraId="75E6431F" w14:textId="1854FA78" w:rsidR="00A70EA4" w:rsidRDefault="00A70EA4" w:rsidP="00A70EA4">
      <w:pPr>
        <w:spacing w:after="0" w:line="240" w:lineRule="auto"/>
        <w:jc w:val="both"/>
        <w:rPr>
          <w:rFonts w:ascii="Times New Roman" w:hAnsi="Times New Roman" w:cs="Times New Roman"/>
        </w:rPr>
      </w:pPr>
      <w:r w:rsidRPr="00A70EA4">
        <w:rPr>
          <w:rFonts w:ascii="Times New Roman" w:hAnsi="Times New Roman" w:cs="Times New Roman"/>
        </w:rPr>
        <w:t>Mr. Becker concluded by summarizing the planned use of funds, including construction of the venue, promenade, roads, utilities, and parking structures, and opened the floor for questions.</w:t>
      </w:r>
    </w:p>
    <w:p w14:paraId="1D10955D" w14:textId="203EC563" w:rsidR="00A70EA4" w:rsidRDefault="00A70EA4" w:rsidP="00A70EA4">
      <w:pPr>
        <w:spacing w:after="0" w:line="240" w:lineRule="auto"/>
        <w:jc w:val="both"/>
        <w:rPr>
          <w:rFonts w:ascii="Times New Roman" w:hAnsi="Times New Roman" w:cs="Times New Roman"/>
        </w:rPr>
      </w:pPr>
    </w:p>
    <w:p w14:paraId="196D1BF4" w14:textId="70E52849" w:rsidR="00A70EA4" w:rsidRDefault="00A70EA4" w:rsidP="003350DC">
      <w:pPr>
        <w:spacing w:after="0" w:line="240" w:lineRule="auto"/>
        <w:jc w:val="both"/>
        <w:rPr>
          <w:rFonts w:ascii="Times New Roman" w:hAnsi="Times New Roman" w:cs="Times New Roman"/>
        </w:rPr>
      </w:pPr>
      <w:r w:rsidRPr="00A70EA4">
        <w:rPr>
          <w:rFonts w:ascii="Times New Roman" w:hAnsi="Times New Roman" w:cs="Times New Roman"/>
        </w:rPr>
        <w:t xml:space="preserve">Ms. Foxxe asked </w:t>
      </w:r>
      <w:r>
        <w:rPr>
          <w:rFonts w:ascii="Times New Roman" w:hAnsi="Times New Roman" w:cs="Times New Roman"/>
        </w:rPr>
        <w:t xml:space="preserve">Mr. Becker to </w:t>
      </w:r>
      <w:r w:rsidRPr="00A70EA4">
        <w:rPr>
          <w:rFonts w:ascii="Times New Roman" w:hAnsi="Times New Roman" w:cs="Times New Roman"/>
        </w:rPr>
        <w:t>walk through the tax revenues.</w:t>
      </w:r>
      <w:r>
        <w:rPr>
          <w:rFonts w:ascii="Times New Roman" w:hAnsi="Times New Roman" w:cs="Times New Roman"/>
        </w:rPr>
        <w:t xml:space="preserve"> </w:t>
      </w:r>
      <w:r w:rsidR="003350DC" w:rsidRPr="003350DC">
        <w:rPr>
          <w:rFonts w:ascii="Times New Roman" w:hAnsi="Times New Roman" w:cs="Times New Roman"/>
        </w:rPr>
        <w:t>Mr. Becker explained that the property tax increment agreement includes a 90/10 tax split for the first ten years and a 75/25 split for the remainder, supporting 30-year bonds with revenues projected over that period. He noted that parking revenue is based on a third-party study analyzing garages designed for the property, with net revenue estimates influenced by the venue, retail, and operations. Additionally, he referenced a separate market study for the event venue, a 5,000-seat campus expected to host concerts, graduations, and other events. He invited the development team to provide further details on the venue’s anticipated programming.</w:t>
      </w:r>
    </w:p>
    <w:p w14:paraId="7620C6A0" w14:textId="6270E51B" w:rsidR="00A70EA4" w:rsidRDefault="00A70EA4" w:rsidP="00A70EA4">
      <w:pPr>
        <w:spacing w:after="0" w:line="240" w:lineRule="auto"/>
        <w:jc w:val="both"/>
        <w:rPr>
          <w:rFonts w:ascii="Times New Roman" w:hAnsi="Times New Roman" w:cs="Times New Roman"/>
        </w:rPr>
      </w:pPr>
    </w:p>
    <w:p w14:paraId="201215C0" w14:textId="48351D7E" w:rsidR="00A70EA4"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Mr. Booth explained that the planned 5,000-seat event center is designed to be ideal for concerts and other events, filling a gap in Utah’s venue market. He noted that while the Delta Center seats 20,000 and USANA 25,000, and smaller venues like The Depot and San Diego Theater seat around 2,500, there’s a growing national trend toward mid-sized venues. Many artists can’t fill the largest arenas but are too big for smaller venues, causing them to skip Utah. The proposed publicly owned center aims to meet this need, offering year-round flexibility for various events, partially funded by public dollars.</w:t>
      </w:r>
    </w:p>
    <w:p w14:paraId="574DEC85" w14:textId="63779A7B" w:rsidR="00A70EA4" w:rsidRDefault="00A70EA4" w:rsidP="00A70EA4">
      <w:pPr>
        <w:spacing w:after="0" w:line="240" w:lineRule="auto"/>
        <w:jc w:val="both"/>
        <w:rPr>
          <w:rFonts w:ascii="Times New Roman" w:hAnsi="Times New Roman" w:cs="Times New Roman"/>
        </w:rPr>
      </w:pPr>
    </w:p>
    <w:p w14:paraId="4214F082" w14:textId="77777777" w:rsidR="003350DC"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Mr. Slaugh asked whether the venue would be suitable for hosting sporting events</w:t>
      </w:r>
      <w:r>
        <w:rPr>
          <w:rFonts w:ascii="Times New Roman" w:hAnsi="Times New Roman" w:cs="Times New Roman"/>
        </w:rPr>
        <w:t xml:space="preserve">. </w:t>
      </w:r>
      <w:r w:rsidRPr="003350DC">
        <w:rPr>
          <w:rFonts w:ascii="Times New Roman" w:hAnsi="Times New Roman" w:cs="Times New Roman"/>
        </w:rPr>
        <w:t>Mr. Booth clarified that the venue would not include ice or accommodate hockey, as incorporating those features would significantly increase costs. However, it would certainly support activities such as volleyball, basketball, and similar sports.</w:t>
      </w:r>
      <w:r>
        <w:rPr>
          <w:rFonts w:ascii="Times New Roman" w:hAnsi="Times New Roman" w:cs="Times New Roman"/>
        </w:rPr>
        <w:t xml:space="preserve"> </w:t>
      </w:r>
    </w:p>
    <w:p w14:paraId="284F22E5" w14:textId="77777777" w:rsidR="003350DC" w:rsidRDefault="003350DC" w:rsidP="00A70EA4">
      <w:pPr>
        <w:spacing w:after="0" w:line="240" w:lineRule="auto"/>
        <w:jc w:val="both"/>
        <w:rPr>
          <w:rFonts w:ascii="Times New Roman" w:hAnsi="Times New Roman" w:cs="Times New Roman"/>
        </w:rPr>
      </w:pPr>
    </w:p>
    <w:p w14:paraId="7E6E5DA9" w14:textId="385B7974" w:rsidR="00A70EA4"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Mr. Larsen added that the parking and event center are government-owned, meaning there will be no net revenue benefiting a private party. Any revenue generated will be reinvested, initially through bonds. He emphasized that there is no expectation of private profit from these two facilities, distinguishing this project from others. Since the project involves more than just a generally applicable tax, no private payments will be made, reinforcing the governmental nature of the facilities. Mr. Larsen concluded by stating that this distinction is important for the committee to understand.</w:t>
      </w:r>
    </w:p>
    <w:p w14:paraId="4A8F6CE1" w14:textId="7B50DF42" w:rsidR="00A70EA4" w:rsidRDefault="00A70EA4" w:rsidP="00A70EA4">
      <w:pPr>
        <w:spacing w:after="0" w:line="240" w:lineRule="auto"/>
        <w:jc w:val="both"/>
        <w:rPr>
          <w:rFonts w:ascii="Times New Roman" w:hAnsi="Times New Roman" w:cs="Times New Roman"/>
        </w:rPr>
      </w:pPr>
    </w:p>
    <w:p w14:paraId="6891D9EA" w14:textId="770301D0" w:rsidR="00A70EA4" w:rsidRDefault="003350DC" w:rsidP="00A70EA4">
      <w:pPr>
        <w:spacing w:after="0" w:line="240" w:lineRule="auto"/>
        <w:jc w:val="both"/>
        <w:rPr>
          <w:rFonts w:ascii="Times New Roman" w:hAnsi="Times New Roman" w:cs="Times New Roman"/>
        </w:rPr>
      </w:pPr>
      <w:r w:rsidRPr="003350DC">
        <w:rPr>
          <w:rFonts w:ascii="Times New Roman" w:hAnsi="Times New Roman" w:cs="Times New Roman"/>
        </w:rPr>
        <w:t>Auditor Cannon inquired about which level of government would own the parking and event center, asking whether it would be the state or local government.</w:t>
      </w:r>
      <w:r>
        <w:rPr>
          <w:rFonts w:ascii="Times New Roman" w:hAnsi="Times New Roman" w:cs="Times New Roman"/>
        </w:rPr>
        <w:t xml:space="preserve"> </w:t>
      </w:r>
      <w:r w:rsidRPr="003350DC">
        <w:rPr>
          <w:rFonts w:ascii="Times New Roman" w:hAnsi="Times New Roman" w:cs="Times New Roman"/>
        </w:rPr>
        <w:t>Mr. Larsen explained that the parking and event center would be owned by the PID, and the revenue generated would not be able to go toward private parties.</w:t>
      </w:r>
      <w:r w:rsidR="00D87A86">
        <w:rPr>
          <w:rFonts w:ascii="Times New Roman" w:hAnsi="Times New Roman" w:cs="Times New Roman"/>
        </w:rPr>
        <w:t xml:space="preserve"> </w:t>
      </w:r>
      <w:r w:rsidR="00D87A86" w:rsidRPr="00D87A86">
        <w:rPr>
          <w:rFonts w:ascii="Times New Roman" w:hAnsi="Times New Roman" w:cs="Times New Roman"/>
        </w:rPr>
        <w:t>Auditor Cannon asked for clarification, noting that there are over 1,800 different government agencies and inquiring which specific entity would actually control the parking and event center when it is described as government-owned.</w:t>
      </w:r>
      <w:r w:rsidR="00D87A86">
        <w:rPr>
          <w:rFonts w:ascii="Times New Roman" w:hAnsi="Times New Roman" w:cs="Times New Roman"/>
        </w:rPr>
        <w:t xml:space="preserve"> </w:t>
      </w:r>
      <w:r w:rsidR="00D87A86" w:rsidRPr="00D87A86">
        <w:rPr>
          <w:rFonts w:ascii="Times New Roman" w:hAnsi="Times New Roman" w:cs="Times New Roman"/>
        </w:rPr>
        <w:t>Mr. Larsen clarified that the Point of the Mountain State Land Authority would own the parking and event center.</w:t>
      </w:r>
      <w:r w:rsidR="00D87A86">
        <w:rPr>
          <w:rFonts w:ascii="Times New Roman" w:hAnsi="Times New Roman" w:cs="Times New Roman"/>
        </w:rPr>
        <w:t xml:space="preserve"> </w:t>
      </w:r>
      <w:r w:rsidR="00D87A86" w:rsidRPr="00D87A86">
        <w:rPr>
          <w:rFonts w:ascii="Times New Roman" w:hAnsi="Times New Roman" w:cs="Times New Roman"/>
        </w:rPr>
        <w:t>Auditor Cannon clarified that the project would be state-owned, confirming it is not a local, city, or county project.</w:t>
      </w:r>
    </w:p>
    <w:p w14:paraId="3801A2D9" w14:textId="31D1239E" w:rsidR="00D87A86" w:rsidRDefault="00D87A86" w:rsidP="00A70EA4">
      <w:pPr>
        <w:spacing w:after="0" w:line="240" w:lineRule="auto"/>
        <w:jc w:val="both"/>
        <w:rPr>
          <w:rFonts w:ascii="Times New Roman" w:hAnsi="Times New Roman" w:cs="Times New Roman"/>
        </w:rPr>
      </w:pPr>
    </w:p>
    <w:p w14:paraId="6A89ADFB" w14:textId="4B9BF4DE" w:rsidR="00D87A86" w:rsidRDefault="007F7CDE" w:rsidP="00A70EA4">
      <w:pPr>
        <w:spacing w:after="0" w:line="240" w:lineRule="auto"/>
        <w:jc w:val="both"/>
        <w:rPr>
          <w:rFonts w:ascii="Times New Roman" w:hAnsi="Times New Roman" w:cs="Times New Roman"/>
        </w:rPr>
      </w:pPr>
      <w:r w:rsidRPr="007F7CDE">
        <w:rPr>
          <w:rFonts w:ascii="Times New Roman" w:hAnsi="Times New Roman" w:cs="Times New Roman"/>
        </w:rPr>
        <w:t>Mr. Larsen clarified that any revenue going to a private party would void their tax-exempt bonds. He emphasized that under the bond structure, this is not possible, highlighting that it is a critical aspect of the arrangement</w:t>
      </w:r>
      <w:r>
        <w:rPr>
          <w:rFonts w:ascii="Times New Roman" w:hAnsi="Times New Roman" w:cs="Times New Roman"/>
        </w:rPr>
        <w:t xml:space="preserve">. </w:t>
      </w:r>
      <w:r w:rsidR="00D87A86" w:rsidRPr="00D87A86">
        <w:rPr>
          <w:rFonts w:ascii="Times New Roman" w:hAnsi="Times New Roman" w:cs="Times New Roman"/>
        </w:rPr>
        <w:t>Ms. Foxxe raised the concern that this arrangement might increase the risk for the state.</w:t>
      </w:r>
      <w:r w:rsidR="00D87A86">
        <w:rPr>
          <w:rFonts w:ascii="Times New Roman" w:hAnsi="Times New Roman" w:cs="Times New Roman"/>
        </w:rPr>
        <w:t xml:space="preserve"> </w:t>
      </w:r>
      <w:r w:rsidR="00D87A86" w:rsidRPr="00D87A86">
        <w:rPr>
          <w:rFonts w:ascii="Times New Roman" w:hAnsi="Times New Roman" w:cs="Times New Roman"/>
        </w:rPr>
        <w:t>Mr. Larsen explained that no state revenues are pledged, except for the tax increment increase from the surrounding development, which is intended to benefit the project.</w:t>
      </w:r>
      <w:r w:rsidR="00D87A86">
        <w:rPr>
          <w:rFonts w:ascii="Times New Roman" w:hAnsi="Times New Roman" w:cs="Times New Roman"/>
        </w:rPr>
        <w:t xml:space="preserve"> </w:t>
      </w:r>
      <w:r w:rsidR="00D87A86" w:rsidRPr="00D87A86">
        <w:rPr>
          <w:rFonts w:ascii="Times New Roman" w:hAnsi="Times New Roman" w:cs="Times New Roman"/>
        </w:rPr>
        <w:t>Ms. Foxxe suggested that there may still be an implied risk, particularly regarding reputation.</w:t>
      </w:r>
      <w:r w:rsidR="00D87A86">
        <w:rPr>
          <w:rFonts w:ascii="Times New Roman" w:hAnsi="Times New Roman" w:cs="Times New Roman"/>
        </w:rPr>
        <w:t xml:space="preserve"> </w:t>
      </w:r>
      <w:r w:rsidRPr="007F7CDE">
        <w:rPr>
          <w:rFonts w:ascii="Times New Roman" w:hAnsi="Times New Roman" w:cs="Times New Roman"/>
        </w:rPr>
        <w:t xml:space="preserve">Mr. Larsen clarified that the land use authority is separate from the state, with no claims on state revenues. He explained that POMSLA created a PID to ensure financial burdens fall on property owners. He emphasized that the offering document states there is no </w:t>
      </w:r>
      <w:r w:rsidRPr="007F7CDE">
        <w:rPr>
          <w:rFonts w:ascii="Times New Roman" w:hAnsi="Times New Roman" w:cs="Times New Roman"/>
        </w:rPr>
        <w:lastRenderedPageBreak/>
        <w:t>recourse to the state or other government entities in case of a shortfall, and while unforeseen circumstances are possible, it is highly unlikely the state would intervene.</w:t>
      </w:r>
      <w:r>
        <w:rPr>
          <w:rFonts w:ascii="Times New Roman" w:hAnsi="Times New Roman" w:cs="Times New Roman"/>
        </w:rPr>
        <w:t xml:space="preserve"> </w:t>
      </w:r>
      <w:r w:rsidRPr="007F7CDE">
        <w:rPr>
          <w:rFonts w:ascii="Times New Roman" w:hAnsi="Times New Roman" w:cs="Times New Roman"/>
        </w:rPr>
        <w:t>Auditor Cannon acknowledged that although House Bill 137 did not pass, discussions continue about bringing it back through a special session to address it with the Beehive Corporation and incorporate all of MIDA, including the Point of the Mountain and Inland Port Authority. She noted that this would elevate the project to a major component unit of the ACFR, clarifying the state's guarantee. While not disputing the current approach, she emphasized the need to monitor it, particularly as similar arrangements are discussed with universities, and raised concerns about separating the state’s guarantee in the future.</w:t>
      </w:r>
    </w:p>
    <w:p w14:paraId="5A546288" w14:textId="7254DDEF" w:rsidR="00D87A86" w:rsidRDefault="00D87A86" w:rsidP="00A70EA4">
      <w:pPr>
        <w:spacing w:after="0" w:line="240" w:lineRule="auto"/>
        <w:jc w:val="both"/>
        <w:rPr>
          <w:rFonts w:ascii="Times New Roman" w:hAnsi="Times New Roman" w:cs="Times New Roman"/>
        </w:rPr>
      </w:pPr>
    </w:p>
    <w:p w14:paraId="3CD3148F" w14:textId="3DC129A3" w:rsidR="00D87A86" w:rsidRDefault="007F7CDE" w:rsidP="00A70EA4">
      <w:pPr>
        <w:spacing w:after="0" w:line="240" w:lineRule="auto"/>
        <w:jc w:val="both"/>
        <w:rPr>
          <w:rFonts w:ascii="Times New Roman" w:hAnsi="Times New Roman" w:cs="Times New Roman"/>
        </w:rPr>
      </w:pPr>
      <w:r w:rsidRPr="007F7CDE">
        <w:rPr>
          <w:rFonts w:ascii="Times New Roman" w:hAnsi="Times New Roman" w:cs="Times New Roman"/>
        </w:rPr>
        <w:t>Mr. Larsen acknowledged that, in terms of size, it may be a consideration at some point, but emphasized that the statutes governing POMSLA, MIDA, and the Port Authority, as well as the proposed Beehive Corporation, make it clear that no state revenues are involved. He stressed that the intention is to explicitly inform every investor not to look to the state for recourse. Mr. Larsen noted that the rates and terms of these bonds reflect this, and investors are aware of it.</w:t>
      </w:r>
    </w:p>
    <w:p w14:paraId="0DF5B519" w14:textId="77777777" w:rsidR="00D87A86" w:rsidRDefault="00D87A86" w:rsidP="00A70EA4">
      <w:pPr>
        <w:spacing w:after="0" w:line="240" w:lineRule="auto"/>
        <w:jc w:val="both"/>
        <w:rPr>
          <w:rFonts w:ascii="Times New Roman" w:hAnsi="Times New Roman" w:cs="Times New Roman"/>
        </w:rPr>
      </w:pPr>
    </w:p>
    <w:p w14:paraId="4AB88F16" w14:textId="3057BB6D" w:rsidR="00A70EA4" w:rsidRDefault="009955E9" w:rsidP="00A70EA4">
      <w:pPr>
        <w:spacing w:after="0" w:line="240" w:lineRule="auto"/>
        <w:jc w:val="both"/>
        <w:rPr>
          <w:rFonts w:ascii="Times New Roman" w:hAnsi="Times New Roman" w:cs="Times New Roman"/>
        </w:rPr>
      </w:pPr>
      <w:r w:rsidRPr="009955E9">
        <w:rPr>
          <w:rFonts w:ascii="Times New Roman" w:hAnsi="Times New Roman" w:cs="Times New Roman"/>
        </w:rPr>
        <w:t>Auditor Cannon noted that since Colorado and Utah appear to be leading the way in this area, it remains an area of law that has yet to be fully tested. She expressed concern about how it would be applied if a project, hypothetically, did not perform well enough to repay the bonds, leaving investors at risk.</w:t>
      </w:r>
      <w:r>
        <w:rPr>
          <w:rFonts w:ascii="Times New Roman" w:hAnsi="Times New Roman" w:cs="Times New Roman"/>
        </w:rPr>
        <w:t xml:space="preserve"> </w:t>
      </w:r>
      <w:r w:rsidRPr="009955E9">
        <w:rPr>
          <w:rFonts w:ascii="Times New Roman" w:hAnsi="Times New Roman" w:cs="Times New Roman"/>
        </w:rPr>
        <w:t>Ms. Foxxe pointed out that the issue isn't just about risk for ratings. She emphasized that, even if the state isn't directly legally responsible, Utah has an excellent credit rating, and the only direction it could move is down.</w:t>
      </w:r>
    </w:p>
    <w:p w14:paraId="71994558" w14:textId="20062EE4" w:rsidR="00A70EA4" w:rsidRDefault="00A70EA4" w:rsidP="00A70EA4">
      <w:pPr>
        <w:spacing w:after="0" w:line="240" w:lineRule="auto"/>
        <w:jc w:val="both"/>
        <w:rPr>
          <w:rFonts w:ascii="Times New Roman" w:hAnsi="Times New Roman" w:cs="Times New Roman"/>
        </w:rPr>
      </w:pPr>
    </w:p>
    <w:p w14:paraId="2841A64A" w14:textId="3315E4E9" w:rsidR="00A70EA4" w:rsidRDefault="009955E9" w:rsidP="00A70EA4">
      <w:pPr>
        <w:spacing w:after="0" w:line="240" w:lineRule="auto"/>
        <w:jc w:val="both"/>
        <w:rPr>
          <w:rFonts w:ascii="Times New Roman" w:hAnsi="Times New Roman" w:cs="Times New Roman"/>
        </w:rPr>
      </w:pPr>
      <w:r w:rsidRPr="009955E9">
        <w:rPr>
          <w:rFonts w:ascii="Times New Roman" w:hAnsi="Times New Roman" w:cs="Times New Roman"/>
        </w:rPr>
        <w:t>Mr. Larsen explained that this type of financing is not limited to Utah and Colorado but is actually more common across states like Florida, California, and Texas. He mentioned that many states utilize similar financing methods, including entities like the Utah Housing Authority and charter schools. He noted that these should be considered separately from state-level financing.</w:t>
      </w:r>
    </w:p>
    <w:p w14:paraId="6A04D9DF" w14:textId="572741DD" w:rsidR="00A70EA4" w:rsidRDefault="00A70EA4" w:rsidP="00A70EA4">
      <w:pPr>
        <w:spacing w:after="0" w:line="240" w:lineRule="auto"/>
        <w:jc w:val="both"/>
        <w:rPr>
          <w:rFonts w:ascii="Times New Roman" w:hAnsi="Times New Roman" w:cs="Times New Roman"/>
        </w:rPr>
      </w:pPr>
    </w:p>
    <w:p w14:paraId="18168CCF" w14:textId="55A95ED4" w:rsidR="00A70EA4" w:rsidRDefault="009955E9" w:rsidP="00A70EA4">
      <w:pPr>
        <w:spacing w:after="0" w:line="240" w:lineRule="auto"/>
        <w:jc w:val="both"/>
        <w:rPr>
          <w:rFonts w:ascii="Times New Roman" w:hAnsi="Times New Roman" w:cs="Times New Roman"/>
        </w:rPr>
      </w:pPr>
      <w:r w:rsidRPr="009955E9">
        <w:rPr>
          <w:rFonts w:ascii="Times New Roman" w:hAnsi="Times New Roman" w:cs="Times New Roman"/>
        </w:rPr>
        <w:t>Mr. Butterfield inquired about the rating of these bonds.</w:t>
      </w:r>
      <w:r>
        <w:rPr>
          <w:rFonts w:ascii="Times New Roman" w:hAnsi="Times New Roman" w:cs="Times New Roman"/>
        </w:rPr>
        <w:t xml:space="preserve"> </w:t>
      </w:r>
      <w:r w:rsidRPr="009955E9">
        <w:rPr>
          <w:rFonts w:ascii="Times New Roman" w:hAnsi="Times New Roman" w:cs="Times New Roman"/>
        </w:rPr>
        <w:t>Mr. Becker explained that the bonds are no</w:t>
      </w:r>
      <w:r w:rsidR="009619F3">
        <w:rPr>
          <w:rFonts w:ascii="Times New Roman" w:hAnsi="Times New Roman" w:cs="Times New Roman"/>
        </w:rPr>
        <w:t>n-</w:t>
      </w:r>
      <w:r w:rsidRPr="009955E9">
        <w:rPr>
          <w:rFonts w:ascii="Times New Roman" w:hAnsi="Times New Roman" w:cs="Times New Roman"/>
        </w:rPr>
        <w:t>rated. Instead, they are traded over a spread from NMD, typically ranging between six and six and a half, and are tax-exempt senior bonds.</w:t>
      </w:r>
      <w:r>
        <w:rPr>
          <w:rFonts w:ascii="Times New Roman" w:hAnsi="Times New Roman" w:cs="Times New Roman"/>
        </w:rPr>
        <w:t xml:space="preserve"> </w:t>
      </w:r>
      <w:r w:rsidRPr="009955E9">
        <w:rPr>
          <w:rFonts w:ascii="Times New Roman" w:hAnsi="Times New Roman" w:cs="Times New Roman"/>
        </w:rPr>
        <w:t>Mr. Butterfield asked how that compares to the taxable rate.</w:t>
      </w:r>
      <w:r>
        <w:rPr>
          <w:rFonts w:ascii="Times New Roman" w:hAnsi="Times New Roman" w:cs="Times New Roman"/>
        </w:rPr>
        <w:t xml:space="preserve"> </w:t>
      </w:r>
      <w:r w:rsidRPr="009955E9">
        <w:rPr>
          <w:rFonts w:ascii="Times New Roman" w:hAnsi="Times New Roman" w:cs="Times New Roman"/>
        </w:rPr>
        <w:t>Mr. Becker explained that the taxable rate would be around 200 basis points, possibly plus an additional $2.50 or more. He noted that there are liquidity issues with taxable bonds that tax-exempt bonds don't face, which causes the relationship between taxable and tax-exempt rates to not be linear due to the tax impact.</w:t>
      </w:r>
      <w:r>
        <w:rPr>
          <w:rFonts w:ascii="Times New Roman" w:hAnsi="Times New Roman" w:cs="Times New Roman"/>
        </w:rPr>
        <w:t xml:space="preserve"> </w:t>
      </w:r>
      <w:r w:rsidR="009619F3" w:rsidRPr="009619F3">
        <w:rPr>
          <w:rFonts w:ascii="Times New Roman" w:hAnsi="Times New Roman" w:cs="Times New Roman"/>
        </w:rPr>
        <w:t>Mr. Becker explained that there are additional revenues anticipated above and beyond inflation, which could quickly help fill a surplus fund or pay off the debt. While refinancing these bonds is likely, they wouldn’t be held to maturity. He noted that investors bear the risk since the tax has not yet been generated. As property and sales taxes begin to come in, it is expected that these bonds can be refinanced, offering better returns, improved terms, and additional funds to invest in public infrastructure.</w:t>
      </w:r>
    </w:p>
    <w:p w14:paraId="5DA7BCE9" w14:textId="070724F1" w:rsidR="009619F3" w:rsidRDefault="009619F3" w:rsidP="00A70EA4">
      <w:pPr>
        <w:spacing w:after="0" w:line="240" w:lineRule="auto"/>
        <w:jc w:val="both"/>
        <w:rPr>
          <w:rFonts w:ascii="Times New Roman" w:hAnsi="Times New Roman" w:cs="Times New Roman"/>
        </w:rPr>
      </w:pPr>
    </w:p>
    <w:p w14:paraId="3820F36A" w14:textId="4AC46641" w:rsidR="009619F3" w:rsidRDefault="009619F3" w:rsidP="00A70EA4">
      <w:pPr>
        <w:spacing w:after="0" w:line="240" w:lineRule="auto"/>
        <w:jc w:val="both"/>
        <w:rPr>
          <w:rFonts w:ascii="Times New Roman" w:hAnsi="Times New Roman" w:cs="Times New Roman"/>
        </w:rPr>
      </w:pPr>
      <w:r w:rsidRPr="009619F3">
        <w:rPr>
          <w:rFonts w:ascii="Times New Roman" w:hAnsi="Times New Roman" w:cs="Times New Roman"/>
        </w:rPr>
        <w:t>Mr. Butterfield noted that this is a satellite story and pointed out that the tax exemption is essentially a federal subsidy. He questioned whether, once the bonds are sold, they might also be granted funding. He raised concerns about the push for more efficient and effective government and whether these programs, though still new, would accumulate significant dollars quickly. He asked if there are any indications on the horizon regarding the future of these programs.</w:t>
      </w:r>
      <w:r>
        <w:rPr>
          <w:rFonts w:ascii="Times New Roman" w:hAnsi="Times New Roman" w:cs="Times New Roman"/>
        </w:rPr>
        <w:t xml:space="preserve"> </w:t>
      </w:r>
      <w:r w:rsidRPr="009619F3">
        <w:rPr>
          <w:rFonts w:ascii="Times New Roman" w:hAnsi="Times New Roman" w:cs="Times New Roman"/>
        </w:rPr>
        <w:t>Mr. McGee mentioned receiving an email from a banker in Idaho about concerns raised by Senators Crapo and others regarding the potential elimination of tax exemptions. He noted that while this issue has been discussed many times in his career, he’s more worried now. However, he believes there's little chance tax exemptions will be eliminated due to significant risks to the federal government.</w:t>
      </w:r>
    </w:p>
    <w:p w14:paraId="6B93B3C3" w14:textId="77777777" w:rsidR="009619F3" w:rsidRDefault="009619F3" w:rsidP="00A70EA4">
      <w:pPr>
        <w:spacing w:after="0" w:line="240" w:lineRule="auto"/>
        <w:jc w:val="both"/>
        <w:rPr>
          <w:rFonts w:ascii="Times New Roman" w:hAnsi="Times New Roman" w:cs="Times New Roman"/>
        </w:rPr>
      </w:pPr>
    </w:p>
    <w:p w14:paraId="68C6F560" w14:textId="6905699E" w:rsidR="009619F3" w:rsidRDefault="009619F3" w:rsidP="00A70EA4">
      <w:pPr>
        <w:spacing w:after="0" w:line="240" w:lineRule="auto"/>
        <w:jc w:val="both"/>
        <w:rPr>
          <w:rFonts w:ascii="Times New Roman" w:hAnsi="Times New Roman" w:cs="Times New Roman"/>
        </w:rPr>
      </w:pPr>
      <w:r w:rsidRPr="009619F3">
        <w:rPr>
          <w:rFonts w:ascii="Times New Roman" w:hAnsi="Times New Roman" w:cs="Times New Roman"/>
        </w:rPr>
        <w:t xml:space="preserve">Mr. Becker explained that the bonds are sized based on the property's development expectations, regardless of the project's specifics. He mentioned that last year, the high-yield market saw $15 billion in positive inputs, with Utah contributing around $1 billion. He noted that Utah’s high-growth areas, like MIDA and </w:t>
      </w:r>
      <w:r>
        <w:rPr>
          <w:rFonts w:ascii="Times New Roman" w:hAnsi="Times New Roman" w:cs="Times New Roman"/>
        </w:rPr>
        <w:t>I</w:t>
      </w:r>
      <w:r w:rsidRPr="009619F3">
        <w:rPr>
          <w:rFonts w:ascii="Times New Roman" w:hAnsi="Times New Roman" w:cs="Times New Roman"/>
        </w:rPr>
        <w:t xml:space="preserve">nland </w:t>
      </w:r>
      <w:r>
        <w:rPr>
          <w:rFonts w:ascii="Times New Roman" w:hAnsi="Times New Roman" w:cs="Times New Roman"/>
        </w:rPr>
        <w:t>P</w:t>
      </w:r>
      <w:r w:rsidRPr="009619F3">
        <w:rPr>
          <w:rFonts w:ascii="Times New Roman" w:hAnsi="Times New Roman" w:cs="Times New Roman"/>
        </w:rPr>
        <w:t>ort, continue to attract significant interest, with bond offerings recently being oversubscribed. While he didn’t believe this would affect tax-rated issuers, he pointed out that the non-rated market is much larger, with no impact observed on the rated bonds.</w:t>
      </w:r>
    </w:p>
    <w:p w14:paraId="7456A142" w14:textId="2D7D7440" w:rsidR="009619F3" w:rsidRDefault="009619F3" w:rsidP="00A70EA4">
      <w:pPr>
        <w:spacing w:after="0" w:line="240" w:lineRule="auto"/>
        <w:jc w:val="both"/>
        <w:rPr>
          <w:rFonts w:ascii="Times New Roman" w:hAnsi="Times New Roman" w:cs="Times New Roman"/>
        </w:rPr>
      </w:pPr>
    </w:p>
    <w:p w14:paraId="40E19218" w14:textId="739CAE39" w:rsidR="0036737C" w:rsidRDefault="0036737C" w:rsidP="00A70EA4">
      <w:pPr>
        <w:spacing w:after="0" w:line="240" w:lineRule="auto"/>
        <w:jc w:val="both"/>
        <w:rPr>
          <w:rFonts w:ascii="Times New Roman" w:hAnsi="Times New Roman" w:cs="Times New Roman"/>
        </w:rPr>
      </w:pPr>
      <w:r w:rsidRPr="0036737C">
        <w:rPr>
          <w:rFonts w:ascii="Times New Roman" w:hAnsi="Times New Roman" w:cs="Times New Roman"/>
        </w:rPr>
        <w:lastRenderedPageBreak/>
        <w:t>Mr. Larsen explained that a key feature of these bonds is that there is no event of default if there is a shortfall. Unlike state-issued GO bonds, where a shortfall is considered an event of default, these bonds push that risk to the investor. He emphasized that if revenues fall short and debt service can't be paid, there is no expressed event of default. This structure helps him feel more comfortable, as it ensures the state isn't obligated to step in, protecting its reputation.</w:t>
      </w:r>
    </w:p>
    <w:p w14:paraId="5CD4C780" w14:textId="69F67102" w:rsidR="0036737C" w:rsidRDefault="0036737C" w:rsidP="00A70EA4">
      <w:pPr>
        <w:spacing w:after="0" w:line="240" w:lineRule="auto"/>
        <w:jc w:val="both"/>
        <w:rPr>
          <w:rFonts w:ascii="Times New Roman" w:hAnsi="Times New Roman" w:cs="Times New Roman"/>
        </w:rPr>
      </w:pPr>
    </w:p>
    <w:p w14:paraId="415233BC" w14:textId="14738879" w:rsidR="009619F3" w:rsidRDefault="0036737C" w:rsidP="00A70EA4">
      <w:pPr>
        <w:spacing w:after="0" w:line="240" w:lineRule="auto"/>
        <w:jc w:val="both"/>
        <w:rPr>
          <w:rFonts w:ascii="Times New Roman" w:hAnsi="Times New Roman" w:cs="Times New Roman"/>
        </w:rPr>
      </w:pPr>
      <w:r w:rsidRPr="0036737C">
        <w:rPr>
          <w:rFonts w:ascii="Times New Roman" w:hAnsi="Times New Roman" w:cs="Times New Roman"/>
        </w:rPr>
        <w:t>Mr. Baker explained that when he refers to a "runway," he means a situation where investors may not receive their payments for 20 or 30 years because the taxes haven't generated enough revenue to cover the payments. He noted that investors understand this risk when they buy the bonds, accepting the possibility that it could take 35 or 40 years to be paid back. He clarified that this scenario wouldn't benefit either the investor or the state, as it would indicate the project had underperformed, delaying payment.</w:t>
      </w:r>
    </w:p>
    <w:p w14:paraId="16A0E2CB" w14:textId="35294CC7" w:rsidR="009619F3" w:rsidRDefault="009619F3" w:rsidP="00A70EA4">
      <w:pPr>
        <w:spacing w:after="0" w:line="240" w:lineRule="auto"/>
        <w:jc w:val="both"/>
        <w:rPr>
          <w:rFonts w:ascii="Times New Roman" w:hAnsi="Times New Roman" w:cs="Times New Roman"/>
        </w:rPr>
      </w:pPr>
    </w:p>
    <w:p w14:paraId="0C734FA1" w14:textId="3B59B9C0" w:rsidR="009619F3" w:rsidRDefault="0036737C" w:rsidP="00A70EA4">
      <w:pPr>
        <w:spacing w:after="0" w:line="240" w:lineRule="auto"/>
        <w:jc w:val="both"/>
        <w:rPr>
          <w:rFonts w:ascii="Times New Roman" w:hAnsi="Times New Roman" w:cs="Times New Roman"/>
        </w:rPr>
      </w:pPr>
      <w:r w:rsidRPr="0036737C">
        <w:rPr>
          <w:rFonts w:ascii="Times New Roman" w:hAnsi="Times New Roman" w:cs="Times New Roman"/>
        </w:rPr>
        <w:t>Mr. Larsen explained that at the end of the runway, the bonds are considered "</w:t>
      </w:r>
      <w:proofErr w:type="spellStart"/>
      <w:r w:rsidRPr="0036737C">
        <w:rPr>
          <w:rFonts w:ascii="Times New Roman" w:hAnsi="Times New Roman" w:cs="Times New Roman"/>
        </w:rPr>
        <w:t>defeased</w:t>
      </w:r>
      <w:proofErr w:type="spellEnd"/>
      <w:r w:rsidRPr="0036737C">
        <w:rPr>
          <w:rFonts w:ascii="Times New Roman" w:hAnsi="Times New Roman" w:cs="Times New Roman"/>
        </w:rPr>
        <w:t>." He clarified that as long as the required revenues have been delivered, the bonds are discharged and no longer outstanding.</w:t>
      </w:r>
      <w:r w:rsidRPr="0036737C">
        <w:t xml:space="preserve"> </w:t>
      </w:r>
      <w:r w:rsidRPr="0036737C">
        <w:rPr>
          <w:rFonts w:ascii="Times New Roman" w:hAnsi="Times New Roman" w:cs="Times New Roman"/>
        </w:rPr>
        <w:t>Mr. Slaugh asked a follow-up question regarding what happens to the PID and its assets once the bonds are fully paid off.</w:t>
      </w:r>
      <w:r>
        <w:rPr>
          <w:rFonts w:ascii="Times New Roman" w:hAnsi="Times New Roman" w:cs="Times New Roman"/>
        </w:rPr>
        <w:t xml:space="preserve"> </w:t>
      </w:r>
      <w:r w:rsidRPr="0036737C">
        <w:rPr>
          <w:rFonts w:ascii="Times New Roman" w:hAnsi="Times New Roman" w:cs="Times New Roman"/>
        </w:rPr>
        <w:t>Mr. Larsen explained that the PID can retain its existence to maintain ownership or operation of its assets. However, the expectation is that POMSLA would take over once the bonds are fully paid off, as there would be no outstanding debt. He clarified that while POMSLA, as the creating entity, would step in and assume control, there is no mandate dictating this transition.</w:t>
      </w:r>
      <w:r>
        <w:rPr>
          <w:rFonts w:ascii="Times New Roman" w:hAnsi="Times New Roman" w:cs="Times New Roman"/>
        </w:rPr>
        <w:t xml:space="preserve"> </w:t>
      </w:r>
    </w:p>
    <w:p w14:paraId="4778A6A3" w14:textId="7A9D888A" w:rsidR="009619F3" w:rsidRDefault="009619F3" w:rsidP="00A70EA4">
      <w:pPr>
        <w:spacing w:after="0" w:line="240" w:lineRule="auto"/>
        <w:jc w:val="both"/>
        <w:rPr>
          <w:rFonts w:ascii="Times New Roman" w:hAnsi="Times New Roman" w:cs="Times New Roman"/>
        </w:rPr>
      </w:pPr>
    </w:p>
    <w:p w14:paraId="088C015C" w14:textId="5171C79A" w:rsidR="009619F3" w:rsidRDefault="00A32AB0" w:rsidP="00A70EA4">
      <w:pPr>
        <w:spacing w:after="0" w:line="240" w:lineRule="auto"/>
        <w:jc w:val="both"/>
        <w:rPr>
          <w:rFonts w:ascii="Times New Roman" w:hAnsi="Times New Roman" w:cs="Times New Roman"/>
        </w:rPr>
      </w:pPr>
      <w:r w:rsidRPr="00A32AB0">
        <w:rPr>
          <w:rFonts w:ascii="Times New Roman" w:hAnsi="Times New Roman" w:cs="Times New Roman"/>
        </w:rPr>
        <w:t>Auditor Cannon inquired about the property tax increment, asking who receives the 90% and 10%. She pointed out that typically, property taxes go to local governments. She asked if this was considered a state revenue source and whether all property taxes are being assessed by the state, without a county or city property tax. She also asked if the rates are the same and if all taxes are directed to the state.</w:t>
      </w:r>
    </w:p>
    <w:p w14:paraId="3378A2E2" w14:textId="360D8C8C" w:rsidR="009619F3" w:rsidRDefault="009619F3" w:rsidP="00A70EA4">
      <w:pPr>
        <w:spacing w:after="0" w:line="240" w:lineRule="auto"/>
        <w:jc w:val="both"/>
        <w:rPr>
          <w:rFonts w:ascii="Times New Roman" w:hAnsi="Times New Roman" w:cs="Times New Roman"/>
        </w:rPr>
      </w:pPr>
    </w:p>
    <w:p w14:paraId="40D5A589" w14:textId="06F55960" w:rsidR="009619F3" w:rsidRDefault="00A32AB0" w:rsidP="00A70EA4">
      <w:pPr>
        <w:spacing w:after="0" w:line="240" w:lineRule="auto"/>
        <w:jc w:val="both"/>
        <w:rPr>
          <w:rFonts w:ascii="Times New Roman" w:hAnsi="Times New Roman" w:cs="Times New Roman"/>
        </w:rPr>
      </w:pPr>
      <w:r w:rsidRPr="00A32AB0">
        <w:rPr>
          <w:rFonts w:ascii="Times New Roman" w:hAnsi="Times New Roman" w:cs="Times New Roman"/>
        </w:rPr>
        <w:t>Mr. Larsen provided a two-pronged answer to the question. He explained that, for this and many land use authority bonds, there is no increase in property taxes. Residents are not paying more than they otherwise would, and local taxes continue to be governed by their school district or county. What is being captured is the tax increment increase—additional revenue generated as new development occurs. While this revenue would typically go to local entities like the city, county, or school district, the argument is that these revenues wouldn't exist without the project itself.</w:t>
      </w:r>
    </w:p>
    <w:p w14:paraId="26A1CEB6" w14:textId="2883D8E3" w:rsidR="009619F3" w:rsidRDefault="009619F3" w:rsidP="00A70EA4">
      <w:pPr>
        <w:spacing w:after="0" w:line="240" w:lineRule="auto"/>
        <w:jc w:val="both"/>
        <w:rPr>
          <w:rFonts w:ascii="Times New Roman" w:hAnsi="Times New Roman" w:cs="Times New Roman"/>
        </w:rPr>
      </w:pPr>
    </w:p>
    <w:p w14:paraId="65243BDA" w14:textId="5DF17001" w:rsidR="009619F3" w:rsidRDefault="00A32AB0" w:rsidP="00A70EA4">
      <w:pPr>
        <w:spacing w:after="0" w:line="240" w:lineRule="auto"/>
        <w:jc w:val="both"/>
        <w:rPr>
          <w:rFonts w:ascii="Times New Roman" w:hAnsi="Times New Roman" w:cs="Times New Roman"/>
        </w:rPr>
      </w:pPr>
      <w:r w:rsidRPr="00A32AB0">
        <w:rPr>
          <w:rFonts w:ascii="Times New Roman" w:hAnsi="Times New Roman" w:cs="Times New Roman"/>
        </w:rPr>
        <w:t>Auditor Cannon clarified that the state does not pay local property taxes on state-owned buildings. Therefore, there is no tax being imposed on state-owned property. She expressed confusion regarding the 90/10 split, asking for clarification on what is being imposed, and emphasized that it is not being applied to state property but rather to residential and commercial properties.</w:t>
      </w:r>
      <w:r>
        <w:rPr>
          <w:rFonts w:ascii="Times New Roman" w:hAnsi="Times New Roman" w:cs="Times New Roman"/>
        </w:rPr>
        <w:t xml:space="preserve"> </w:t>
      </w:r>
      <w:r w:rsidRPr="00A32AB0">
        <w:rPr>
          <w:rFonts w:ascii="Times New Roman" w:hAnsi="Times New Roman" w:cs="Times New Roman"/>
        </w:rPr>
        <w:t>Mr. Booth clarified that the tax in question is not a property tax but a privilege tax, which functions similarly. He explained that the property tax increment is essentially replaced by the privilege tax increment. While they have different names, their function is the same, as both are based on the assessed value of improvements and cannot be applied simultaneously.</w:t>
      </w:r>
    </w:p>
    <w:p w14:paraId="6E2DE2B6" w14:textId="715F438B" w:rsidR="009619F3" w:rsidRDefault="009619F3" w:rsidP="00A70EA4">
      <w:pPr>
        <w:spacing w:after="0" w:line="240" w:lineRule="auto"/>
        <w:jc w:val="both"/>
        <w:rPr>
          <w:rFonts w:ascii="Times New Roman" w:hAnsi="Times New Roman" w:cs="Times New Roman"/>
        </w:rPr>
      </w:pPr>
    </w:p>
    <w:p w14:paraId="6EAF2D32" w14:textId="11545FF3" w:rsidR="009619F3"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Larsen noted that the process for this project is slightly different from their usual approach. While the statute requires a bond resolution—which the PID has prepared but not yet adopted—it is scheduled for adoption next Thursday, and a copy has been provided. However, unlike past practice, the bond documents themselves were not included for review. He acknowledged that, typically, the treasurer is given 45 days to provide comments on the resolution or documents and suggested not requesting a shortened review period until the draft bond documents are made available to the board.</w:t>
      </w:r>
    </w:p>
    <w:p w14:paraId="6CF1AADE" w14:textId="0E34EC54" w:rsidR="003B2A98" w:rsidRDefault="003B2A98" w:rsidP="00A70EA4">
      <w:pPr>
        <w:spacing w:after="0" w:line="240" w:lineRule="auto"/>
        <w:jc w:val="both"/>
        <w:rPr>
          <w:rFonts w:ascii="Times New Roman" w:hAnsi="Times New Roman" w:cs="Times New Roman"/>
        </w:rPr>
      </w:pPr>
    </w:p>
    <w:p w14:paraId="1F5B18BA" w14:textId="4581B166" w:rsidR="003B2A98"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Slaugh suggested that, moving forward, having the bond documents available should be a prerequisite before convening this type of meeting.</w:t>
      </w:r>
      <w:r>
        <w:rPr>
          <w:rFonts w:ascii="Times New Roman" w:hAnsi="Times New Roman" w:cs="Times New Roman"/>
        </w:rPr>
        <w:t xml:space="preserve"> </w:t>
      </w:r>
      <w:r w:rsidRPr="003B2A98">
        <w:rPr>
          <w:rFonts w:ascii="Times New Roman" w:hAnsi="Times New Roman" w:cs="Times New Roman"/>
        </w:rPr>
        <w:t>Mr. Larsen explained that while providing the bond documents was anticipated, it is not a statutory requirement. He noted that due to scheduling conflicts, the documents weren’t ready in time, but they didn’t want to disrupt the board’s calendar. He emphasized that, by statute, the board is required to review the authorizing resolution, which has been provided.</w:t>
      </w:r>
      <w:r>
        <w:rPr>
          <w:rFonts w:ascii="Times New Roman" w:hAnsi="Times New Roman" w:cs="Times New Roman"/>
        </w:rPr>
        <w:t xml:space="preserve"> </w:t>
      </w:r>
      <w:r w:rsidRPr="003B2A98">
        <w:rPr>
          <w:rFonts w:ascii="Times New Roman" w:hAnsi="Times New Roman" w:cs="Times New Roman"/>
        </w:rPr>
        <w:t xml:space="preserve">Mr. Larsen stated that the board has full discretion to request the full 45-day review period once the bond documents are received. He clarified that he wasn’t trying to limit that authority but also wouldn’t suggest shortening the timeline until the documents are in hand. He emphasized the importance of first delivering the documents before making any </w:t>
      </w:r>
      <w:r w:rsidRPr="003B2A98">
        <w:rPr>
          <w:rFonts w:ascii="Times New Roman" w:hAnsi="Times New Roman" w:cs="Times New Roman"/>
        </w:rPr>
        <w:lastRenderedPageBreak/>
        <w:t>such request.</w:t>
      </w:r>
      <w:r>
        <w:rPr>
          <w:rFonts w:ascii="Times New Roman" w:hAnsi="Times New Roman" w:cs="Times New Roman"/>
        </w:rPr>
        <w:t xml:space="preserve"> </w:t>
      </w:r>
      <w:r w:rsidRPr="003B2A98">
        <w:rPr>
          <w:rFonts w:ascii="Times New Roman" w:hAnsi="Times New Roman" w:cs="Times New Roman"/>
        </w:rPr>
        <w:t>Mr. Slaugh asked what caused the delay in providing the bond documents.</w:t>
      </w:r>
      <w:r>
        <w:rPr>
          <w:rFonts w:ascii="Times New Roman" w:hAnsi="Times New Roman" w:cs="Times New Roman"/>
        </w:rPr>
        <w:t xml:space="preserve"> </w:t>
      </w:r>
      <w:r w:rsidRPr="003B2A98">
        <w:rPr>
          <w:rFonts w:ascii="Times New Roman" w:hAnsi="Times New Roman" w:cs="Times New Roman"/>
        </w:rPr>
        <w:t>Mr. Larsen explained that the delay in providing the bond documents was due to finalizing revenue details from the event center and parking, as well as awaiting formal approval from POMSLA. Although two members were authorized to proceed, the documents had not yet been finalized. He was hesitant to send drafts that might change. He assured the board the documents would be completed before the upcoming Thursday and would align with the current presentation. He noted that while it’s been customary to share drafts, they weren’t shared this time because they weren’t ready.</w:t>
      </w:r>
    </w:p>
    <w:p w14:paraId="1B7F72BF" w14:textId="0361C7F5" w:rsidR="003B2A98" w:rsidRDefault="003B2A98" w:rsidP="00A70EA4">
      <w:pPr>
        <w:spacing w:after="0" w:line="240" w:lineRule="auto"/>
        <w:jc w:val="both"/>
        <w:rPr>
          <w:rFonts w:ascii="Times New Roman" w:hAnsi="Times New Roman" w:cs="Times New Roman"/>
        </w:rPr>
      </w:pPr>
    </w:p>
    <w:p w14:paraId="5940A8D1" w14:textId="32CE5C1B" w:rsidR="003B2A98"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Butterfield asked a follow-up question, noting that this is phase one of the project and inquiring how many phases are anticipated</w:t>
      </w:r>
      <w:r>
        <w:rPr>
          <w:rFonts w:ascii="Times New Roman" w:hAnsi="Times New Roman" w:cs="Times New Roman"/>
        </w:rPr>
        <w:t xml:space="preserve">. </w:t>
      </w:r>
      <w:r w:rsidRPr="003B2A98">
        <w:rPr>
          <w:rFonts w:ascii="Times New Roman" w:hAnsi="Times New Roman" w:cs="Times New Roman"/>
        </w:rPr>
        <w:t>Mr. Booth acknowledged the complexity of the question, explaining that phase one covers 100 acres. If the current development group performs successfully, they will be granted rights to an additional 100 acres. In total, if each phase is 100 acres, there would be six phases. However, he noted that some prospective users, like a hospital, may not fit within phase one and could trigger smaller, stand-alone phases outside the formal structure. He emphasized that defining phases depends on how they are categorized, making it difficult to specify the exact number of future phases.</w:t>
      </w:r>
    </w:p>
    <w:p w14:paraId="561A3731" w14:textId="46C445AA" w:rsidR="003B2A98" w:rsidRDefault="003B2A98" w:rsidP="00A70EA4">
      <w:pPr>
        <w:spacing w:after="0" w:line="240" w:lineRule="auto"/>
        <w:jc w:val="both"/>
        <w:rPr>
          <w:rFonts w:ascii="Times New Roman" w:hAnsi="Times New Roman" w:cs="Times New Roman"/>
        </w:rPr>
      </w:pPr>
    </w:p>
    <w:p w14:paraId="72B1760D" w14:textId="33A81EE3" w:rsidR="003B2A98"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Mr. Butterfield asked for clarification on the total financing amount, noting that $244 million represents the tax-exempt component, and inquired about the overall development cost.</w:t>
      </w:r>
      <w:r>
        <w:rPr>
          <w:rFonts w:ascii="Times New Roman" w:hAnsi="Times New Roman" w:cs="Times New Roman"/>
        </w:rPr>
        <w:t xml:space="preserve"> </w:t>
      </w:r>
      <w:r w:rsidRPr="003B2A98">
        <w:rPr>
          <w:rFonts w:ascii="Times New Roman" w:hAnsi="Times New Roman" w:cs="Times New Roman"/>
        </w:rPr>
        <w:t>Mr. Booth estimated the total development cost to be approximately $4 billion, providing perspective on the proportion represented by the $244 million tax-exempt component.</w:t>
      </w:r>
    </w:p>
    <w:p w14:paraId="47B1292D" w14:textId="72857BE9" w:rsidR="009619F3" w:rsidRDefault="009619F3" w:rsidP="00A70EA4">
      <w:pPr>
        <w:spacing w:after="0" w:line="240" w:lineRule="auto"/>
        <w:jc w:val="both"/>
        <w:rPr>
          <w:rFonts w:ascii="Times New Roman" w:hAnsi="Times New Roman" w:cs="Times New Roman"/>
        </w:rPr>
      </w:pPr>
    </w:p>
    <w:p w14:paraId="05EF8E50" w14:textId="57FFEB03" w:rsidR="009619F3" w:rsidRDefault="003B2A98" w:rsidP="00A70EA4">
      <w:pPr>
        <w:spacing w:after="0" w:line="240" w:lineRule="auto"/>
        <w:jc w:val="both"/>
        <w:rPr>
          <w:rFonts w:ascii="Times New Roman" w:hAnsi="Times New Roman" w:cs="Times New Roman"/>
        </w:rPr>
      </w:pPr>
      <w:r w:rsidRPr="003B2A98">
        <w:rPr>
          <w:rFonts w:ascii="Times New Roman" w:hAnsi="Times New Roman" w:cs="Times New Roman"/>
        </w:rPr>
        <w:t xml:space="preserve">Mr. Larsen explained that while there is no formal approval required, there is a 45-day comment period for the bond documents. He mentioned being cautious about sending them in advance of next Thursday, as the documents are still pending approval. He noted that they may request a shorter comment </w:t>
      </w:r>
      <w:proofErr w:type="gramStart"/>
      <w:r w:rsidRPr="003B2A98">
        <w:rPr>
          <w:rFonts w:ascii="Times New Roman" w:hAnsi="Times New Roman" w:cs="Times New Roman"/>
        </w:rPr>
        <w:t>period</w:t>
      </w:r>
      <w:proofErr w:type="gramEnd"/>
      <w:r w:rsidRPr="003B2A98">
        <w:rPr>
          <w:rFonts w:ascii="Times New Roman" w:hAnsi="Times New Roman" w:cs="Times New Roman"/>
        </w:rPr>
        <w:t xml:space="preserve"> if possible, but emphasized that the treasurer has the discretion to take the full 45 days. If no comments are received by a specified date, they are free to proceed, though the comment period is intended to allow for input.</w:t>
      </w:r>
      <w:r w:rsidR="00D13DC6">
        <w:rPr>
          <w:rFonts w:ascii="Times New Roman" w:hAnsi="Times New Roman" w:cs="Times New Roman"/>
        </w:rPr>
        <w:t xml:space="preserve"> </w:t>
      </w:r>
      <w:r w:rsidR="00D13DC6" w:rsidRPr="00D13DC6">
        <w:rPr>
          <w:rFonts w:ascii="Times New Roman" w:hAnsi="Times New Roman" w:cs="Times New Roman"/>
        </w:rPr>
        <w:t>Treasurer Oaks noted that, if his calculations were correct, the deadline would be May 12th, assuming the process started today.</w:t>
      </w:r>
    </w:p>
    <w:p w14:paraId="1317B9F7" w14:textId="1045EF82" w:rsidR="009619F3" w:rsidRDefault="009619F3" w:rsidP="00A70EA4">
      <w:pPr>
        <w:spacing w:after="0" w:line="240" w:lineRule="auto"/>
        <w:jc w:val="both"/>
        <w:rPr>
          <w:rFonts w:ascii="Times New Roman" w:hAnsi="Times New Roman" w:cs="Times New Roman"/>
        </w:rPr>
      </w:pPr>
    </w:p>
    <w:p w14:paraId="48C7DB9D" w14:textId="32FF7B3D" w:rsidR="007C6AB8" w:rsidRPr="001C21DF"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sidRPr="001C21DF">
        <w:rPr>
          <w:rFonts w:ascii="Times New Roman" w:hAnsi="Times New Roman" w:cs="Times New Roman"/>
          <w:u w:val="single"/>
        </w:rPr>
        <w:t>Other Items of Business:</w:t>
      </w:r>
    </w:p>
    <w:bookmarkEnd w:id="0"/>
    <w:p w14:paraId="0E27B1DF" w14:textId="77777777" w:rsidR="00973A5D" w:rsidRPr="001C21DF" w:rsidRDefault="00973A5D" w:rsidP="00973A5D">
      <w:pPr>
        <w:pStyle w:val="ListParagraph"/>
        <w:spacing w:after="0" w:line="240" w:lineRule="auto"/>
        <w:ind w:left="360"/>
        <w:jc w:val="both"/>
        <w:rPr>
          <w:rFonts w:ascii="Times New Roman" w:hAnsi="Times New Roman" w:cs="Times New Roman"/>
          <w:u w:val="single"/>
        </w:rPr>
      </w:pPr>
    </w:p>
    <w:p w14:paraId="7F42C6DA" w14:textId="66EB5E02" w:rsidR="000E60C1" w:rsidRDefault="000E60C1" w:rsidP="0031762F">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w:t>
      </w:r>
      <w:r w:rsidR="0031762F">
        <w:rPr>
          <w:rFonts w:ascii="Times New Roman" w:hAnsi="Times New Roman" w:cs="Times New Roman"/>
        </w:rPr>
        <w:t>.</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0B7F4F5B" w:rsidR="000E3F8C" w:rsidRDefault="00D13DC6" w:rsidP="000E3F8C">
      <w:pPr>
        <w:spacing w:after="0" w:line="240" w:lineRule="auto"/>
        <w:jc w:val="both"/>
        <w:rPr>
          <w:rFonts w:ascii="Times New Roman" w:hAnsi="Times New Roman" w:cs="Times New Roman"/>
        </w:rPr>
      </w:pPr>
      <w:r>
        <w:rPr>
          <w:rFonts w:ascii="Times New Roman" w:hAnsi="Times New Roman" w:cs="Times New Roman"/>
        </w:rPr>
        <w:t>Auditor Cannon</w:t>
      </w:r>
      <w:r w:rsidR="000E3F8C" w:rsidRPr="001C21DF">
        <w:rPr>
          <w:rFonts w:ascii="Times New Roman" w:hAnsi="Times New Roman" w:cs="Times New Roman"/>
        </w:rPr>
        <w:t xml:space="preserve"> made a motion to adjourn the meeting. </w:t>
      </w:r>
      <w:r w:rsidR="005646EB" w:rsidRPr="001C21DF">
        <w:rPr>
          <w:rFonts w:ascii="Times New Roman" w:hAnsi="Times New Roman" w:cs="Times New Roman"/>
        </w:rPr>
        <w:t xml:space="preserve">Mr. </w:t>
      </w:r>
      <w:r w:rsidR="00B417CB">
        <w:rPr>
          <w:rFonts w:ascii="Times New Roman" w:hAnsi="Times New Roman" w:cs="Times New Roman"/>
        </w:rPr>
        <w:t>Butterfield</w:t>
      </w:r>
      <w:r w:rsidR="000E3F8C" w:rsidRPr="001C21DF">
        <w:rPr>
          <w:rFonts w:ascii="Times New Roman" w:hAnsi="Times New Roman" w:cs="Times New Roman"/>
        </w:rPr>
        <w:t xml:space="preserve"> seconded the motion. The motion pa</w:t>
      </w:r>
      <w:r w:rsidR="000E3F8C">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E4F5452"/>
    <w:multiLevelType w:val="hybridMultilevel"/>
    <w:tmpl w:val="7FC63DF8"/>
    <w:lvl w:ilvl="0" w:tplc="5BBCAE6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586D33"/>
    <w:multiLevelType w:val="hybridMultilevel"/>
    <w:tmpl w:val="946ECE88"/>
    <w:lvl w:ilvl="0" w:tplc="FBEC20EE">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100A3"/>
    <w:rsid w:val="00023A17"/>
    <w:rsid w:val="000321B9"/>
    <w:rsid w:val="00034EB1"/>
    <w:rsid w:val="00035925"/>
    <w:rsid w:val="00037346"/>
    <w:rsid w:val="000420D6"/>
    <w:rsid w:val="00050919"/>
    <w:rsid w:val="00051BAC"/>
    <w:rsid w:val="00054C7E"/>
    <w:rsid w:val="00054DD2"/>
    <w:rsid w:val="0005599D"/>
    <w:rsid w:val="00063411"/>
    <w:rsid w:val="000636DC"/>
    <w:rsid w:val="00071114"/>
    <w:rsid w:val="000728F4"/>
    <w:rsid w:val="00074077"/>
    <w:rsid w:val="00074EC5"/>
    <w:rsid w:val="00083507"/>
    <w:rsid w:val="00085634"/>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06E8"/>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D6BB4"/>
    <w:rsid w:val="002E7A5E"/>
    <w:rsid w:val="002F33BE"/>
    <w:rsid w:val="002F7348"/>
    <w:rsid w:val="003004FC"/>
    <w:rsid w:val="00303BA2"/>
    <w:rsid w:val="00316448"/>
    <w:rsid w:val="0031762F"/>
    <w:rsid w:val="00322855"/>
    <w:rsid w:val="00330EBF"/>
    <w:rsid w:val="00333616"/>
    <w:rsid w:val="003350DC"/>
    <w:rsid w:val="00337090"/>
    <w:rsid w:val="00337D18"/>
    <w:rsid w:val="00341DF7"/>
    <w:rsid w:val="00341E90"/>
    <w:rsid w:val="00342331"/>
    <w:rsid w:val="00351476"/>
    <w:rsid w:val="003536CF"/>
    <w:rsid w:val="00354BD6"/>
    <w:rsid w:val="003648BF"/>
    <w:rsid w:val="00364D51"/>
    <w:rsid w:val="00366DEB"/>
    <w:rsid w:val="0036737C"/>
    <w:rsid w:val="0037618F"/>
    <w:rsid w:val="00376A14"/>
    <w:rsid w:val="00377065"/>
    <w:rsid w:val="00391043"/>
    <w:rsid w:val="003A1FC8"/>
    <w:rsid w:val="003B2A98"/>
    <w:rsid w:val="003C1E48"/>
    <w:rsid w:val="003E6C02"/>
    <w:rsid w:val="003F1563"/>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256F"/>
    <w:rsid w:val="004D751B"/>
    <w:rsid w:val="004E201A"/>
    <w:rsid w:val="004E2695"/>
    <w:rsid w:val="004E358C"/>
    <w:rsid w:val="004E5E55"/>
    <w:rsid w:val="004E608D"/>
    <w:rsid w:val="004F5A9E"/>
    <w:rsid w:val="004F7EEB"/>
    <w:rsid w:val="005008B9"/>
    <w:rsid w:val="00527436"/>
    <w:rsid w:val="005275FF"/>
    <w:rsid w:val="00543357"/>
    <w:rsid w:val="0054361B"/>
    <w:rsid w:val="005446A7"/>
    <w:rsid w:val="00544CBC"/>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1182"/>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03781"/>
    <w:rsid w:val="007164DF"/>
    <w:rsid w:val="00716C30"/>
    <w:rsid w:val="00717DE3"/>
    <w:rsid w:val="007208FD"/>
    <w:rsid w:val="007319BC"/>
    <w:rsid w:val="00733145"/>
    <w:rsid w:val="00737F50"/>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7F7CDE"/>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5E68"/>
    <w:rsid w:val="008D759C"/>
    <w:rsid w:val="008E30B6"/>
    <w:rsid w:val="008E39BF"/>
    <w:rsid w:val="008E75A7"/>
    <w:rsid w:val="008F6898"/>
    <w:rsid w:val="009013A8"/>
    <w:rsid w:val="00901AB4"/>
    <w:rsid w:val="0090224A"/>
    <w:rsid w:val="009255D1"/>
    <w:rsid w:val="00927E7C"/>
    <w:rsid w:val="00937B32"/>
    <w:rsid w:val="00950BC6"/>
    <w:rsid w:val="00951672"/>
    <w:rsid w:val="0095324A"/>
    <w:rsid w:val="009619F3"/>
    <w:rsid w:val="00965E97"/>
    <w:rsid w:val="00973A5D"/>
    <w:rsid w:val="009775D6"/>
    <w:rsid w:val="00977CDF"/>
    <w:rsid w:val="00984AD2"/>
    <w:rsid w:val="00994483"/>
    <w:rsid w:val="009955E9"/>
    <w:rsid w:val="00995D3D"/>
    <w:rsid w:val="009A39D5"/>
    <w:rsid w:val="009A5542"/>
    <w:rsid w:val="009B7513"/>
    <w:rsid w:val="009D272A"/>
    <w:rsid w:val="00A12D92"/>
    <w:rsid w:val="00A319EE"/>
    <w:rsid w:val="00A31F5D"/>
    <w:rsid w:val="00A32AB0"/>
    <w:rsid w:val="00A40F3C"/>
    <w:rsid w:val="00A46E38"/>
    <w:rsid w:val="00A5400C"/>
    <w:rsid w:val="00A603B8"/>
    <w:rsid w:val="00A70EA4"/>
    <w:rsid w:val="00A8266D"/>
    <w:rsid w:val="00A87EC0"/>
    <w:rsid w:val="00A90BA3"/>
    <w:rsid w:val="00A95E13"/>
    <w:rsid w:val="00AA0353"/>
    <w:rsid w:val="00AA0EC5"/>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25097"/>
    <w:rsid w:val="00C32037"/>
    <w:rsid w:val="00C420E0"/>
    <w:rsid w:val="00C43EB2"/>
    <w:rsid w:val="00C50EE3"/>
    <w:rsid w:val="00C566B4"/>
    <w:rsid w:val="00C61ED0"/>
    <w:rsid w:val="00C65BBD"/>
    <w:rsid w:val="00C70536"/>
    <w:rsid w:val="00C73DED"/>
    <w:rsid w:val="00C7602F"/>
    <w:rsid w:val="00C7733B"/>
    <w:rsid w:val="00C77775"/>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13DC6"/>
    <w:rsid w:val="00D330DE"/>
    <w:rsid w:val="00D37E1D"/>
    <w:rsid w:val="00D4293D"/>
    <w:rsid w:val="00D46FB1"/>
    <w:rsid w:val="00D55832"/>
    <w:rsid w:val="00D56C85"/>
    <w:rsid w:val="00D57DA3"/>
    <w:rsid w:val="00D62520"/>
    <w:rsid w:val="00D700A5"/>
    <w:rsid w:val="00D71556"/>
    <w:rsid w:val="00D76F7A"/>
    <w:rsid w:val="00D87870"/>
    <w:rsid w:val="00D87A86"/>
    <w:rsid w:val="00D9061C"/>
    <w:rsid w:val="00D91629"/>
    <w:rsid w:val="00D91FA5"/>
    <w:rsid w:val="00D97FCE"/>
    <w:rsid w:val="00DA4861"/>
    <w:rsid w:val="00DA7A56"/>
    <w:rsid w:val="00DB3501"/>
    <w:rsid w:val="00DB6615"/>
    <w:rsid w:val="00DC15A7"/>
    <w:rsid w:val="00DC24A6"/>
    <w:rsid w:val="00DC7763"/>
    <w:rsid w:val="00DD657B"/>
    <w:rsid w:val="00DE0B19"/>
    <w:rsid w:val="00DE3D46"/>
    <w:rsid w:val="00DE4110"/>
    <w:rsid w:val="00DE6976"/>
    <w:rsid w:val="00DF6672"/>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66F19"/>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6E64"/>
    <w:rsid w:val="00EF7039"/>
    <w:rsid w:val="00EF7B2E"/>
    <w:rsid w:val="00F019E0"/>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1B3E"/>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4705683">
      <w:bodyDiv w:val="1"/>
      <w:marLeft w:val="0"/>
      <w:marRight w:val="0"/>
      <w:marTop w:val="0"/>
      <w:marBottom w:val="0"/>
      <w:divBdr>
        <w:top w:val="none" w:sz="0" w:space="0" w:color="auto"/>
        <w:left w:val="none" w:sz="0" w:space="0" w:color="auto"/>
        <w:bottom w:val="none" w:sz="0" w:space="0" w:color="auto"/>
        <w:right w:val="none" w:sz="0" w:space="0" w:color="auto"/>
      </w:divBdr>
      <w:divsChild>
        <w:div w:id="1075587698">
          <w:marLeft w:val="0"/>
          <w:marRight w:val="0"/>
          <w:marTop w:val="0"/>
          <w:marBottom w:val="0"/>
          <w:divBdr>
            <w:top w:val="none" w:sz="0" w:space="0" w:color="auto"/>
            <w:left w:val="none" w:sz="0" w:space="0" w:color="auto"/>
            <w:bottom w:val="none" w:sz="0" w:space="0" w:color="auto"/>
            <w:right w:val="none" w:sz="0" w:space="0" w:color="auto"/>
          </w:divBdr>
        </w:div>
      </w:divsChild>
    </w:div>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263</TotalTime>
  <Pages>5</Pages>
  <Words>2911</Words>
  <Characters>16597</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19470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8</cp:revision>
  <dcterms:created xsi:type="dcterms:W3CDTF">2025-04-25T17:42:00Z</dcterms:created>
  <dcterms:modified xsi:type="dcterms:W3CDTF">2025-04-25T23:05:00Z</dcterms:modified>
</cp:coreProperties>
</file>