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7F3F1" w14:textId="77777777" w:rsidR="00652B7D" w:rsidRDefault="00652B7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652B7D" w14:paraId="2C72C3E9"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C46352C" w14:textId="484CA2DB" w:rsidR="00652B7D" w:rsidRDefault="002F034D">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APPROVED</w:t>
            </w:r>
            <w:r w:rsidR="00BA2B04">
              <w:rPr>
                <w:rFonts w:ascii="Nunito Sans" w:eastAsia="Nunito Sans" w:hAnsi="Nunito Sans" w:cs="Nunito Sans"/>
                <w:b/>
                <w:color w:val="000000"/>
                <w:sz w:val="22"/>
                <w:szCs w:val="22"/>
              </w:rPr>
              <w:t xml:space="preserve"> - MINUTES</w:t>
            </w:r>
          </w:p>
        </w:tc>
      </w:tr>
      <w:tr w:rsidR="00652B7D" w14:paraId="2B0EEA7C"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49D27CEA" w14:textId="77777777" w:rsidR="00652B7D" w:rsidRDefault="00652B7D">
            <w:pPr>
              <w:rPr>
                <w:rFonts w:ascii="Nunito Sans" w:eastAsia="Nunito Sans" w:hAnsi="Nunito Sans" w:cs="Nunito Sans"/>
                <w:b/>
                <w:color w:val="000000"/>
                <w:sz w:val="22"/>
                <w:szCs w:val="22"/>
              </w:rPr>
            </w:pPr>
          </w:p>
        </w:tc>
      </w:tr>
      <w:tr w:rsidR="00652B7D" w14:paraId="5EFCE461" w14:textId="77777777">
        <w:tc>
          <w:tcPr>
            <w:tcW w:w="1795" w:type="dxa"/>
            <w:tcBorders>
              <w:top w:val="single" w:sz="4" w:space="0" w:color="000000"/>
              <w:left w:val="single" w:sz="4" w:space="0" w:color="000000"/>
              <w:bottom w:val="single" w:sz="4" w:space="0" w:color="000000"/>
              <w:right w:val="single" w:sz="4" w:space="0" w:color="000000"/>
            </w:tcBorders>
          </w:tcPr>
          <w:p w14:paraId="764669D7"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0657524C"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652B7D" w14:paraId="074BFE42" w14:textId="77777777">
        <w:tc>
          <w:tcPr>
            <w:tcW w:w="1795" w:type="dxa"/>
            <w:tcBorders>
              <w:top w:val="single" w:sz="4" w:space="0" w:color="000000"/>
              <w:left w:val="single" w:sz="4" w:space="0" w:color="000000"/>
              <w:bottom w:val="single" w:sz="4" w:space="0" w:color="000000"/>
              <w:right w:val="single" w:sz="4" w:space="0" w:color="000000"/>
            </w:tcBorders>
          </w:tcPr>
          <w:p w14:paraId="26D254FA"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6E12B855" w14:textId="77777777" w:rsidR="00652B7D" w:rsidRDefault="00BA2B04">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5F3699F3" w14:textId="77777777" w:rsidR="00652B7D" w:rsidRDefault="00BA2B04">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March 20</w:t>
            </w:r>
            <w:r>
              <w:rPr>
                <w:rFonts w:ascii="Nunito Sans" w:eastAsia="Nunito Sans" w:hAnsi="Nunito Sans" w:cs="Nunito Sans"/>
                <w:b/>
                <w:color w:val="000000"/>
                <w:sz w:val="22"/>
                <w:szCs w:val="22"/>
              </w:rPr>
              <w:t>, 2025, 2 PM – 4 PM</w:t>
            </w:r>
          </w:p>
          <w:p w14:paraId="4CBCEFE5" w14:textId="77777777" w:rsidR="00652B7D" w:rsidRDefault="00BA2B04">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652B7D" w14:paraId="25D626D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965EA32" w14:textId="77777777" w:rsidR="00652B7D" w:rsidRDefault="00652B7D">
            <w:pPr>
              <w:rPr>
                <w:rFonts w:ascii="Nunito Sans" w:eastAsia="Nunito Sans" w:hAnsi="Nunito Sans" w:cs="Nunito Sans"/>
                <w:color w:val="000000"/>
                <w:sz w:val="22"/>
                <w:szCs w:val="22"/>
              </w:rPr>
            </w:pPr>
          </w:p>
        </w:tc>
      </w:tr>
      <w:tr w:rsidR="00652B7D" w14:paraId="77E6CB21" w14:textId="77777777">
        <w:tc>
          <w:tcPr>
            <w:tcW w:w="1795" w:type="dxa"/>
            <w:tcBorders>
              <w:top w:val="single" w:sz="4" w:space="0" w:color="000000"/>
              <w:left w:val="single" w:sz="4" w:space="0" w:color="000000"/>
              <w:bottom w:val="single" w:sz="4" w:space="0" w:color="000000"/>
              <w:right w:val="single" w:sz="4" w:space="0" w:color="000000"/>
            </w:tcBorders>
          </w:tcPr>
          <w:p w14:paraId="239C625E"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41767156" w14:textId="77777777" w:rsidR="00652B7D" w:rsidRDefault="00BA2B04">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Kamalu, Wally Bugden, Richard Mauro, Kendall Thomas, Michael Zimmerman, Tyler Clancy, Pam Vickrey, Tom Ross, Todd Weiler, Mary Corporon.</w:t>
            </w:r>
          </w:p>
        </w:tc>
      </w:tr>
      <w:tr w:rsidR="00652B7D" w14:paraId="350AF8ED" w14:textId="77777777">
        <w:tc>
          <w:tcPr>
            <w:tcW w:w="1795" w:type="dxa"/>
            <w:tcBorders>
              <w:top w:val="single" w:sz="4" w:space="0" w:color="000000"/>
              <w:left w:val="single" w:sz="4" w:space="0" w:color="000000"/>
              <w:bottom w:val="single" w:sz="4" w:space="0" w:color="000000"/>
              <w:right w:val="single" w:sz="4" w:space="0" w:color="000000"/>
            </w:tcBorders>
          </w:tcPr>
          <w:p w14:paraId="6C0B977D"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13BF82D6" w14:textId="77777777" w:rsidR="00652B7D" w:rsidRDefault="00BA2B04">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Paul Dodd, Michael Drechsel, John Kwarm, Margaret Lindsay, Aaron McKnight.</w:t>
            </w:r>
          </w:p>
        </w:tc>
      </w:tr>
      <w:tr w:rsidR="00652B7D" w14:paraId="6D90890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0FC63E2" w14:textId="77777777" w:rsidR="00652B7D" w:rsidRDefault="00652B7D">
            <w:pPr>
              <w:tabs>
                <w:tab w:val="left" w:pos="360"/>
                <w:tab w:val="left" w:pos="1440"/>
              </w:tabs>
              <w:rPr>
                <w:rFonts w:ascii="Nunito Sans" w:eastAsia="Nunito Sans" w:hAnsi="Nunito Sans" w:cs="Nunito Sans"/>
                <w:sz w:val="22"/>
                <w:szCs w:val="22"/>
              </w:rPr>
            </w:pPr>
          </w:p>
        </w:tc>
      </w:tr>
      <w:tr w:rsidR="00652B7D" w14:paraId="7C3413CA" w14:textId="77777777">
        <w:tc>
          <w:tcPr>
            <w:tcW w:w="1795" w:type="dxa"/>
            <w:tcBorders>
              <w:top w:val="single" w:sz="4" w:space="0" w:color="000000"/>
              <w:left w:val="single" w:sz="4" w:space="0" w:color="000000"/>
              <w:bottom w:val="single" w:sz="4" w:space="0" w:color="000000"/>
              <w:right w:val="single" w:sz="4" w:space="0" w:color="000000"/>
            </w:tcBorders>
          </w:tcPr>
          <w:p w14:paraId="5CE5A6A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713793F5" w14:textId="77777777" w:rsidR="00652B7D" w:rsidRDefault="00BA2B04">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Katriina Adair, Grant Manager; Zoraya Gappmaier, Managing and Training Attorney; Joshua Buhay, Financial Analyst; Debra Nelson, Chief Appellate Attorney.</w:t>
            </w:r>
          </w:p>
        </w:tc>
      </w:tr>
      <w:tr w:rsidR="00652B7D" w14:paraId="075CE6C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4E81AE6" w14:textId="77777777" w:rsidR="00652B7D" w:rsidRDefault="00652B7D">
            <w:pPr>
              <w:spacing w:after="16"/>
              <w:rPr>
                <w:rFonts w:ascii="Nunito Sans" w:eastAsia="Nunito Sans" w:hAnsi="Nunito Sans" w:cs="Nunito Sans"/>
                <w:color w:val="000000"/>
                <w:sz w:val="22"/>
                <w:szCs w:val="22"/>
              </w:rPr>
            </w:pPr>
          </w:p>
        </w:tc>
      </w:tr>
      <w:tr w:rsidR="00652B7D" w14:paraId="3EDD3E2B" w14:textId="77777777">
        <w:tc>
          <w:tcPr>
            <w:tcW w:w="1795" w:type="dxa"/>
            <w:tcBorders>
              <w:top w:val="single" w:sz="4" w:space="0" w:color="000000"/>
              <w:left w:val="single" w:sz="4" w:space="0" w:color="000000"/>
              <w:bottom w:val="single" w:sz="4" w:space="0" w:color="000000"/>
              <w:right w:val="single" w:sz="4" w:space="0" w:color="000000"/>
            </w:tcBorders>
          </w:tcPr>
          <w:p w14:paraId="120D8E66"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2D1CA471" w14:textId="77777777" w:rsidR="00652B7D" w:rsidRDefault="00BA2B04">
            <w:pPr>
              <w:pStyle w:val="Heading3"/>
              <w:rPr>
                <w:rFonts w:ascii="Nunito Sans" w:eastAsia="Nunito Sans" w:hAnsi="Nunito Sans" w:cs="Nunito Sans"/>
                <w:b w:val="0"/>
                <w:color w:val="000000"/>
              </w:rPr>
            </w:pPr>
            <w:r>
              <w:rPr>
                <w:rFonts w:ascii="Nunito Sans" w:eastAsia="Nunito Sans" w:hAnsi="Nunito Sans" w:cs="Nunito Sans"/>
                <w:b w:val="0"/>
              </w:rPr>
              <w:t>None</w:t>
            </w:r>
          </w:p>
        </w:tc>
      </w:tr>
      <w:tr w:rsidR="00652B7D" w14:paraId="448D38B8"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8A6DD86" w14:textId="77777777" w:rsidR="00652B7D" w:rsidRDefault="00652B7D">
            <w:pPr>
              <w:pStyle w:val="Heading3"/>
              <w:rPr>
                <w:rFonts w:ascii="Nunito Sans" w:eastAsia="Nunito Sans" w:hAnsi="Nunito Sans" w:cs="Nunito Sans"/>
                <w:color w:val="000000"/>
              </w:rPr>
            </w:pPr>
          </w:p>
        </w:tc>
      </w:tr>
      <w:tr w:rsidR="00652B7D" w14:paraId="33B33C85" w14:textId="77777777">
        <w:tc>
          <w:tcPr>
            <w:tcW w:w="1795" w:type="dxa"/>
            <w:tcBorders>
              <w:top w:val="single" w:sz="4" w:space="0" w:color="000000"/>
              <w:left w:val="single" w:sz="4" w:space="0" w:color="000000"/>
              <w:bottom w:val="single" w:sz="4" w:space="0" w:color="000000"/>
              <w:right w:val="single" w:sz="4" w:space="0" w:color="000000"/>
            </w:tcBorders>
          </w:tcPr>
          <w:p w14:paraId="78C5B8EA"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453F38D" w14:textId="77777777" w:rsidR="00652B7D" w:rsidRDefault="00BA2B04">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652B7D" w14:paraId="236AD6FC" w14:textId="77777777">
        <w:tc>
          <w:tcPr>
            <w:tcW w:w="1795" w:type="dxa"/>
            <w:tcBorders>
              <w:top w:val="single" w:sz="4" w:space="0" w:color="000000"/>
              <w:left w:val="single" w:sz="4" w:space="0" w:color="000000"/>
              <w:bottom w:val="single" w:sz="4" w:space="0" w:color="000000"/>
              <w:right w:val="single" w:sz="4" w:space="0" w:color="000000"/>
            </w:tcBorders>
          </w:tcPr>
          <w:p w14:paraId="7E257B0D"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EEE9F86" w14:textId="77777777" w:rsidR="00652B7D" w:rsidRDefault="00BA2B04">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Lorene Kamalu welcomed the attendees and had them introduce themselves.</w:t>
            </w:r>
          </w:p>
        </w:tc>
      </w:tr>
      <w:tr w:rsidR="00652B7D" w14:paraId="566DD08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4C64C66" w14:textId="77777777" w:rsidR="00652B7D" w:rsidRDefault="00652B7D">
            <w:pPr>
              <w:rPr>
                <w:rFonts w:ascii="Nunito Sans" w:eastAsia="Nunito Sans" w:hAnsi="Nunito Sans" w:cs="Nunito Sans"/>
                <w:b/>
                <w:color w:val="000000"/>
                <w:sz w:val="22"/>
                <w:szCs w:val="22"/>
              </w:rPr>
            </w:pPr>
          </w:p>
        </w:tc>
      </w:tr>
      <w:tr w:rsidR="00652B7D" w14:paraId="5D417DB9" w14:textId="77777777">
        <w:tc>
          <w:tcPr>
            <w:tcW w:w="1795" w:type="dxa"/>
            <w:tcBorders>
              <w:top w:val="single" w:sz="4" w:space="0" w:color="000000"/>
              <w:left w:val="single" w:sz="4" w:space="0" w:color="000000"/>
              <w:bottom w:val="single" w:sz="4" w:space="0" w:color="000000"/>
              <w:right w:val="single" w:sz="4" w:space="0" w:color="000000"/>
            </w:tcBorders>
          </w:tcPr>
          <w:p w14:paraId="4DE4AA7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86CB3FB"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652B7D" w14:paraId="6CAA20E7" w14:textId="77777777">
        <w:tc>
          <w:tcPr>
            <w:tcW w:w="1795" w:type="dxa"/>
            <w:tcBorders>
              <w:top w:val="single" w:sz="4" w:space="0" w:color="000000"/>
              <w:left w:val="single" w:sz="4" w:space="0" w:color="000000"/>
              <w:bottom w:val="single" w:sz="4" w:space="0" w:color="000000"/>
              <w:right w:val="single" w:sz="4" w:space="0" w:color="000000"/>
            </w:tcBorders>
          </w:tcPr>
          <w:p w14:paraId="3480FE5F"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3AB4605"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Commissioner Zimmerman moved to approve the previous meeting’s minutes, which </w:t>
            </w:r>
            <w:proofErr w:type="gramStart"/>
            <w:r>
              <w:rPr>
                <w:rFonts w:ascii="Nunito Sans" w:eastAsia="Nunito Sans" w:hAnsi="Nunito Sans" w:cs="Nunito Sans"/>
                <w:sz w:val="22"/>
                <w:szCs w:val="22"/>
              </w:rPr>
              <w:t>was</w:t>
            </w:r>
            <w:proofErr w:type="gramEnd"/>
            <w:r>
              <w:rPr>
                <w:rFonts w:ascii="Nunito Sans" w:eastAsia="Nunito Sans" w:hAnsi="Nunito Sans" w:cs="Nunito Sans"/>
                <w:sz w:val="22"/>
                <w:szCs w:val="22"/>
              </w:rPr>
              <w:t xml:space="preserve"> seconded by Commissioner Weiler; the motion was passed unanimously.</w:t>
            </w:r>
          </w:p>
        </w:tc>
      </w:tr>
      <w:tr w:rsidR="00652B7D" w14:paraId="5804FD02"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5BD3E1F" w14:textId="77777777" w:rsidR="00652B7D" w:rsidRDefault="00652B7D">
            <w:pPr>
              <w:rPr>
                <w:rFonts w:ascii="Nunito Sans" w:eastAsia="Nunito Sans" w:hAnsi="Nunito Sans" w:cs="Nunito Sans"/>
                <w:b/>
                <w:color w:val="000000"/>
                <w:sz w:val="22"/>
                <w:szCs w:val="22"/>
              </w:rPr>
            </w:pPr>
          </w:p>
        </w:tc>
      </w:tr>
      <w:tr w:rsidR="00652B7D" w14:paraId="027ECF37" w14:textId="77777777">
        <w:tc>
          <w:tcPr>
            <w:tcW w:w="1795" w:type="dxa"/>
            <w:tcBorders>
              <w:top w:val="single" w:sz="4" w:space="0" w:color="000000"/>
              <w:left w:val="single" w:sz="4" w:space="0" w:color="000000"/>
              <w:bottom w:val="single" w:sz="4" w:space="0" w:color="000000"/>
              <w:right w:val="single" w:sz="4" w:space="0" w:color="000000"/>
            </w:tcBorders>
          </w:tcPr>
          <w:p w14:paraId="526B1615"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13B1418"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Legislative Recap</w:t>
            </w:r>
          </w:p>
        </w:tc>
      </w:tr>
      <w:tr w:rsidR="00652B7D" w14:paraId="4132CA1F" w14:textId="77777777">
        <w:tc>
          <w:tcPr>
            <w:tcW w:w="1795" w:type="dxa"/>
            <w:tcBorders>
              <w:top w:val="single" w:sz="4" w:space="0" w:color="000000"/>
              <w:left w:val="single" w:sz="4" w:space="0" w:color="000000"/>
              <w:bottom w:val="single" w:sz="4" w:space="0" w:color="000000"/>
              <w:right w:val="single" w:sz="4" w:space="0" w:color="000000"/>
            </w:tcBorders>
          </w:tcPr>
          <w:p w14:paraId="55E01312"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10488C2F"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started the presentation on a Legislative Recap covering legislation that directly affects the Indigent Defense Commission. He stated that staff had two primary funding requests: one-time supplementary funding for IADD and </w:t>
            </w:r>
            <w:proofErr w:type="gramStart"/>
            <w:r>
              <w:rPr>
                <w:rFonts w:ascii="Nunito Sans" w:eastAsia="Nunito Sans" w:hAnsi="Nunito Sans" w:cs="Nunito Sans"/>
                <w:sz w:val="22"/>
                <w:szCs w:val="22"/>
              </w:rPr>
              <w:t>reinstatement of</w:t>
            </w:r>
            <w:proofErr w:type="gramEnd"/>
            <w:r>
              <w:rPr>
                <w:rFonts w:ascii="Nunito Sans" w:eastAsia="Nunito Sans" w:hAnsi="Nunito Sans" w:cs="Nunito Sans"/>
                <w:sz w:val="22"/>
                <w:szCs w:val="22"/>
              </w:rPr>
              <w:t xml:space="preserve"> the $700k in one-time funding to continue grants from Fiscal Year 2024, both of which were appropriated.</w:t>
            </w:r>
          </w:p>
          <w:p w14:paraId="4A36AE1B" w14:textId="77777777" w:rsidR="00652B7D" w:rsidRDefault="00652B7D">
            <w:pPr>
              <w:pBdr>
                <w:top w:val="nil"/>
                <w:left w:val="nil"/>
                <w:bottom w:val="nil"/>
                <w:right w:val="nil"/>
                <w:between w:val="nil"/>
              </w:pBdr>
              <w:rPr>
                <w:rFonts w:ascii="Nunito Sans" w:eastAsia="Nunito Sans" w:hAnsi="Nunito Sans" w:cs="Nunito Sans"/>
                <w:sz w:val="22"/>
                <w:szCs w:val="22"/>
              </w:rPr>
            </w:pPr>
          </w:p>
          <w:p w14:paraId="2EC22324"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brought up bill SB 171, sponsored by Senator Weiler and Representative Clancy. This bill created a Juvenile Defense fund, which counties may </w:t>
            </w:r>
            <w:proofErr w:type="gramStart"/>
            <w:r>
              <w:rPr>
                <w:rFonts w:ascii="Nunito Sans" w:eastAsia="Nunito Sans" w:hAnsi="Nunito Sans" w:cs="Nunito Sans"/>
                <w:sz w:val="22"/>
                <w:szCs w:val="22"/>
              </w:rPr>
              <w:t>contribute to</w:t>
            </w:r>
            <w:proofErr w:type="gramEnd"/>
            <w:r>
              <w:rPr>
                <w:rFonts w:ascii="Nunito Sans" w:eastAsia="Nunito Sans" w:hAnsi="Nunito Sans" w:cs="Nunito Sans"/>
                <w:sz w:val="22"/>
                <w:szCs w:val="22"/>
              </w:rPr>
              <w:t xml:space="preserve"> annually. The IDC would use the funds to administer and assist in regionalization projects for youth defense to </w:t>
            </w:r>
            <w:r>
              <w:rPr>
                <w:rFonts w:ascii="Nunito Sans" w:eastAsia="Nunito Sans" w:hAnsi="Nunito Sans" w:cs="Nunito Sans"/>
                <w:sz w:val="22"/>
                <w:szCs w:val="22"/>
              </w:rPr>
              <w:lastRenderedPageBreak/>
              <w:t>implement changes suggested by The Gault Center’s assessment of Utah’s youth defense systems.</w:t>
            </w:r>
          </w:p>
          <w:p w14:paraId="68CAF40B" w14:textId="77777777" w:rsidR="00652B7D" w:rsidRDefault="00652B7D">
            <w:pPr>
              <w:pBdr>
                <w:top w:val="nil"/>
                <w:left w:val="nil"/>
                <w:bottom w:val="nil"/>
                <w:right w:val="nil"/>
                <w:between w:val="nil"/>
              </w:pBdr>
              <w:rPr>
                <w:rFonts w:ascii="Nunito Sans" w:eastAsia="Nunito Sans" w:hAnsi="Nunito Sans" w:cs="Nunito Sans"/>
                <w:sz w:val="22"/>
                <w:szCs w:val="22"/>
              </w:rPr>
            </w:pPr>
          </w:p>
          <w:p w14:paraId="4D012D47"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discussed bill SB 157, which originated with an IDC innovation grant awarded to UJDA in 2024 to create a position for an on-call attorney to answer questions from youth and their families regarding offers of Non Judicial Adjustment (NJA). The bill expanded the project statewide and was expected to reduce delinquency petitions by 400 per year. </w:t>
            </w:r>
          </w:p>
        </w:tc>
      </w:tr>
      <w:tr w:rsidR="00652B7D" w14:paraId="6C23985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480CC1F"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5874DB7A" w14:textId="77777777">
        <w:tc>
          <w:tcPr>
            <w:tcW w:w="1795" w:type="dxa"/>
            <w:tcBorders>
              <w:top w:val="single" w:sz="4" w:space="0" w:color="000000"/>
              <w:left w:val="single" w:sz="4" w:space="0" w:color="000000"/>
              <w:bottom w:val="single" w:sz="4" w:space="0" w:color="000000"/>
              <w:right w:val="single" w:sz="4" w:space="0" w:color="000000"/>
            </w:tcBorders>
          </w:tcPr>
          <w:p w14:paraId="2C97AAE7"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1843868"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Collaborative Meeting Schedule</w:t>
            </w:r>
          </w:p>
        </w:tc>
      </w:tr>
      <w:tr w:rsidR="00652B7D" w14:paraId="32755F71" w14:textId="77777777">
        <w:tc>
          <w:tcPr>
            <w:tcW w:w="1795" w:type="dxa"/>
            <w:tcBorders>
              <w:top w:val="single" w:sz="4" w:space="0" w:color="000000"/>
              <w:left w:val="single" w:sz="4" w:space="0" w:color="000000"/>
              <w:bottom w:val="single" w:sz="4" w:space="0" w:color="000000"/>
              <w:right w:val="single" w:sz="4" w:space="0" w:color="000000"/>
            </w:tcBorders>
          </w:tcPr>
          <w:p w14:paraId="1614AE2A"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26A48B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Katriina Adair welcomed the </w:t>
            </w:r>
            <w:r>
              <w:rPr>
                <w:rFonts w:ascii="Nunito Sans" w:eastAsia="Nunito Sans" w:hAnsi="Nunito Sans" w:cs="Nunito Sans"/>
                <w:sz w:val="22"/>
                <w:szCs w:val="22"/>
              </w:rPr>
              <w:t>c</w:t>
            </w:r>
            <w:r>
              <w:rPr>
                <w:rFonts w:ascii="Nunito Sans" w:eastAsia="Nunito Sans" w:hAnsi="Nunito Sans" w:cs="Nunito Sans"/>
                <w:color w:val="000000"/>
                <w:sz w:val="22"/>
                <w:szCs w:val="22"/>
              </w:rPr>
              <w:t xml:space="preserve">ommissioners to attend the </w:t>
            </w:r>
            <w:r>
              <w:rPr>
                <w:rFonts w:ascii="Nunito Sans" w:eastAsia="Nunito Sans" w:hAnsi="Nunito Sans" w:cs="Nunito Sans"/>
                <w:sz w:val="22"/>
                <w:szCs w:val="22"/>
              </w:rPr>
              <w:t>c</w:t>
            </w:r>
            <w:r>
              <w:rPr>
                <w:rFonts w:ascii="Nunito Sans" w:eastAsia="Nunito Sans" w:hAnsi="Nunito Sans" w:cs="Nunito Sans"/>
                <w:color w:val="000000"/>
                <w:sz w:val="22"/>
                <w:szCs w:val="22"/>
              </w:rPr>
              <w:t xml:space="preserve">ollaborative </w:t>
            </w:r>
            <w:r>
              <w:rPr>
                <w:rFonts w:ascii="Nunito Sans" w:eastAsia="Nunito Sans" w:hAnsi="Nunito Sans" w:cs="Nunito Sans"/>
                <w:sz w:val="22"/>
                <w:szCs w:val="22"/>
              </w:rPr>
              <w:t>g</w:t>
            </w:r>
            <w:r>
              <w:rPr>
                <w:rFonts w:ascii="Nunito Sans" w:eastAsia="Nunito Sans" w:hAnsi="Nunito Sans" w:cs="Nunito Sans"/>
                <w:color w:val="000000"/>
                <w:sz w:val="22"/>
                <w:szCs w:val="22"/>
              </w:rPr>
              <w:t xml:space="preserve">rant planning meetings with </w:t>
            </w:r>
            <w:r>
              <w:rPr>
                <w:rFonts w:ascii="Nunito Sans" w:eastAsia="Nunito Sans" w:hAnsi="Nunito Sans" w:cs="Nunito Sans"/>
                <w:sz w:val="22"/>
                <w:szCs w:val="22"/>
              </w:rPr>
              <w:t>systems who are applying for grant funding and</w:t>
            </w:r>
            <w:r>
              <w:rPr>
                <w:rFonts w:ascii="Nunito Sans" w:eastAsia="Nunito Sans" w:hAnsi="Nunito Sans" w:cs="Nunito Sans"/>
                <w:color w:val="000000"/>
                <w:sz w:val="22"/>
                <w:szCs w:val="22"/>
              </w:rPr>
              <w:t xml:space="preserve"> shared the schedule with them. </w:t>
            </w:r>
            <w:r>
              <w:rPr>
                <w:rFonts w:ascii="Nunito Sans" w:eastAsia="Nunito Sans" w:hAnsi="Nunito Sans" w:cs="Nunito Sans"/>
                <w:sz w:val="22"/>
                <w:szCs w:val="22"/>
              </w:rPr>
              <w:t>Commissioners will have an opportunity to review the grant applications prior to voting on the funding decisions</w:t>
            </w:r>
            <w:r>
              <w:rPr>
                <w:rFonts w:ascii="Nunito Sans" w:eastAsia="Nunito Sans" w:hAnsi="Nunito Sans" w:cs="Nunito Sans"/>
                <w:color w:val="000000"/>
                <w:sz w:val="22"/>
                <w:szCs w:val="22"/>
              </w:rPr>
              <w:t>.</w:t>
            </w:r>
          </w:p>
        </w:tc>
      </w:tr>
      <w:tr w:rsidR="00652B7D" w14:paraId="02FEC96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BDB314A"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775B6ED6" w14:textId="77777777">
        <w:tc>
          <w:tcPr>
            <w:tcW w:w="1795" w:type="dxa"/>
            <w:tcBorders>
              <w:top w:val="single" w:sz="4" w:space="0" w:color="000000"/>
              <w:left w:val="single" w:sz="4" w:space="0" w:color="000000"/>
              <w:bottom w:val="single" w:sz="4" w:space="0" w:color="000000"/>
              <w:right w:val="single" w:sz="4" w:space="0" w:color="000000"/>
            </w:tcBorders>
          </w:tcPr>
          <w:p w14:paraId="03819FB5"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ED89F13"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Juvenile Court Transfer Rule</w:t>
            </w:r>
          </w:p>
        </w:tc>
      </w:tr>
      <w:tr w:rsidR="00652B7D" w14:paraId="02B73401" w14:textId="77777777">
        <w:tc>
          <w:tcPr>
            <w:tcW w:w="1795" w:type="dxa"/>
            <w:tcBorders>
              <w:top w:val="single" w:sz="4" w:space="0" w:color="000000"/>
              <w:left w:val="single" w:sz="4" w:space="0" w:color="000000"/>
              <w:bottom w:val="single" w:sz="4" w:space="0" w:color="000000"/>
              <w:right w:val="single" w:sz="4" w:space="0" w:color="000000"/>
            </w:tcBorders>
          </w:tcPr>
          <w:p w14:paraId="09B7FB9F"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23CC5F8"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Vickrey stated that Transfer cases were particularly resource intensive with nuanced statutory language. She continued to state that many attorneys who take or are assigned to Transfer cases do not have sufficient experience or expertise with the statute, which results in difficult outcomes to cases. Commissioner Vickrey </w:t>
            </w:r>
            <w:r>
              <w:rPr>
                <w:rFonts w:ascii="Nunito Sans" w:eastAsia="Nunito Sans" w:hAnsi="Nunito Sans" w:cs="Nunito Sans"/>
                <w:sz w:val="22"/>
                <w:szCs w:val="22"/>
              </w:rPr>
              <w:t>suggested that</w:t>
            </w:r>
            <w:r>
              <w:rPr>
                <w:rFonts w:ascii="Nunito Sans" w:eastAsia="Nunito Sans" w:hAnsi="Nunito Sans" w:cs="Nunito Sans"/>
                <w:color w:val="000000"/>
                <w:sz w:val="22"/>
                <w:szCs w:val="22"/>
              </w:rPr>
              <w:t xml:space="preserve"> the IDC should send a letter to the Rules of Juvenile Procedure Committee to create a role for public defenders in Transfer cases similar to the Rule 8 Qualification requirement for attorneys in Death Penalty cases.</w:t>
            </w:r>
          </w:p>
          <w:p w14:paraId="2083B8AD"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785088C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noted that Commissioner Vickrey and Commissioner Mauro’s offices often worked together on transfer cases due to the possibility of cases moving from the Juvenile system to the </w:t>
            </w:r>
            <w:proofErr w:type="gramStart"/>
            <w:r>
              <w:rPr>
                <w:rFonts w:ascii="Nunito Sans" w:eastAsia="Nunito Sans" w:hAnsi="Nunito Sans" w:cs="Nunito Sans"/>
                <w:color w:val="000000"/>
                <w:sz w:val="22"/>
                <w:szCs w:val="22"/>
              </w:rPr>
              <w:t>Adult</w:t>
            </w:r>
            <w:proofErr w:type="gramEnd"/>
            <w:r>
              <w:rPr>
                <w:rFonts w:ascii="Nunito Sans" w:eastAsia="Nunito Sans" w:hAnsi="Nunito Sans" w:cs="Nunito Sans"/>
                <w:color w:val="000000"/>
                <w:sz w:val="22"/>
                <w:szCs w:val="22"/>
              </w:rPr>
              <w:t xml:space="preserve"> system. He asked if that was the case in other counties, to which Commissioner Vickrey responded no and noted that the cooperation between the offices was particularly important to ensure a seamless transition in representation between justice systems.</w:t>
            </w:r>
          </w:p>
          <w:p w14:paraId="449D3D5F"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5F484D23"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Ross asked if creating a Rule 8-style rule for Transfer cases might restrict the pool of eligible attorneys to too small of a group to be accessible, to which Commissioner Bugden responded that he did not have any concerns regarding restricting access to defense via the implementation of a Rule 8-style rule. </w:t>
            </w:r>
          </w:p>
          <w:p w14:paraId="73C41991"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4515D86C"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Commissioner Mauro stated his opinion that Commissioner Vickrey’s rule made sense, comparing the issues with qualified attorneys for Transfer cases to the issues with Death Penalty Case-experienced attorneys in the 1980’s that precluded and led to the implementation of Rule 8 qualifications.</w:t>
            </w:r>
          </w:p>
          <w:p w14:paraId="721C6DBD"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47AAE8F1" w14:textId="77777777" w:rsidR="00652B7D" w:rsidRDefault="00BA2B04">
            <w:pPr>
              <w:pBdr>
                <w:top w:val="nil"/>
                <w:left w:val="nil"/>
                <w:bottom w:val="nil"/>
                <w:right w:val="nil"/>
                <w:between w:val="nil"/>
              </w:pBdr>
            </w:pPr>
            <w:r>
              <w:rPr>
                <w:rFonts w:ascii="Nunito Sans" w:eastAsia="Nunito Sans" w:hAnsi="Nunito Sans" w:cs="Nunito Sans"/>
                <w:color w:val="000000"/>
                <w:sz w:val="22"/>
                <w:szCs w:val="22"/>
              </w:rPr>
              <w:t>Matthew Barraza stated that the IDC could collaborate with Commissioner Vickrey and Commissioner Mauro’s offices to draft language for a Rule 8-style qualification for Transfer cases. Commissioner Vickrey stated that she would take the lead in finding the right place to send the request for such a rule to be implemented. Matthew Barraza noted that the request document would need to be approved by the Commission and that he and Adam Trupp could collaborate with Commissioner Vickrey to draft the request and then present it for approval at the next meeting.</w:t>
            </w:r>
          </w:p>
        </w:tc>
      </w:tr>
      <w:tr w:rsidR="00652B7D" w14:paraId="074F470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952C4A8"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2F40573D" w14:textId="77777777">
        <w:tc>
          <w:tcPr>
            <w:tcW w:w="1795" w:type="dxa"/>
            <w:tcBorders>
              <w:top w:val="single" w:sz="4" w:space="0" w:color="000000"/>
              <w:left w:val="single" w:sz="4" w:space="0" w:color="000000"/>
              <w:bottom w:val="single" w:sz="4" w:space="0" w:color="000000"/>
              <w:right w:val="single" w:sz="4" w:space="0" w:color="000000"/>
            </w:tcBorders>
          </w:tcPr>
          <w:p w14:paraId="076410BD"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4E2E38D"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652B7D" w14:paraId="4203CD53" w14:textId="77777777">
        <w:tc>
          <w:tcPr>
            <w:tcW w:w="1795" w:type="dxa"/>
            <w:tcBorders>
              <w:top w:val="single" w:sz="4" w:space="0" w:color="000000"/>
              <w:left w:val="single" w:sz="4" w:space="0" w:color="000000"/>
              <w:bottom w:val="single" w:sz="4" w:space="0" w:color="000000"/>
              <w:right w:val="single" w:sz="4" w:space="0" w:color="000000"/>
            </w:tcBorders>
          </w:tcPr>
          <w:p w14:paraId="525F8FC8"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71BD694"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652B7D" w14:paraId="09167484" w14:textId="77777777">
        <w:tc>
          <w:tcPr>
            <w:tcW w:w="1795" w:type="dxa"/>
            <w:tcBorders>
              <w:top w:val="single" w:sz="4" w:space="0" w:color="000000"/>
              <w:left w:val="single" w:sz="4" w:space="0" w:color="000000"/>
              <w:bottom w:val="single" w:sz="4" w:space="0" w:color="000000"/>
              <w:right w:val="single" w:sz="4" w:space="0" w:color="000000"/>
            </w:tcBorders>
          </w:tcPr>
          <w:p w14:paraId="26E8AFA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7A7BD50"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Public Comment</w:t>
            </w:r>
          </w:p>
        </w:tc>
      </w:tr>
      <w:tr w:rsidR="00652B7D" w14:paraId="619F944A" w14:textId="77777777">
        <w:tc>
          <w:tcPr>
            <w:tcW w:w="1795" w:type="dxa"/>
            <w:tcBorders>
              <w:top w:val="single" w:sz="4" w:space="0" w:color="000000"/>
              <w:left w:val="single" w:sz="4" w:space="0" w:color="000000"/>
              <w:bottom w:val="single" w:sz="4" w:space="0" w:color="000000"/>
              <w:right w:val="single" w:sz="4" w:space="0" w:color="000000"/>
            </w:tcBorders>
          </w:tcPr>
          <w:p w14:paraId="3D80A63F"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B76A4D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652B7D" w14:paraId="49A21E54" w14:textId="77777777">
        <w:tc>
          <w:tcPr>
            <w:tcW w:w="1795" w:type="dxa"/>
            <w:tcBorders>
              <w:top w:val="single" w:sz="4" w:space="0" w:color="000000"/>
              <w:left w:val="single" w:sz="4" w:space="0" w:color="000000"/>
              <w:bottom w:val="single" w:sz="4" w:space="0" w:color="000000"/>
              <w:right w:val="single" w:sz="4" w:space="0" w:color="000000"/>
            </w:tcBorders>
          </w:tcPr>
          <w:p w14:paraId="4208CB33"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66684814" w14:textId="77777777" w:rsidR="00652B7D" w:rsidRDefault="00BA2B04">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b/>
                <w:color w:val="000000"/>
              </w:rPr>
              <w:t>April 17, 2025.</w:t>
            </w:r>
          </w:p>
        </w:tc>
      </w:tr>
      <w:tr w:rsidR="00652B7D" w14:paraId="0AB78849" w14:textId="77777777">
        <w:tc>
          <w:tcPr>
            <w:tcW w:w="1795" w:type="dxa"/>
            <w:tcBorders>
              <w:top w:val="single" w:sz="4" w:space="0" w:color="000000"/>
              <w:left w:val="single" w:sz="4" w:space="0" w:color="000000"/>
              <w:bottom w:val="single" w:sz="4" w:space="0" w:color="000000"/>
              <w:right w:val="single" w:sz="4" w:space="0" w:color="000000"/>
            </w:tcBorders>
          </w:tcPr>
          <w:p w14:paraId="6B72480B"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1A42AB6F"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652B7D" w14:paraId="197B2053" w14:textId="77777777">
        <w:tc>
          <w:tcPr>
            <w:tcW w:w="1795" w:type="dxa"/>
            <w:tcBorders>
              <w:top w:val="single" w:sz="4" w:space="0" w:color="000000"/>
              <w:left w:val="single" w:sz="4" w:space="0" w:color="000000"/>
              <w:bottom w:val="single" w:sz="4" w:space="0" w:color="000000"/>
              <w:right w:val="single" w:sz="4" w:space="0" w:color="000000"/>
            </w:tcBorders>
          </w:tcPr>
          <w:p w14:paraId="3DF40C85"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6912667" w14:textId="77777777" w:rsidR="00652B7D" w:rsidRDefault="00652B7D">
            <w:pPr>
              <w:rPr>
                <w:rFonts w:ascii="Nunito Sans" w:eastAsia="Nunito Sans" w:hAnsi="Nunito Sans" w:cs="Nunito Sans"/>
                <w:color w:val="000000"/>
                <w:sz w:val="22"/>
                <w:szCs w:val="22"/>
              </w:rPr>
            </w:pPr>
          </w:p>
        </w:tc>
      </w:tr>
    </w:tbl>
    <w:p w14:paraId="2393E101" w14:textId="77777777" w:rsidR="00652B7D" w:rsidRDefault="00652B7D"/>
    <w:sectPr w:rsidR="00652B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8AC171-1424-4265-A5A3-AC4E9C831DD6}"/>
    <w:embedItalic r:id="rId2" w:fontKey="{A182CA2A-4914-455C-9416-6E55140C90E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F53C31AB-A467-4E69-AE9D-02331A810892}"/>
    <w:embedBold r:id="rId4" w:fontKey="{1FF440D5-0FA5-41EF-B310-9E11E3F7F39D}"/>
  </w:font>
  <w:font w:name="Calibri">
    <w:panose1 w:val="020F0502020204030204"/>
    <w:charset w:val="00"/>
    <w:family w:val="swiss"/>
    <w:pitch w:val="variable"/>
    <w:sig w:usb0="E4002EFF" w:usb1="C200247B" w:usb2="00000009" w:usb3="00000000" w:csb0="000001FF" w:csb1="00000000"/>
    <w:embedRegular r:id="rId5" w:fontKey="{09D9443E-2C0F-42DA-8AB4-8BB1F39AC4E7}"/>
  </w:font>
  <w:font w:name="Cambria">
    <w:panose1 w:val="02040503050406030204"/>
    <w:charset w:val="00"/>
    <w:family w:val="roman"/>
    <w:pitch w:val="variable"/>
    <w:sig w:usb0="E00006FF" w:usb1="420024FF" w:usb2="02000000" w:usb3="00000000" w:csb0="0000019F" w:csb1="00000000"/>
    <w:embedRegular r:id="rId6" w:fontKey="{CD4E9E9D-B2F9-4A9F-BFD1-29C5DEFF58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7D"/>
    <w:rsid w:val="002F034D"/>
    <w:rsid w:val="00652B7D"/>
    <w:rsid w:val="00AC1C0A"/>
    <w:rsid w:val="00BA2B04"/>
    <w:rsid w:val="00C63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3A54E"/>
  <w15:docId w15:val="{ABD0791D-9453-4526-9910-B79AAE2C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GprTNJnDBI+cTCpavVB8Q7mUw==">CgMxLjAyCGguZ2pkZ3hzOAByITFRSmJ4VVB5cVdVMnQ3WUM2cTNMQ3FxdWtMRmdaZFphVw==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4161</Characters>
  <Application>Microsoft Office Word</Application>
  <DocSecurity>0</DocSecurity>
  <Lines>34</Lines>
  <Paragraphs>9</Paragraphs>
  <ScaleCrop>false</ScaleCrop>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2025-04-18T23:24:00Z</dcterms:created>
  <dcterms:modified xsi:type="dcterms:W3CDTF">2025-04-18T23:24:00Z</dcterms:modified>
</cp:coreProperties>
</file>