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A7F3F1" w14:textId="77777777" w:rsidR="00652B7D" w:rsidRDefault="00652B7D">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95"/>
        <w:gridCol w:w="7555"/>
      </w:tblGrid>
      <w:tr w:rsidR="00652B7D" w14:paraId="2C72C3E9" w14:textId="77777777">
        <w:tc>
          <w:tcPr>
            <w:tcW w:w="9350" w:type="dxa"/>
            <w:gridSpan w:val="2"/>
            <w:tcBorders>
              <w:top w:val="single" w:sz="4" w:space="0" w:color="000000"/>
              <w:left w:val="single" w:sz="4" w:space="0" w:color="000000"/>
              <w:bottom w:val="single" w:sz="4" w:space="0" w:color="000000"/>
              <w:right w:val="single" w:sz="4" w:space="0" w:color="000000"/>
            </w:tcBorders>
          </w:tcPr>
          <w:p w14:paraId="7C46352C" w14:textId="77777777" w:rsidR="00652B7D" w:rsidRDefault="00BA2B04">
            <w:pPr>
              <w:jc w:val="center"/>
              <w:rPr>
                <w:rFonts w:ascii="Nunito Sans" w:eastAsia="Nunito Sans" w:hAnsi="Nunito Sans" w:cs="Nunito Sans"/>
                <w:b/>
                <w:color w:val="000000"/>
                <w:sz w:val="22"/>
                <w:szCs w:val="22"/>
              </w:rPr>
            </w:pPr>
            <w:bookmarkStart w:id="0" w:name="_heading=h.gjdgxs" w:colFirst="0" w:colLast="0"/>
            <w:bookmarkEnd w:id="0"/>
            <w:r>
              <w:rPr>
                <w:rFonts w:ascii="Nunito Sans" w:eastAsia="Nunito Sans" w:hAnsi="Nunito Sans" w:cs="Nunito Sans"/>
                <w:b/>
                <w:color w:val="000000"/>
                <w:sz w:val="22"/>
                <w:szCs w:val="22"/>
              </w:rPr>
              <w:t>DRAFT - MINUTES</w:t>
            </w:r>
          </w:p>
        </w:tc>
      </w:tr>
      <w:tr w:rsidR="00652B7D" w14:paraId="2B0EEA7C" w14:textId="77777777">
        <w:trPr>
          <w:trHeight w:val="60"/>
        </w:trPr>
        <w:tc>
          <w:tcPr>
            <w:tcW w:w="9350" w:type="dxa"/>
            <w:gridSpan w:val="2"/>
            <w:tcBorders>
              <w:top w:val="single" w:sz="4" w:space="0" w:color="000000"/>
              <w:left w:val="single" w:sz="4" w:space="0" w:color="000000"/>
              <w:bottom w:val="single" w:sz="4" w:space="0" w:color="000000"/>
              <w:right w:val="single" w:sz="4" w:space="0" w:color="000000"/>
            </w:tcBorders>
          </w:tcPr>
          <w:p w14:paraId="49D27CEA" w14:textId="77777777" w:rsidR="00652B7D" w:rsidRDefault="00652B7D">
            <w:pPr>
              <w:rPr>
                <w:rFonts w:ascii="Nunito Sans" w:eastAsia="Nunito Sans" w:hAnsi="Nunito Sans" w:cs="Nunito Sans"/>
                <w:b/>
                <w:color w:val="000000"/>
                <w:sz w:val="22"/>
                <w:szCs w:val="22"/>
              </w:rPr>
            </w:pPr>
          </w:p>
        </w:tc>
      </w:tr>
      <w:tr w:rsidR="00652B7D" w14:paraId="5EFCE461" w14:textId="77777777">
        <w:tc>
          <w:tcPr>
            <w:tcW w:w="1795" w:type="dxa"/>
            <w:tcBorders>
              <w:top w:val="single" w:sz="4" w:space="0" w:color="000000"/>
              <w:left w:val="single" w:sz="4" w:space="0" w:color="000000"/>
              <w:bottom w:val="single" w:sz="4" w:space="0" w:color="000000"/>
              <w:right w:val="single" w:sz="4" w:space="0" w:color="000000"/>
            </w:tcBorders>
          </w:tcPr>
          <w:p w14:paraId="764669D7" w14:textId="77777777" w:rsidR="00652B7D" w:rsidRDefault="00BA2B04">
            <w:pP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Committee</w:t>
            </w:r>
          </w:p>
        </w:tc>
        <w:tc>
          <w:tcPr>
            <w:tcW w:w="7555" w:type="dxa"/>
            <w:tcBorders>
              <w:top w:val="single" w:sz="4" w:space="0" w:color="000000"/>
              <w:left w:val="single" w:sz="4" w:space="0" w:color="000000"/>
              <w:bottom w:val="single" w:sz="4" w:space="0" w:color="000000"/>
              <w:right w:val="single" w:sz="4" w:space="0" w:color="000000"/>
            </w:tcBorders>
          </w:tcPr>
          <w:p w14:paraId="0657524C" w14:textId="77777777" w:rsidR="00652B7D" w:rsidRDefault="00BA2B04">
            <w:pP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UTAH INDIGENT DEFENSE COMMISSION</w:t>
            </w:r>
          </w:p>
        </w:tc>
      </w:tr>
      <w:tr w:rsidR="00652B7D" w14:paraId="074BFE42" w14:textId="77777777">
        <w:tc>
          <w:tcPr>
            <w:tcW w:w="1795" w:type="dxa"/>
            <w:tcBorders>
              <w:top w:val="single" w:sz="4" w:space="0" w:color="000000"/>
              <w:left w:val="single" w:sz="4" w:space="0" w:color="000000"/>
              <w:bottom w:val="single" w:sz="4" w:space="0" w:color="000000"/>
              <w:right w:val="single" w:sz="4" w:space="0" w:color="000000"/>
            </w:tcBorders>
          </w:tcPr>
          <w:p w14:paraId="26D254FA" w14:textId="77777777" w:rsidR="00652B7D" w:rsidRDefault="00BA2B04">
            <w:pP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Date, Time</w:t>
            </w:r>
          </w:p>
          <w:p w14:paraId="6E12B855" w14:textId="77777777" w:rsidR="00652B7D" w:rsidRDefault="00BA2B04">
            <w:pPr>
              <w:rPr>
                <w:rFonts w:ascii="Nunito Sans" w:eastAsia="Nunito Sans" w:hAnsi="Nunito Sans" w:cs="Nunito Sans"/>
                <w:color w:val="000000"/>
                <w:sz w:val="22"/>
                <w:szCs w:val="22"/>
              </w:rPr>
            </w:pPr>
            <w:r>
              <w:rPr>
                <w:rFonts w:ascii="Nunito Sans" w:eastAsia="Nunito Sans" w:hAnsi="Nunito Sans" w:cs="Nunito Sans"/>
                <w:b/>
                <w:color w:val="000000"/>
                <w:sz w:val="22"/>
                <w:szCs w:val="22"/>
              </w:rPr>
              <w:t>Location</w:t>
            </w:r>
          </w:p>
        </w:tc>
        <w:tc>
          <w:tcPr>
            <w:tcW w:w="7555" w:type="dxa"/>
            <w:tcBorders>
              <w:top w:val="single" w:sz="4" w:space="0" w:color="000000"/>
              <w:left w:val="single" w:sz="4" w:space="0" w:color="000000"/>
              <w:bottom w:val="single" w:sz="4" w:space="0" w:color="000000"/>
              <w:right w:val="single" w:sz="4" w:space="0" w:color="000000"/>
            </w:tcBorders>
          </w:tcPr>
          <w:p w14:paraId="5F3699F3" w14:textId="77777777" w:rsidR="00652B7D" w:rsidRDefault="00BA2B04">
            <w:pPr>
              <w:spacing w:after="16"/>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 xml:space="preserve">Thursday, </w:t>
            </w:r>
            <w:r>
              <w:rPr>
                <w:rFonts w:ascii="Nunito Sans" w:eastAsia="Nunito Sans" w:hAnsi="Nunito Sans" w:cs="Nunito Sans"/>
                <w:b/>
                <w:sz w:val="22"/>
                <w:szCs w:val="22"/>
              </w:rPr>
              <w:t>March 20</w:t>
            </w:r>
            <w:r>
              <w:rPr>
                <w:rFonts w:ascii="Nunito Sans" w:eastAsia="Nunito Sans" w:hAnsi="Nunito Sans" w:cs="Nunito Sans"/>
                <w:b/>
                <w:color w:val="000000"/>
                <w:sz w:val="22"/>
                <w:szCs w:val="22"/>
              </w:rPr>
              <w:t>, 2025, 2 PM – 4 PM</w:t>
            </w:r>
          </w:p>
          <w:p w14:paraId="4CBCEFE5" w14:textId="77777777" w:rsidR="00652B7D" w:rsidRDefault="00BA2B04">
            <w:pPr>
              <w:spacing w:after="16"/>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370 E South Temple, Suite 500, Salt Lake City, UT 84111. Also, virtually via Zoom.</w:t>
            </w:r>
          </w:p>
        </w:tc>
      </w:tr>
      <w:tr w:rsidR="00652B7D" w14:paraId="25D626D4" w14:textId="77777777">
        <w:tc>
          <w:tcPr>
            <w:tcW w:w="9350" w:type="dxa"/>
            <w:gridSpan w:val="2"/>
            <w:tcBorders>
              <w:top w:val="single" w:sz="4" w:space="0" w:color="000000"/>
              <w:left w:val="single" w:sz="4" w:space="0" w:color="000000"/>
              <w:bottom w:val="single" w:sz="4" w:space="0" w:color="000000"/>
              <w:right w:val="single" w:sz="4" w:space="0" w:color="000000"/>
            </w:tcBorders>
          </w:tcPr>
          <w:p w14:paraId="0965EA32" w14:textId="77777777" w:rsidR="00652B7D" w:rsidRDefault="00652B7D">
            <w:pPr>
              <w:rPr>
                <w:rFonts w:ascii="Nunito Sans" w:eastAsia="Nunito Sans" w:hAnsi="Nunito Sans" w:cs="Nunito Sans"/>
                <w:color w:val="000000"/>
                <w:sz w:val="22"/>
                <w:szCs w:val="22"/>
              </w:rPr>
            </w:pPr>
          </w:p>
        </w:tc>
      </w:tr>
      <w:tr w:rsidR="00652B7D" w14:paraId="77E6CB21" w14:textId="77777777">
        <w:tc>
          <w:tcPr>
            <w:tcW w:w="1795" w:type="dxa"/>
            <w:tcBorders>
              <w:top w:val="single" w:sz="4" w:space="0" w:color="000000"/>
              <w:left w:val="single" w:sz="4" w:space="0" w:color="000000"/>
              <w:bottom w:val="single" w:sz="4" w:space="0" w:color="000000"/>
              <w:right w:val="single" w:sz="4" w:space="0" w:color="000000"/>
            </w:tcBorders>
          </w:tcPr>
          <w:p w14:paraId="239C625E" w14:textId="77777777" w:rsidR="00652B7D" w:rsidRDefault="00BA2B04">
            <w:pP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Commissioners Present</w:t>
            </w:r>
          </w:p>
        </w:tc>
        <w:tc>
          <w:tcPr>
            <w:tcW w:w="7555" w:type="dxa"/>
            <w:tcBorders>
              <w:top w:val="single" w:sz="4" w:space="0" w:color="000000"/>
              <w:left w:val="single" w:sz="4" w:space="0" w:color="000000"/>
              <w:bottom w:val="single" w:sz="4" w:space="0" w:color="000000"/>
              <w:right w:val="single" w:sz="4" w:space="0" w:color="000000"/>
            </w:tcBorders>
          </w:tcPr>
          <w:p w14:paraId="41767156" w14:textId="77777777" w:rsidR="00652B7D" w:rsidRDefault="00BA2B04">
            <w:pPr>
              <w:tabs>
                <w:tab w:val="left" w:pos="360"/>
                <w:tab w:val="left" w:pos="1440"/>
              </w:tabs>
              <w:rPr>
                <w:rFonts w:ascii="Nunito Sans" w:eastAsia="Nunito Sans" w:hAnsi="Nunito Sans" w:cs="Nunito Sans"/>
                <w:sz w:val="22"/>
                <w:szCs w:val="22"/>
              </w:rPr>
            </w:pPr>
            <w:r>
              <w:rPr>
                <w:rFonts w:ascii="Nunito Sans" w:eastAsia="Nunito Sans" w:hAnsi="Nunito Sans" w:cs="Nunito Sans"/>
                <w:sz w:val="22"/>
                <w:szCs w:val="22"/>
              </w:rPr>
              <w:t>Chair Lorene Kamalu, Wally Bugden, Richard Mauro, Kendall Thomas, Michael Zimmerman, Tyler Clancy, Pam Vickrey, Tom Ross, Todd Weiler, Mary Corporon.</w:t>
            </w:r>
          </w:p>
        </w:tc>
      </w:tr>
      <w:tr w:rsidR="00652B7D" w14:paraId="350AF8ED" w14:textId="77777777">
        <w:tc>
          <w:tcPr>
            <w:tcW w:w="1795" w:type="dxa"/>
            <w:tcBorders>
              <w:top w:val="single" w:sz="4" w:space="0" w:color="000000"/>
              <w:left w:val="single" w:sz="4" w:space="0" w:color="000000"/>
              <w:bottom w:val="single" w:sz="4" w:space="0" w:color="000000"/>
              <w:right w:val="single" w:sz="4" w:space="0" w:color="000000"/>
            </w:tcBorders>
          </w:tcPr>
          <w:p w14:paraId="6C0B977D" w14:textId="77777777" w:rsidR="00652B7D" w:rsidRDefault="00BA2B04">
            <w:pP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Commissioners Excused</w:t>
            </w:r>
          </w:p>
        </w:tc>
        <w:tc>
          <w:tcPr>
            <w:tcW w:w="7555" w:type="dxa"/>
            <w:tcBorders>
              <w:top w:val="single" w:sz="4" w:space="0" w:color="000000"/>
              <w:left w:val="single" w:sz="4" w:space="0" w:color="000000"/>
              <w:bottom w:val="single" w:sz="4" w:space="0" w:color="000000"/>
              <w:right w:val="single" w:sz="4" w:space="0" w:color="000000"/>
            </w:tcBorders>
          </w:tcPr>
          <w:p w14:paraId="13BF82D6" w14:textId="77777777" w:rsidR="00652B7D" w:rsidRDefault="00BA2B04">
            <w:pPr>
              <w:tabs>
                <w:tab w:val="left" w:pos="360"/>
                <w:tab w:val="left" w:pos="1440"/>
              </w:tabs>
              <w:rPr>
                <w:rFonts w:ascii="Nunito Sans" w:eastAsia="Nunito Sans" w:hAnsi="Nunito Sans" w:cs="Nunito Sans"/>
                <w:sz w:val="22"/>
                <w:szCs w:val="22"/>
              </w:rPr>
            </w:pPr>
            <w:r>
              <w:rPr>
                <w:rFonts w:ascii="Nunito Sans" w:eastAsia="Nunito Sans" w:hAnsi="Nunito Sans" w:cs="Nunito Sans"/>
                <w:sz w:val="22"/>
                <w:szCs w:val="22"/>
              </w:rPr>
              <w:t>Paul Dodd, Michael Drechsel, John Kwarm, Margaret Lindsay, Aaron McKnight.</w:t>
            </w:r>
          </w:p>
        </w:tc>
      </w:tr>
      <w:tr w:rsidR="00652B7D" w14:paraId="6D908906" w14:textId="77777777">
        <w:tc>
          <w:tcPr>
            <w:tcW w:w="9350" w:type="dxa"/>
            <w:gridSpan w:val="2"/>
            <w:tcBorders>
              <w:top w:val="single" w:sz="4" w:space="0" w:color="000000"/>
              <w:left w:val="single" w:sz="4" w:space="0" w:color="000000"/>
              <w:bottom w:val="single" w:sz="4" w:space="0" w:color="000000"/>
              <w:right w:val="single" w:sz="4" w:space="0" w:color="000000"/>
            </w:tcBorders>
          </w:tcPr>
          <w:p w14:paraId="00FC63E2" w14:textId="77777777" w:rsidR="00652B7D" w:rsidRDefault="00652B7D">
            <w:pPr>
              <w:tabs>
                <w:tab w:val="left" w:pos="360"/>
                <w:tab w:val="left" w:pos="1440"/>
              </w:tabs>
              <w:rPr>
                <w:rFonts w:ascii="Nunito Sans" w:eastAsia="Nunito Sans" w:hAnsi="Nunito Sans" w:cs="Nunito Sans"/>
                <w:sz w:val="22"/>
                <w:szCs w:val="22"/>
              </w:rPr>
            </w:pPr>
          </w:p>
        </w:tc>
      </w:tr>
      <w:tr w:rsidR="00652B7D" w14:paraId="7C3413CA" w14:textId="77777777">
        <w:tc>
          <w:tcPr>
            <w:tcW w:w="1795" w:type="dxa"/>
            <w:tcBorders>
              <w:top w:val="single" w:sz="4" w:space="0" w:color="000000"/>
              <w:left w:val="single" w:sz="4" w:space="0" w:color="000000"/>
              <w:bottom w:val="single" w:sz="4" w:space="0" w:color="000000"/>
              <w:right w:val="single" w:sz="4" w:space="0" w:color="000000"/>
            </w:tcBorders>
          </w:tcPr>
          <w:p w14:paraId="5CE5A6A9" w14:textId="77777777" w:rsidR="00652B7D" w:rsidRDefault="00BA2B04">
            <w:pP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Staff</w:t>
            </w:r>
          </w:p>
        </w:tc>
        <w:tc>
          <w:tcPr>
            <w:tcW w:w="7555" w:type="dxa"/>
            <w:tcBorders>
              <w:top w:val="single" w:sz="4" w:space="0" w:color="000000"/>
              <w:left w:val="single" w:sz="4" w:space="0" w:color="000000"/>
              <w:bottom w:val="single" w:sz="4" w:space="0" w:color="000000"/>
              <w:right w:val="single" w:sz="4" w:space="0" w:color="000000"/>
            </w:tcBorders>
          </w:tcPr>
          <w:p w14:paraId="713793F5" w14:textId="77777777" w:rsidR="00652B7D" w:rsidRDefault="00BA2B04">
            <w:pPr>
              <w:spacing w:after="16"/>
              <w:rPr>
                <w:rFonts w:ascii="Nunito Sans" w:eastAsia="Nunito Sans" w:hAnsi="Nunito Sans" w:cs="Nunito Sans"/>
                <w:sz w:val="22"/>
                <w:szCs w:val="22"/>
              </w:rPr>
            </w:pPr>
            <w:r>
              <w:rPr>
                <w:rFonts w:ascii="Nunito Sans" w:eastAsia="Nunito Sans" w:hAnsi="Nunito Sans" w:cs="Nunito Sans"/>
                <w:sz w:val="22"/>
                <w:szCs w:val="22"/>
              </w:rPr>
              <w:t xml:space="preserve">Matthew Barraza, Executive Director; Adam Trupp, Assistant Director; Katriina Adair, Grant Manager; Zoraya </w:t>
            </w:r>
            <w:proofErr w:type="spellStart"/>
            <w:r>
              <w:rPr>
                <w:rFonts w:ascii="Nunito Sans" w:eastAsia="Nunito Sans" w:hAnsi="Nunito Sans" w:cs="Nunito Sans"/>
                <w:sz w:val="22"/>
                <w:szCs w:val="22"/>
              </w:rPr>
              <w:t>Gappmaier</w:t>
            </w:r>
            <w:proofErr w:type="spellEnd"/>
            <w:r>
              <w:rPr>
                <w:rFonts w:ascii="Nunito Sans" w:eastAsia="Nunito Sans" w:hAnsi="Nunito Sans" w:cs="Nunito Sans"/>
                <w:sz w:val="22"/>
                <w:szCs w:val="22"/>
              </w:rPr>
              <w:t>, Managing and Training Attorney; Joshua Buhay, Financial Analyst; Debra Nelson, Chief Appellate Attorney.</w:t>
            </w:r>
          </w:p>
        </w:tc>
      </w:tr>
      <w:tr w:rsidR="00652B7D" w14:paraId="075CE6C3" w14:textId="77777777">
        <w:tc>
          <w:tcPr>
            <w:tcW w:w="9350" w:type="dxa"/>
            <w:gridSpan w:val="2"/>
            <w:tcBorders>
              <w:top w:val="single" w:sz="4" w:space="0" w:color="000000"/>
              <w:left w:val="single" w:sz="4" w:space="0" w:color="000000"/>
              <w:bottom w:val="single" w:sz="4" w:space="0" w:color="000000"/>
              <w:right w:val="single" w:sz="4" w:space="0" w:color="000000"/>
            </w:tcBorders>
          </w:tcPr>
          <w:p w14:paraId="74E81AE6" w14:textId="77777777" w:rsidR="00652B7D" w:rsidRDefault="00652B7D">
            <w:pPr>
              <w:spacing w:after="16"/>
              <w:rPr>
                <w:rFonts w:ascii="Nunito Sans" w:eastAsia="Nunito Sans" w:hAnsi="Nunito Sans" w:cs="Nunito Sans"/>
                <w:color w:val="000000"/>
                <w:sz w:val="22"/>
                <w:szCs w:val="22"/>
              </w:rPr>
            </w:pPr>
          </w:p>
        </w:tc>
      </w:tr>
      <w:tr w:rsidR="00652B7D" w14:paraId="3EDD3E2B" w14:textId="77777777">
        <w:tc>
          <w:tcPr>
            <w:tcW w:w="1795" w:type="dxa"/>
            <w:tcBorders>
              <w:top w:val="single" w:sz="4" w:space="0" w:color="000000"/>
              <w:left w:val="single" w:sz="4" w:space="0" w:color="000000"/>
              <w:bottom w:val="single" w:sz="4" w:space="0" w:color="000000"/>
              <w:right w:val="single" w:sz="4" w:space="0" w:color="000000"/>
            </w:tcBorders>
          </w:tcPr>
          <w:p w14:paraId="120D8E66" w14:textId="77777777" w:rsidR="00652B7D" w:rsidRDefault="00BA2B04">
            <w:pP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Guests</w:t>
            </w:r>
          </w:p>
        </w:tc>
        <w:tc>
          <w:tcPr>
            <w:tcW w:w="7555" w:type="dxa"/>
            <w:tcBorders>
              <w:top w:val="single" w:sz="4" w:space="0" w:color="000000"/>
              <w:left w:val="single" w:sz="4" w:space="0" w:color="000000"/>
              <w:bottom w:val="single" w:sz="4" w:space="0" w:color="000000"/>
              <w:right w:val="single" w:sz="4" w:space="0" w:color="000000"/>
            </w:tcBorders>
          </w:tcPr>
          <w:p w14:paraId="2D1CA471" w14:textId="77777777" w:rsidR="00652B7D" w:rsidRDefault="00BA2B04">
            <w:pPr>
              <w:pStyle w:val="Heading3"/>
              <w:rPr>
                <w:rFonts w:ascii="Nunito Sans" w:eastAsia="Nunito Sans" w:hAnsi="Nunito Sans" w:cs="Nunito Sans"/>
                <w:b w:val="0"/>
                <w:color w:val="000000"/>
              </w:rPr>
            </w:pPr>
            <w:r>
              <w:rPr>
                <w:rFonts w:ascii="Nunito Sans" w:eastAsia="Nunito Sans" w:hAnsi="Nunito Sans" w:cs="Nunito Sans"/>
                <w:b w:val="0"/>
              </w:rPr>
              <w:t>None</w:t>
            </w:r>
          </w:p>
        </w:tc>
      </w:tr>
      <w:tr w:rsidR="00652B7D" w14:paraId="448D38B8" w14:textId="77777777">
        <w:tc>
          <w:tcPr>
            <w:tcW w:w="9350" w:type="dxa"/>
            <w:gridSpan w:val="2"/>
            <w:tcBorders>
              <w:top w:val="single" w:sz="4" w:space="0" w:color="000000"/>
              <w:left w:val="single" w:sz="4" w:space="0" w:color="000000"/>
              <w:bottom w:val="single" w:sz="4" w:space="0" w:color="000000"/>
              <w:right w:val="single" w:sz="4" w:space="0" w:color="000000"/>
            </w:tcBorders>
          </w:tcPr>
          <w:p w14:paraId="48A6DD86" w14:textId="77777777" w:rsidR="00652B7D" w:rsidRDefault="00652B7D">
            <w:pPr>
              <w:pStyle w:val="Heading3"/>
              <w:rPr>
                <w:rFonts w:ascii="Nunito Sans" w:eastAsia="Nunito Sans" w:hAnsi="Nunito Sans" w:cs="Nunito Sans"/>
                <w:color w:val="000000"/>
              </w:rPr>
            </w:pPr>
          </w:p>
        </w:tc>
      </w:tr>
      <w:tr w:rsidR="00652B7D" w14:paraId="33B33C85" w14:textId="77777777">
        <w:tc>
          <w:tcPr>
            <w:tcW w:w="1795" w:type="dxa"/>
            <w:tcBorders>
              <w:top w:val="single" w:sz="4" w:space="0" w:color="000000"/>
              <w:left w:val="single" w:sz="4" w:space="0" w:color="000000"/>
              <w:bottom w:val="single" w:sz="4" w:space="0" w:color="000000"/>
              <w:right w:val="single" w:sz="4" w:space="0" w:color="000000"/>
            </w:tcBorders>
          </w:tcPr>
          <w:p w14:paraId="78C5B8EA" w14:textId="77777777" w:rsidR="00652B7D" w:rsidRDefault="00BA2B04">
            <w:pP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Agenda Item</w:t>
            </w:r>
          </w:p>
        </w:tc>
        <w:tc>
          <w:tcPr>
            <w:tcW w:w="7555" w:type="dxa"/>
            <w:tcBorders>
              <w:top w:val="single" w:sz="4" w:space="0" w:color="000000"/>
              <w:left w:val="single" w:sz="4" w:space="0" w:color="000000"/>
              <w:bottom w:val="single" w:sz="4" w:space="0" w:color="000000"/>
              <w:right w:val="single" w:sz="4" w:space="0" w:color="000000"/>
            </w:tcBorders>
          </w:tcPr>
          <w:p w14:paraId="5453F38D" w14:textId="77777777" w:rsidR="00652B7D" w:rsidRDefault="00BA2B04">
            <w:pPr>
              <w:pStyle w:val="Heading3"/>
              <w:rPr>
                <w:rFonts w:ascii="Nunito Sans" w:eastAsia="Nunito Sans" w:hAnsi="Nunito Sans" w:cs="Nunito Sans"/>
                <w:color w:val="000000"/>
              </w:rPr>
            </w:pPr>
            <w:r>
              <w:rPr>
                <w:rFonts w:ascii="Nunito Sans" w:eastAsia="Nunito Sans" w:hAnsi="Nunito Sans" w:cs="Nunito Sans"/>
                <w:color w:val="000000"/>
              </w:rPr>
              <w:t>Welcome &amp; Introductions</w:t>
            </w:r>
          </w:p>
        </w:tc>
      </w:tr>
      <w:tr w:rsidR="00652B7D" w14:paraId="236AD6FC" w14:textId="77777777">
        <w:tc>
          <w:tcPr>
            <w:tcW w:w="1795" w:type="dxa"/>
            <w:tcBorders>
              <w:top w:val="single" w:sz="4" w:space="0" w:color="000000"/>
              <w:left w:val="single" w:sz="4" w:space="0" w:color="000000"/>
              <w:bottom w:val="single" w:sz="4" w:space="0" w:color="000000"/>
              <w:right w:val="single" w:sz="4" w:space="0" w:color="000000"/>
            </w:tcBorders>
          </w:tcPr>
          <w:p w14:paraId="7E257B0D" w14:textId="77777777" w:rsidR="00652B7D" w:rsidRDefault="00652B7D">
            <w:pPr>
              <w:rPr>
                <w:rFonts w:ascii="Nunito Sans" w:eastAsia="Nunito Sans" w:hAnsi="Nunito Sans" w:cs="Nunito Sans"/>
                <w:b/>
                <w:color w:val="000000"/>
                <w:sz w:val="22"/>
                <w:szCs w:val="22"/>
              </w:rPr>
            </w:pPr>
          </w:p>
        </w:tc>
        <w:tc>
          <w:tcPr>
            <w:tcW w:w="7555" w:type="dxa"/>
            <w:tcBorders>
              <w:top w:val="single" w:sz="4" w:space="0" w:color="000000"/>
              <w:left w:val="single" w:sz="4" w:space="0" w:color="000000"/>
              <w:bottom w:val="single" w:sz="4" w:space="0" w:color="000000"/>
              <w:right w:val="single" w:sz="4" w:space="0" w:color="000000"/>
            </w:tcBorders>
          </w:tcPr>
          <w:p w14:paraId="7EEE9F86" w14:textId="77777777" w:rsidR="00652B7D" w:rsidRDefault="00BA2B04">
            <w:pPr>
              <w:rPr>
                <w:rFonts w:ascii="Nunito Sans" w:eastAsia="Nunito Sans" w:hAnsi="Nunito Sans" w:cs="Nunito Sans"/>
                <w:color w:val="000000"/>
                <w:sz w:val="22"/>
                <w:szCs w:val="22"/>
              </w:rPr>
            </w:pPr>
            <w:r>
              <w:rPr>
                <w:rFonts w:ascii="Nunito Sans" w:eastAsia="Nunito Sans" w:hAnsi="Nunito Sans" w:cs="Nunito Sans"/>
                <w:color w:val="000000"/>
                <w:sz w:val="22"/>
                <w:szCs w:val="22"/>
              </w:rPr>
              <w:t>Chair Lorene Kamalu welcomed the attendees and had them introduce themselves.</w:t>
            </w:r>
          </w:p>
        </w:tc>
      </w:tr>
      <w:tr w:rsidR="00652B7D" w14:paraId="566DD080" w14:textId="77777777">
        <w:tc>
          <w:tcPr>
            <w:tcW w:w="9350" w:type="dxa"/>
            <w:gridSpan w:val="2"/>
            <w:tcBorders>
              <w:top w:val="single" w:sz="4" w:space="0" w:color="000000"/>
              <w:left w:val="single" w:sz="4" w:space="0" w:color="000000"/>
              <w:bottom w:val="single" w:sz="4" w:space="0" w:color="000000"/>
              <w:right w:val="single" w:sz="4" w:space="0" w:color="000000"/>
            </w:tcBorders>
          </w:tcPr>
          <w:p w14:paraId="54C64C66" w14:textId="77777777" w:rsidR="00652B7D" w:rsidRDefault="00652B7D">
            <w:pPr>
              <w:rPr>
                <w:rFonts w:ascii="Nunito Sans" w:eastAsia="Nunito Sans" w:hAnsi="Nunito Sans" w:cs="Nunito Sans"/>
                <w:b/>
                <w:color w:val="000000"/>
                <w:sz w:val="22"/>
                <w:szCs w:val="22"/>
              </w:rPr>
            </w:pPr>
          </w:p>
        </w:tc>
      </w:tr>
      <w:tr w:rsidR="00652B7D" w14:paraId="5D417DB9" w14:textId="77777777">
        <w:tc>
          <w:tcPr>
            <w:tcW w:w="1795" w:type="dxa"/>
            <w:tcBorders>
              <w:top w:val="single" w:sz="4" w:space="0" w:color="000000"/>
              <w:left w:val="single" w:sz="4" w:space="0" w:color="000000"/>
              <w:bottom w:val="single" w:sz="4" w:space="0" w:color="000000"/>
              <w:right w:val="single" w:sz="4" w:space="0" w:color="000000"/>
            </w:tcBorders>
          </w:tcPr>
          <w:p w14:paraId="4DE4AA79" w14:textId="77777777" w:rsidR="00652B7D" w:rsidRDefault="00BA2B04">
            <w:pP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Agenda Item</w:t>
            </w:r>
          </w:p>
        </w:tc>
        <w:tc>
          <w:tcPr>
            <w:tcW w:w="7555" w:type="dxa"/>
            <w:tcBorders>
              <w:top w:val="single" w:sz="4" w:space="0" w:color="000000"/>
              <w:left w:val="single" w:sz="4" w:space="0" w:color="000000"/>
              <w:bottom w:val="single" w:sz="4" w:space="0" w:color="000000"/>
              <w:right w:val="single" w:sz="4" w:space="0" w:color="000000"/>
            </w:tcBorders>
          </w:tcPr>
          <w:p w14:paraId="586CB3FB" w14:textId="77777777" w:rsidR="00652B7D" w:rsidRDefault="00BA2B04">
            <w:pP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Approval of Minutes</w:t>
            </w:r>
          </w:p>
        </w:tc>
      </w:tr>
      <w:tr w:rsidR="00652B7D" w14:paraId="6CAA20E7" w14:textId="77777777">
        <w:tc>
          <w:tcPr>
            <w:tcW w:w="1795" w:type="dxa"/>
            <w:tcBorders>
              <w:top w:val="single" w:sz="4" w:space="0" w:color="000000"/>
              <w:left w:val="single" w:sz="4" w:space="0" w:color="000000"/>
              <w:bottom w:val="single" w:sz="4" w:space="0" w:color="000000"/>
              <w:right w:val="single" w:sz="4" w:space="0" w:color="000000"/>
            </w:tcBorders>
          </w:tcPr>
          <w:p w14:paraId="3480FE5F" w14:textId="77777777" w:rsidR="00652B7D" w:rsidRDefault="00652B7D">
            <w:pPr>
              <w:rPr>
                <w:rFonts w:ascii="Nunito Sans" w:eastAsia="Nunito Sans" w:hAnsi="Nunito Sans" w:cs="Nunito Sans"/>
                <w:b/>
                <w:color w:val="000000"/>
                <w:sz w:val="22"/>
                <w:szCs w:val="22"/>
              </w:rPr>
            </w:pPr>
          </w:p>
        </w:tc>
        <w:tc>
          <w:tcPr>
            <w:tcW w:w="7555" w:type="dxa"/>
            <w:tcBorders>
              <w:top w:val="single" w:sz="4" w:space="0" w:color="000000"/>
              <w:left w:val="single" w:sz="4" w:space="0" w:color="000000"/>
              <w:bottom w:val="single" w:sz="4" w:space="0" w:color="000000"/>
              <w:right w:val="single" w:sz="4" w:space="0" w:color="000000"/>
            </w:tcBorders>
          </w:tcPr>
          <w:p w14:paraId="53AB4605" w14:textId="77777777" w:rsidR="00652B7D" w:rsidRDefault="00BA2B04">
            <w:pPr>
              <w:pBdr>
                <w:top w:val="nil"/>
                <w:left w:val="nil"/>
                <w:bottom w:val="nil"/>
                <w:right w:val="nil"/>
                <w:between w:val="nil"/>
              </w:pBdr>
              <w:rPr>
                <w:rFonts w:ascii="Nunito Sans" w:eastAsia="Nunito Sans" w:hAnsi="Nunito Sans" w:cs="Nunito Sans"/>
                <w:sz w:val="22"/>
                <w:szCs w:val="22"/>
              </w:rPr>
            </w:pPr>
            <w:r>
              <w:rPr>
                <w:rFonts w:ascii="Nunito Sans" w:eastAsia="Nunito Sans" w:hAnsi="Nunito Sans" w:cs="Nunito Sans"/>
                <w:sz w:val="22"/>
                <w:szCs w:val="22"/>
              </w:rPr>
              <w:t xml:space="preserve">Commissioner Zimmerman moved to approve the previous meeting’s minutes, which </w:t>
            </w:r>
            <w:proofErr w:type="gramStart"/>
            <w:r>
              <w:rPr>
                <w:rFonts w:ascii="Nunito Sans" w:eastAsia="Nunito Sans" w:hAnsi="Nunito Sans" w:cs="Nunito Sans"/>
                <w:sz w:val="22"/>
                <w:szCs w:val="22"/>
              </w:rPr>
              <w:t>was</w:t>
            </w:r>
            <w:proofErr w:type="gramEnd"/>
            <w:r>
              <w:rPr>
                <w:rFonts w:ascii="Nunito Sans" w:eastAsia="Nunito Sans" w:hAnsi="Nunito Sans" w:cs="Nunito Sans"/>
                <w:sz w:val="22"/>
                <w:szCs w:val="22"/>
              </w:rPr>
              <w:t xml:space="preserve"> seconded by Commissioner Weiler; the motion was passed unanimously.</w:t>
            </w:r>
          </w:p>
        </w:tc>
      </w:tr>
      <w:tr w:rsidR="00652B7D" w14:paraId="5804FD02" w14:textId="77777777">
        <w:tc>
          <w:tcPr>
            <w:tcW w:w="9350" w:type="dxa"/>
            <w:gridSpan w:val="2"/>
            <w:tcBorders>
              <w:top w:val="single" w:sz="4" w:space="0" w:color="000000"/>
              <w:left w:val="single" w:sz="4" w:space="0" w:color="000000"/>
              <w:bottom w:val="single" w:sz="4" w:space="0" w:color="000000"/>
              <w:right w:val="single" w:sz="4" w:space="0" w:color="000000"/>
            </w:tcBorders>
          </w:tcPr>
          <w:p w14:paraId="55BD3E1F" w14:textId="77777777" w:rsidR="00652B7D" w:rsidRDefault="00652B7D">
            <w:pPr>
              <w:rPr>
                <w:rFonts w:ascii="Nunito Sans" w:eastAsia="Nunito Sans" w:hAnsi="Nunito Sans" w:cs="Nunito Sans"/>
                <w:b/>
                <w:color w:val="000000"/>
                <w:sz w:val="22"/>
                <w:szCs w:val="22"/>
              </w:rPr>
            </w:pPr>
          </w:p>
        </w:tc>
      </w:tr>
      <w:tr w:rsidR="00652B7D" w14:paraId="027ECF37" w14:textId="77777777">
        <w:tc>
          <w:tcPr>
            <w:tcW w:w="1795" w:type="dxa"/>
            <w:tcBorders>
              <w:top w:val="single" w:sz="4" w:space="0" w:color="000000"/>
              <w:left w:val="single" w:sz="4" w:space="0" w:color="000000"/>
              <w:bottom w:val="single" w:sz="4" w:space="0" w:color="000000"/>
              <w:right w:val="single" w:sz="4" w:space="0" w:color="000000"/>
            </w:tcBorders>
          </w:tcPr>
          <w:p w14:paraId="526B1615" w14:textId="77777777" w:rsidR="00652B7D" w:rsidRDefault="00BA2B04">
            <w:pP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Agenda Item</w:t>
            </w:r>
          </w:p>
        </w:tc>
        <w:tc>
          <w:tcPr>
            <w:tcW w:w="7555" w:type="dxa"/>
            <w:tcBorders>
              <w:top w:val="single" w:sz="4" w:space="0" w:color="000000"/>
              <w:left w:val="single" w:sz="4" w:space="0" w:color="000000"/>
              <w:bottom w:val="single" w:sz="4" w:space="0" w:color="000000"/>
              <w:right w:val="single" w:sz="4" w:space="0" w:color="000000"/>
            </w:tcBorders>
          </w:tcPr>
          <w:p w14:paraId="713B1418" w14:textId="77777777" w:rsidR="00652B7D" w:rsidRDefault="00BA2B04">
            <w:pP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Legislative Recap</w:t>
            </w:r>
          </w:p>
        </w:tc>
      </w:tr>
      <w:tr w:rsidR="00652B7D" w14:paraId="4132CA1F" w14:textId="77777777">
        <w:tc>
          <w:tcPr>
            <w:tcW w:w="1795" w:type="dxa"/>
            <w:tcBorders>
              <w:top w:val="single" w:sz="4" w:space="0" w:color="000000"/>
              <w:left w:val="single" w:sz="4" w:space="0" w:color="000000"/>
              <w:bottom w:val="single" w:sz="4" w:space="0" w:color="000000"/>
              <w:right w:val="single" w:sz="4" w:space="0" w:color="000000"/>
            </w:tcBorders>
          </w:tcPr>
          <w:p w14:paraId="55E01312" w14:textId="77777777" w:rsidR="00652B7D" w:rsidRDefault="00652B7D">
            <w:pPr>
              <w:rPr>
                <w:rFonts w:ascii="Nunito Sans" w:eastAsia="Nunito Sans" w:hAnsi="Nunito Sans" w:cs="Nunito Sans"/>
                <w:b/>
                <w:color w:val="000000"/>
                <w:sz w:val="22"/>
                <w:szCs w:val="22"/>
              </w:rPr>
            </w:pPr>
          </w:p>
        </w:tc>
        <w:tc>
          <w:tcPr>
            <w:tcW w:w="7555" w:type="dxa"/>
            <w:tcBorders>
              <w:top w:val="single" w:sz="4" w:space="0" w:color="000000"/>
              <w:left w:val="single" w:sz="4" w:space="0" w:color="000000"/>
              <w:bottom w:val="single" w:sz="4" w:space="0" w:color="000000"/>
              <w:right w:val="single" w:sz="4" w:space="0" w:color="000000"/>
            </w:tcBorders>
          </w:tcPr>
          <w:p w14:paraId="10488C2F" w14:textId="77777777" w:rsidR="00652B7D" w:rsidRDefault="00BA2B04">
            <w:pPr>
              <w:pBdr>
                <w:top w:val="nil"/>
                <w:left w:val="nil"/>
                <w:bottom w:val="nil"/>
                <w:right w:val="nil"/>
                <w:between w:val="nil"/>
              </w:pBdr>
              <w:rPr>
                <w:rFonts w:ascii="Nunito Sans" w:eastAsia="Nunito Sans" w:hAnsi="Nunito Sans" w:cs="Nunito Sans"/>
                <w:sz w:val="22"/>
                <w:szCs w:val="22"/>
              </w:rPr>
            </w:pPr>
            <w:r>
              <w:rPr>
                <w:rFonts w:ascii="Nunito Sans" w:eastAsia="Nunito Sans" w:hAnsi="Nunito Sans" w:cs="Nunito Sans"/>
                <w:sz w:val="22"/>
                <w:szCs w:val="22"/>
              </w:rPr>
              <w:t xml:space="preserve">Matthew Barraza started the presentation on a Legislative Recap covering legislation that directly affects the Indigent Defense Commission. He stated that staff had two primary funding requests: one-time supplementary funding for IADD and </w:t>
            </w:r>
            <w:proofErr w:type="gramStart"/>
            <w:r>
              <w:rPr>
                <w:rFonts w:ascii="Nunito Sans" w:eastAsia="Nunito Sans" w:hAnsi="Nunito Sans" w:cs="Nunito Sans"/>
                <w:sz w:val="22"/>
                <w:szCs w:val="22"/>
              </w:rPr>
              <w:t>reinstatement of</w:t>
            </w:r>
            <w:proofErr w:type="gramEnd"/>
            <w:r>
              <w:rPr>
                <w:rFonts w:ascii="Nunito Sans" w:eastAsia="Nunito Sans" w:hAnsi="Nunito Sans" w:cs="Nunito Sans"/>
                <w:sz w:val="22"/>
                <w:szCs w:val="22"/>
              </w:rPr>
              <w:t xml:space="preserve"> the $700k in one-time funding to continue grants from Fiscal Year 2024, both of which were appropriated.</w:t>
            </w:r>
          </w:p>
          <w:p w14:paraId="4A36AE1B" w14:textId="77777777" w:rsidR="00652B7D" w:rsidRDefault="00652B7D">
            <w:pPr>
              <w:pBdr>
                <w:top w:val="nil"/>
                <w:left w:val="nil"/>
                <w:bottom w:val="nil"/>
                <w:right w:val="nil"/>
                <w:between w:val="nil"/>
              </w:pBdr>
              <w:rPr>
                <w:rFonts w:ascii="Nunito Sans" w:eastAsia="Nunito Sans" w:hAnsi="Nunito Sans" w:cs="Nunito Sans"/>
                <w:sz w:val="22"/>
                <w:szCs w:val="22"/>
              </w:rPr>
            </w:pPr>
          </w:p>
          <w:p w14:paraId="2EC22324" w14:textId="77777777" w:rsidR="00652B7D" w:rsidRDefault="00BA2B04">
            <w:pPr>
              <w:pBdr>
                <w:top w:val="nil"/>
                <w:left w:val="nil"/>
                <w:bottom w:val="nil"/>
                <w:right w:val="nil"/>
                <w:between w:val="nil"/>
              </w:pBdr>
              <w:rPr>
                <w:rFonts w:ascii="Nunito Sans" w:eastAsia="Nunito Sans" w:hAnsi="Nunito Sans" w:cs="Nunito Sans"/>
                <w:sz w:val="22"/>
                <w:szCs w:val="22"/>
              </w:rPr>
            </w:pPr>
            <w:r>
              <w:rPr>
                <w:rFonts w:ascii="Nunito Sans" w:eastAsia="Nunito Sans" w:hAnsi="Nunito Sans" w:cs="Nunito Sans"/>
                <w:sz w:val="22"/>
                <w:szCs w:val="22"/>
              </w:rPr>
              <w:t xml:space="preserve">Matthew Barraza brought up bill SB 171, sponsored by Senator Weiler and Representative Clancy. This bill created a Juvenile Defense fund, which counties may </w:t>
            </w:r>
            <w:proofErr w:type="gramStart"/>
            <w:r>
              <w:rPr>
                <w:rFonts w:ascii="Nunito Sans" w:eastAsia="Nunito Sans" w:hAnsi="Nunito Sans" w:cs="Nunito Sans"/>
                <w:sz w:val="22"/>
                <w:szCs w:val="22"/>
              </w:rPr>
              <w:t>contribute to</w:t>
            </w:r>
            <w:proofErr w:type="gramEnd"/>
            <w:r>
              <w:rPr>
                <w:rFonts w:ascii="Nunito Sans" w:eastAsia="Nunito Sans" w:hAnsi="Nunito Sans" w:cs="Nunito Sans"/>
                <w:sz w:val="22"/>
                <w:szCs w:val="22"/>
              </w:rPr>
              <w:t xml:space="preserve"> annually. The IDC would use the funds to administer and assist in regionalization projects for youth defense to </w:t>
            </w:r>
            <w:r>
              <w:rPr>
                <w:rFonts w:ascii="Nunito Sans" w:eastAsia="Nunito Sans" w:hAnsi="Nunito Sans" w:cs="Nunito Sans"/>
                <w:sz w:val="22"/>
                <w:szCs w:val="22"/>
              </w:rPr>
              <w:lastRenderedPageBreak/>
              <w:t>implement changes suggested by The Gault Center’s assessment of Utah’s youth defense systems.</w:t>
            </w:r>
          </w:p>
          <w:p w14:paraId="68CAF40B" w14:textId="77777777" w:rsidR="00652B7D" w:rsidRDefault="00652B7D">
            <w:pPr>
              <w:pBdr>
                <w:top w:val="nil"/>
                <w:left w:val="nil"/>
                <w:bottom w:val="nil"/>
                <w:right w:val="nil"/>
                <w:between w:val="nil"/>
              </w:pBdr>
              <w:rPr>
                <w:rFonts w:ascii="Nunito Sans" w:eastAsia="Nunito Sans" w:hAnsi="Nunito Sans" w:cs="Nunito Sans"/>
                <w:sz w:val="22"/>
                <w:szCs w:val="22"/>
              </w:rPr>
            </w:pPr>
          </w:p>
          <w:p w14:paraId="4D012D47" w14:textId="77777777" w:rsidR="00652B7D" w:rsidRDefault="00BA2B04">
            <w:pPr>
              <w:pBdr>
                <w:top w:val="nil"/>
                <w:left w:val="nil"/>
                <w:bottom w:val="nil"/>
                <w:right w:val="nil"/>
                <w:between w:val="nil"/>
              </w:pBdr>
              <w:rPr>
                <w:rFonts w:ascii="Nunito Sans" w:eastAsia="Nunito Sans" w:hAnsi="Nunito Sans" w:cs="Nunito Sans"/>
                <w:sz w:val="22"/>
                <w:szCs w:val="22"/>
              </w:rPr>
            </w:pPr>
            <w:r>
              <w:rPr>
                <w:rFonts w:ascii="Nunito Sans" w:eastAsia="Nunito Sans" w:hAnsi="Nunito Sans" w:cs="Nunito Sans"/>
                <w:sz w:val="22"/>
                <w:szCs w:val="22"/>
              </w:rPr>
              <w:t xml:space="preserve">Matthew Barraza discussed bill SB 157, which originated with an IDC innovation grant awarded to UJDA in 2024 to create a position for an on-call attorney to answer questions from youth and their families regarding offers of Non Judicial Adjustment (NJA). The bill expanded the project statewide and was expected to reduce delinquency petitions by 400 per year. </w:t>
            </w:r>
          </w:p>
        </w:tc>
      </w:tr>
      <w:tr w:rsidR="00652B7D" w14:paraId="6C239853" w14:textId="77777777">
        <w:tc>
          <w:tcPr>
            <w:tcW w:w="9350" w:type="dxa"/>
            <w:gridSpan w:val="2"/>
            <w:tcBorders>
              <w:top w:val="single" w:sz="4" w:space="0" w:color="000000"/>
              <w:left w:val="single" w:sz="4" w:space="0" w:color="000000"/>
              <w:bottom w:val="single" w:sz="4" w:space="0" w:color="000000"/>
              <w:right w:val="single" w:sz="4" w:space="0" w:color="000000"/>
            </w:tcBorders>
          </w:tcPr>
          <w:p w14:paraId="5480CC1F" w14:textId="77777777" w:rsidR="00652B7D" w:rsidRDefault="00652B7D">
            <w:pPr>
              <w:pBdr>
                <w:top w:val="nil"/>
                <w:left w:val="nil"/>
                <w:bottom w:val="nil"/>
                <w:right w:val="nil"/>
                <w:between w:val="nil"/>
              </w:pBdr>
              <w:rPr>
                <w:rFonts w:ascii="Nunito Sans" w:eastAsia="Nunito Sans" w:hAnsi="Nunito Sans" w:cs="Nunito Sans"/>
                <w:b/>
                <w:color w:val="000000"/>
                <w:sz w:val="22"/>
                <w:szCs w:val="22"/>
              </w:rPr>
            </w:pPr>
          </w:p>
        </w:tc>
      </w:tr>
      <w:tr w:rsidR="00652B7D" w14:paraId="5874DB7A" w14:textId="77777777">
        <w:tc>
          <w:tcPr>
            <w:tcW w:w="1795" w:type="dxa"/>
            <w:tcBorders>
              <w:top w:val="single" w:sz="4" w:space="0" w:color="000000"/>
              <w:left w:val="single" w:sz="4" w:space="0" w:color="000000"/>
              <w:bottom w:val="single" w:sz="4" w:space="0" w:color="000000"/>
              <w:right w:val="single" w:sz="4" w:space="0" w:color="000000"/>
            </w:tcBorders>
          </w:tcPr>
          <w:p w14:paraId="2C97AAE7" w14:textId="77777777" w:rsidR="00652B7D" w:rsidRDefault="00BA2B04">
            <w:pPr>
              <w:pBdr>
                <w:top w:val="nil"/>
                <w:left w:val="nil"/>
                <w:bottom w:val="nil"/>
                <w:right w:val="nil"/>
                <w:between w:val="nil"/>
              </w:pBd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Agenda Item</w:t>
            </w:r>
          </w:p>
        </w:tc>
        <w:tc>
          <w:tcPr>
            <w:tcW w:w="7555" w:type="dxa"/>
            <w:tcBorders>
              <w:top w:val="single" w:sz="4" w:space="0" w:color="000000"/>
              <w:left w:val="single" w:sz="4" w:space="0" w:color="000000"/>
              <w:bottom w:val="single" w:sz="4" w:space="0" w:color="000000"/>
              <w:right w:val="single" w:sz="4" w:space="0" w:color="000000"/>
            </w:tcBorders>
          </w:tcPr>
          <w:p w14:paraId="51843868" w14:textId="77777777" w:rsidR="00652B7D" w:rsidRDefault="00BA2B04">
            <w:pPr>
              <w:pBdr>
                <w:top w:val="nil"/>
                <w:left w:val="nil"/>
                <w:bottom w:val="nil"/>
                <w:right w:val="nil"/>
                <w:between w:val="nil"/>
              </w:pBd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Collaborative Meeting Schedule</w:t>
            </w:r>
          </w:p>
        </w:tc>
      </w:tr>
      <w:tr w:rsidR="00652B7D" w14:paraId="32755F71" w14:textId="77777777">
        <w:tc>
          <w:tcPr>
            <w:tcW w:w="1795" w:type="dxa"/>
            <w:tcBorders>
              <w:top w:val="single" w:sz="4" w:space="0" w:color="000000"/>
              <w:left w:val="single" w:sz="4" w:space="0" w:color="000000"/>
              <w:bottom w:val="single" w:sz="4" w:space="0" w:color="000000"/>
              <w:right w:val="single" w:sz="4" w:space="0" w:color="000000"/>
            </w:tcBorders>
          </w:tcPr>
          <w:p w14:paraId="1614AE2A" w14:textId="77777777" w:rsidR="00652B7D" w:rsidRDefault="00652B7D">
            <w:pPr>
              <w:pBdr>
                <w:top w:val="nil"/>
                <w:left w:val="nil"/>
                <w:bottom w:val="nil"/>
                <w:right w:val="nil"/>
                <w:between w:val="nil"/>
              </w:pBdr>
              <w:rPr>
                <w:rFonts w:ascii="Nunito Sans" w:eastAsia="Nunito Sans" w:hAnsi="Nunito Sans" w:cs="Nunito Sans"/>
                <w:b/>
                <w:color w:val="000000"/>
                <w:sz w:val="22"/>
                <w:szCs w:val="22"/>
              </w:rPr>
            </w:pPr>
          </w:p>
        </w:tc>
        <w:tc>
          <w:tcPr>
            <w:tcW w:w="7555" w:type="dxa"/>
            <w:tcBorders>
              <w:top w:val="single" w:sz="4" w:space="0" w:color="000000"/>
              <w:left w:val="single" w:sz="4" w:space="0" w:color="000000"/>
              <w:bottom w:val="single" w:sz="4" w:space="0" w:color="000000"/>
              <w:right w:val="single" w:sz="4" w:space="0" w:color="000000"/>
            </w:tcBorders>
          </w:tcPr>
          <w:p w14:paraId="326A48BE" w14:textId="77777777" w:rsidR="00652B7D" w:rsidRDefault="00BA2B04">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t xml:space="preserve">Katriina Adair welcomed the </w:t>
            </w:r>
            <w:r>
              <w:rPr>
                <w:rFonts w:ascii="Nunito Sans" w:eastAsia="Nunito Sans" w:hAnsi="Nunito Sans" w:cs="Nunito Sans"/>
                <w:sz w:val="22"/>
                <w:szCs w:val="22"/>
              </w:rPr>
              <w:t>c</w:t>
            </w:r>
            <w:r>
              <w:rPr>
                <w:rFonts w:ascii="Nunito Sans" w:eastAsia="Nunito Sans" w:hAnsi="Nunito Sans" w:cs="Nunito Sans"/>
                <w:color w:val="000000"/>
                <w:sz w:val="22"/>
                <w:szCs w:val="22"/>
              </w:rPr>
              <w:t xml:space="preserve">ommissioners to attend the </w:t>
            </w:r>
            <w:r>
              <w:rPr>
                <w:rFonts w:ascii="Nunito Sans" w:eastAsia="Nunito Sans" w:hAnsi="Nunito Sans" w:cs="Nunito Sans"/>
                <w:sz w:val="22"/>
                <w:szCs w:val="22"/>
              </w:rPr>
              <w:t>c</w:t>
            </w:r>
            <w:r>
              <w:rPr>
                <w:rFonts w:ascii="Nunito Sans" w:eastAsia="Nunito Sans" w:hAnsi="Nunito Sans" w:cs="Nunito Sans"/>
                <w:color w:val="000000"/>
                <w:sz w:val="22"/>
                <w:szCs w:val="22"/>
              </w:rPr>
              <w:t xml:space="preserve">ollaborative </w:t>
            </w:r>
            <w:r>
              <w:rPr>
                <w:rFonts w:ascii="Nunito Sans" w:eastAsia="Nunito Sans" w:hAnsi="Nunito Sans" w:cs="Nunito Sans"/>
                <w:sz w:val="22"/>
                <w:szCs w:val="22"/>
              </w:rPr>
              <w:t>g</w:t>
            </w:r>
            <w:r>
              <w:rPr>
                <w:rFonts w:ascii="Nunito Sans" w:eastAsia="Nunito Sans" w:hAnsi="Nunito Sans" w:cs="Nunito Sans"/>
                <w:color w:val="000000"/>
                <w:sz w:val="22"/>
                <w:szCs w:val="22"/>
              </w:rPr>
              <w:t xml:space="preserve">rant planning meetings with </w:t>
            </w:r>
            <w:r>
              <w:rPr>
                <w:rFonts w:ascii="Nunito Sans" w:eastAsia="Nunito Sans" w:hAnsi="Nunito Sans" w:cs="Nunito Sans"/>
                <w:sz w:val="22"/>
                <w:szCs w:val="22"/>
              </w:rPr>
              <w:t>systems who are applying for grant funding and</w:t>
            </w:r>
            <w:r>
              <w:rPr>
                <w:rFonts w:ascii="Nunito Sans" w:eastAsia="Nunito Sans" w:hAnsi="Nunito Sans" w:cs="Nunito Sans"/>
                <w:color w:val="000000"/>
                <w:sz w:val="22"/>
                <w:szCs w:val="22"/>
              </w:rPr>
              <w:t xml:space="preserve"> shared the schedule with them. </w:t>
            </w:r>
            <w:r>
              <w:rPr>
                <w:rFonts w:ascii="Nunito Sans" w:eastAsia="Nunito Sans" w:hAnsi="Nunito Sans" w:cs="Nunito Sans"/>
                <w:sz w:val="22"/>
                <w:szCs w:val="22"/>
              </w:rPr>
              <w:t>Commissioners will have an opportunity to review the grant applications prior to voting on the funding decisions</w:t>
            </w:r>
            <w:r>
              <w:rPr>
                <w:rFonts w:ascii="Nunito Sans" w:eastAsia="Nunito Sans" w:hAnsi="Nunito Sans" w:cs="Nunito Sans"/>
                <w:color w:val="000000"/>
                <w:sz w:val="22"/>
                <w:szCs w:val="22"/>
              </w:rPr>
              <w:t>.</w:t>
            </w:r>
          </w:p>
        </w:tc>
      </w:tr>
      <w:tr w:rsidR="00652B7D" w14:paraId="02FEC96A" w14:textId="77777777">
        <w:tc>
          <w:tcPr>
            <w:tcW w:w="9350" w:type="dxa"/>
            <w:gridSpan w:val="2"/>
            <w:tcBorders>
              <w:top w:val="single" w:sz="4" w:space="0" w:color="000000"/>
              <w:left w:val="single" w:sz="4" w:space="0" w:color="000000"/>
              <w:bottom w:val="single" w:sz="4" w:space="0" w:color="000000"/>
              <w:right w:val="single" w:sz="4" w:space="0" w:color="000000"/>
            </w:tcBorders>
          </w:tcPr>
          <w:p w14:paraId="5BDB314A" w14:textId="77777777" w:rsidR="00652B7D" w:rsidRDefault="00652B7D">
            <w:pPr>
              <w:pBdr>
                <w:top w:val="nil"/>
                <w:left w:val="nil"/>
                <w:bottom w:val="nil"/>
                <w:right w:val="nil"/>
                <w:between w:val="nil"/>
              </w:pBdr>
              <w:rPr>
                <w:rFonts w:ascii="Nunito Sans" w:eastAsia="Nunito Sans" w:hAnsi="Nunito Sans" w:cs="Nunito Sans"/>
                <w:b/>
                <w:color w:val="000000"/>
                <w:sz w:val="22"/>
                <w:szCs w:val="22"/>
              </w:rPr>
            </w:pPr>
          </w:p>
        </w:tc>
      </w:tr>
      <w:tr w:rsidR="00652B7D" w14:paraId="775B6ED6" w14:textId="77777777">
        <w:tc>
          <w:tcPr>
            <w:tcW w:w="1795" w:type="dxa"/>
            <w:tcBorders>
              <w:top w:val="single" w:sz="4" w:space="0" w:color="000000"/>
              <w:left w:val="single" w:sz="4" w:space="0" w:color="000000"/>
              <w:bottom w:val="single" w:sz="4" w:space="0" w:color="000000"/>
              <w:right w:val="single" w:sz="4" w:space="0" w:color="000000"/>
            </w:tcBorders>
          </w:tcPr>
          <w:p w14:paraId="03819FB5" w14:textId="77777777" w:rsidR="00652B7D" w:rsidRDefault="00BA2B04">
            <w:pPr>
              <w:pBdr>
                <w:top w:val="nil"/>
                <w:left w:val="nil"/>
                <w:bottom w:val="nil"/>
                <w:right w:val="nil"/>
                <w:between w:val="nil"/>
              </w:pBd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Agenda Item</w:t>
            </w:r>
          </w:p>
        </w:tc>
        <w:tc>
          <w:tcPr>
            <w:tcW w:w="7555" w:type="dxa"/>
            <w:tcBorders>
              <w:top w:val="single" w:sz="4" w:space="0" w:color="000000"/>
              <w:left w:val="single" w:sz="4" w:space="0" w:color="000000"/>
              <w:bottom w:val="single" w:sz="4" w:space="0" w:color="000000"/>
              <w:right w:val="single" w:sz="4" w:space="0" w:color="000000"/>
            </w:tcBorders>
          </w:tcPr>
          <w:p w14:paraId="1ED89F13" w14:textId="77777777" w:rsidR="00652B7D" w:rsidRDefault="00BA2B04">
            <w:pPr>
              <w:pBdr>
                <w:top w:val="nil"/>
                <w:left w:val="nil"/>
                <w:bottom w:val="nil"/>
                <w:right w:val="nil"/>
                <w:between w:val="nil"/>
              </w:pBd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Juvenile Court Transfer Rule</w:t>
            </w:r>
          </w:p>
        </w:tc>
      </w:tr>
      <w:tr w:rsidR="00652B7D" w14:paraId="02B73401" w14:textId="77777777">
        <w:tc>
          <w:tcPr>
            <w:tcW w:w="1795" w:type="dxa"/>
            <w:tcBorders>
              <w:top w:val="single" w:sz="4" w:space="0" w:color="000000"/>
              <w:left w:val="single" w:sz="4" w:space="0" w:color="000000"/>
              <w:bottom w:val="single" w:sz="4" w:space="0" w:color="000000"/>
              <w:right w:val="single" w:sz="4" w:space="0" w:color="000000"/>
            </w:tcBorders>
          </w:tcPr>
          <w:p w14:paraId="09B7FB9F" w14:textId="77777777" w:rsidR="00652B7D" w:rsidRDefault="00652B7D">
            <w:pPr>
              <w:pBdr>
                <w:top w:val="nil"/>
                <w:left w:val="nil"/>
                <w:bottom w:val="nil"/>
                <w:right w:val="nil"/>
                <w:between w:val="nil"/>
              </w:pBdr>
              <w:rPr>
                <w:rFonts w:ascii="Nunito Sans" w:eastAsia="Nunito Sans" w:hAnsi="Nunito Sans" w:cs="Nunito Sans"/>
                <w:b/>
                <w:color w:val="000000"/>
                <w:sz w:val="22"/>
                <w:szCs w:val="22"/>
              </w:rPr>
            </w:pPr>
          </w:p>
        </w:tc>
        <w:tc>
          <w:tcPr>
            <w:tcW w:w="7555" w:type="dxa"/>
            <w:tcBorders>
              <w:top w:val="single" w:sz="4" w:space="0" w:color="000000"/>
              <w:left w:val="single" w:sz="4" w:space="0" w:color="000000"/>
              <w:bottom w:val="single" w:sz="4" w:space="0" w:color="000000"/>
              <w:right w:val="single" w:sz="4" w:space="0" w:color="000000"/>
            </w:tcBorders>
          </w:tcPr>
          <w:p w14:paraId="723CC5F8" w14:textId="77777777" w:rsidR="00652B7D" w:rsidRDefault="00BA2B04">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t xml:space="preserve">Commissioner Vickrey stated that Transfer cases were particularly resource intensive with nuanced statutory language. She continued to state that many attorneys who take or are assigned to Transfer cases do not have sufficient experience or expertise with the statute, which results in difficult outcomes to cases. Commissioner Vickrey </w:t>
            </w:r>
            <w:r>
              <w:rPr>
                <w:rFonts w:ascii="Nunito Sans" w:eastAsia="Nunito Sans" w:hAnsi="Nunito Sans" w:cs="Nunito Sans"/>
                <w:sz w:val="22"/>
                <w:szCs w:val="22"/>
              </w:rPr>
              <w:t>suggested that</w:t>
            </w:r>
            <w:r>
              <w:rPr>
                <w:rFonts w:ascii="Nunito Sans" w:eastAsia="Nunito Sans" w:hAnsi="Nunito Sans" w:cs="Nunito Sans"/>
                <w:color w:val="000000"/>
                <w:sz w:val="22"/>
                <w:szCs w:val="22"/>
              </w:rPr>
              <w:t xml:space="preserve"> the IDC should send a letter to the Rules of Juvenile Procedure Committee to create a role for public defenders in Transfer cases similar to the Rule 8 Qualification requirement for attorneys in Death Penalty cases.</w:t>
            </w:r>
          </w:p>
          <w:p w14:paraId="2083B8AD" w14:textId="77777777" w:rsidR="00652B7D" w:rsidRDefault="00652B7D">
            <w:pPr>
              <w:pBdr>
                <w:top w:val="nil"/>
                <w:left w:val="nil"/>
                <w:bottom w:val="nil"/>
                <w:right w:val="nil"/>
                <w:between w:val="nil"/>
              </w:pBdr>
              <w:rPr>
                <w:rFonts w:ascii="Nunito Sans" w:eastAsia="Nunito Sans" w:hAnsi="Nunito Sans" w:cs="Nunito Sans"/>
                <w:color w:val="000000"/>
                <w:sz w:val="22"/>
                <w:szCs w:val="22"/>
              </w:rPr>
            </w:pPr>
          </w:p>
          <w:p w14:paraId="785088CE" w14:textId="77777777" w:rsidR="00652B7D" w:rsidRDefault="00BA2B04">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t xml:space="preserve">Matthew Barraza noted that Commissioner Vickrey and Commissioner Mauro’s offices often worked together on transfer cases due to the possibility of cases moving from the Juvenile system to the </w:t>
            </w:r>
            <w:proofErr w:type="gramStart"/>
            <w:r>
              <w:rPr>
                <w:rFonts w:ascii="Nunito Sans" w:eastAsia="Nunito Sans" w:hAnsi="Nunito Sans" w:cs="Nunito Sans"/>
                <w:color w:val="000000"/>
                <w:sz w:val="22"/>
                <w:szCs w:val="22"/>
              </w:rPr>
              <w:t>Adult</w:t>
            </w:r>
            <w:proofErr w:type="gramEnd"/>
            <w:r>
              <w:rPr>
                <w:rFonts w:ascii="Nunito Sans" w:eastAsia="Nunito Sans" w:hAnsi="Nunito Sans" w:cs="Nunito Sans"/>
                <w:color w:val="000000"/>
                <w:sz w:val="22"/>
                <w:szCs w:val="22"/>
              </w:rPr>
              <w:t xml:space="preserve"> system. He asked if that was the case in other counties, to which Commissioner Vickrey responded no and noted that the cooperation between the offices was particularly important to ensure a seamless transition in representation between justice systems.</w:t>
            </w:r>
          </w:p>
          <w:p w14:paraId="449D3D5F" w14:textId="77777777" w:rsidR="00652B7D" w:rsidRDefault="00652B7D">
            <w:pPr>
              <w:pBdr>
                <w:top w:val="nil"/>
                <w:left w:val="nil"/>
                <w:bottom w:val="nil"/>
                <w:right w:val="nil"/>
                <w:between w:val="nil"/>
              </w:pBdr>
              <w:rPr>
                <w:rFonts w:ascii="Nunito Sans" w:eastAsia="Nunito Sans" w:hAnsi="Nunito Sans" w:cs="Nunito Sans"/>
                <w:color w:val="000000"/>
                <w:sz w:val="22"/>
                <w:szCs w:val="22"/>
              </w:rPr>
            </w:pPr>
          </w:p>
          <w:p w14:paraId="5F484D23" w14:textId="77777777" w:rsidR="00652B7D" w:rsidRDefault="00BA2B04">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t xml:space="preserve">Commissioner Ross asked if creating a Rule 8-style rule for Transfer cases might restrict the pool of eligible attorneys to too small of a group to be accessible, to which Commissioner Bugden responded that he did not have any concerns regarding restricting access to defense via the implementation of a Rule 8-style rule. </w:t>
            </w:r>
          </w:p>
          <w:p w14:paraId="73C41991" w14:textId="77777777" w:rsidR="00652B7D" w:rsidRDefault="00652B7D">
            <w:pPr>
              <w:pBdr>
                <w:top w:val="nil"/>
                <w:left w:val="nil"/>
                <w:bottom w:val="nil"/>
                <w:right w:val="nil"/>
                <w:between w:val="nil"/>
              </w:pBdr>
              <w:rPr>
                <w:rFonts w:ascii="Nunito Sans" w:eastAsia="Nunito Sans" w:hAnsi="Nunito Sans" w:cs="Nunito Sans"/>
                <w:color w:val="000000"/>
                <w:sz w:val="22"/>
                <w:szCs w:val="22"/>
              </w:rPr>
            </w:pPr>
          </w:p>
          <w:p w14:paraId="4515D86C" w14:textId="77777777" w:rsidR="00652B7D" w:rsidRDefault="00BA2B04">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lastRenderedPageBreak/>
              <w:t>Commissioner Mauro stated his opinion that Commissioner Vickrey’s rule made sense, comparing the issues with qualified attorneys for Transfer cases to the issues with Death Penalty Case-experienced attorneys in the 1980’s that precluded and led to the implementation of Rule 8 qualifications.</w:t>
            </w:r>
          </w:p>
          <w:p w14:paraId="721C6DBD" w14:textId="77777777" w:rsidR="00652B7D" w:rsidRDefault="00652B7D">
            <w:pPr>
              <w:pBdr>
                <w:top w:val="nil"/>
                <w:left w:val="nil"/>
                <w:bottom w:val="nil"/>
                <w:right w:val="nil"/>
                <w:between w:val="nil"/>
              </w:pBdr>
              <w:rPr>
                <w:rFonts w:ascii="Nunito Sans" w:eastAsia="Nunito Sans" w:hAnsi="Nunito Sans" w:cs="Nunito Sans"/>
                <w:color w:val="000000"/>
                <w:sz w:val="22"/>
                <w:szCs w:val="22"/>
              </w:rPr>
            </w:pPr>
          </w:p>
          <w:p w14:paraId="47AAE8F1" w14:textId="77777777" w:rsidR="00652B7D" w:rsidRDefault="00BA2B04">
            <w:pPr>
              <w:pBdr>
                <w:top w:val="nil"/>
                <w:left w:val="nil"/>
                <w:bottom w:val="nil"/>
                <w:right w:val="nil"/>
                <w:between w:val="nil"/>
              </w:pBdr>
            </w:pPr>
            <w:r>
              <w:rPr>
                <w:rFonts w:ascii="Nunito Sans" w:eastAsia="Nunito Sans" w:hAnsi="Nunito Sans" w:cs="Nunito Sans"/>
                <w:color w:val="000000"/>
                <w:sz w:val="22"/>
                <w:szCs w:val="22"/>
              </w:rPr>
              <w:t>Matthew Barraza stated that the IDC could collaborate with Commissioner Vickrey and Commissioner Mauro’s offices to draft language for a Rule 8-style qualification for Transfer cases. Commissioner Vickrey stated that she would take the lead in finding the right place to send the request for such a rule to be implemented. Matthew Barraza noted that the request document would need to be approved by the Commission and that he and Adam Trupp could collaborate with Commissioner Vickrey to draft the request and t</w:t>
            </w:r>
            <w:r>
              <w:rPr>
                <w:rFonts w:ascii="Nunito Sans" w:eastAsia="Nunito Sans" w:hAnsi="Nunito Sans" w:cs="Nunito Sans"/>
                <w:color w:val="000000"/>
                <w:sz w:val="22"/>
                <w:szCs w:val="22"/>
              </w:rPr>
              <w:t>hen present it for approval at the next meeting.</w:t>
            </w:r>
          </w:p>
        </w:tc>
      </w:tr>
      <w:tr w:rsidR="00652B7D" w14:paraId="074F4704" w14:textId="77777777">
        <w:tc>
          <w:tcPr>
            <w:tcW w:w="9350" w:type="dxa"/>
            <w:gridSpan w:val="2"/>
            <w:tcBorders>
              <w:top w:val="single" w:sz="4" w:space="0" w:color="000000"/>
              <w:left w:val="single" w:sz="4" w:space="0" w:color="000000"/>
              <w:bottom w:val="single" w:sz="4" w:space="0" w:color="000000"/>
              <w:right w:val="single" w:sz="4" w:space="0" w:color="000000"/>
            </w:tcBorders>
          </w:tcPr>
          <w:p w14:paraId="4952C4A8" w14:textId="77777777" w:rsidR="00652B7D" w:rsidRDefault="00652B7D">
            <w:pPr>
              <w:pBdr>
                <w:top w:val="nil"/>
                <w:left w:val="nil"/>
                <w:bottom w:val="nil"/>
                <w:right w:val="nil"/>
                <w:between w:val="nil"/>
              </w:pBdr>
              <w:rPr>
                <w:rFonts w:ascii="Nunito Sans" w:eastAsia="Nunito Sans" w:hAnsi="Nunito Sans" w:cs="Nunito Sans"/>
                <w:b/>
                <w:color w:val="000000"/>
                <w:sz w:val="22"/>
                <w:szCs w:val="22"/>
              </w:rPr>
            </w:pPr>
          </w:p>
        </w:tc>
      </w:tr>
      <w:tr w:rsidR="00652B7D" w14:paraId="2F40573D" w14:textId="77777777">
        <w:tc>
          <w:tcPr>
            <w:tcW w:w="1795" w:type="dxa"/>
            <w:tcBorders>
              <w:top w:val="single" w:sz="4" w:space="0" w:color="000000"/>
              <w:left w:val="single" w:sz="4" w:space="0" w:color="000000"/>
              <w:bottom w:val="single" w:sz="4" w:space="0" w:color="000000"/>
              <w:right w:val="single" w:sz="4" w:space="0" w:color="000000"/>
            </w:tcBorders>
          </w:tcPr>
          <w:p w14:paraId="076410BD" w14:textId="77777777" w:rsidR="00652B7D" w:rsidRDefault="00BA2B04">
            <w:pP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Agenda Item</w:t>
            </w:r>
          </w:p>
        </w:tc>
        <w:tc>
          <w:tcPr>
            <w:tcW w:w="7555" w:type="dxa"/>
            <w:tcBorders>
              <w:top w:val="single" w:sz="4" w:space="0" w:color="000000"/>
              <w:left w:val="single" w:sz="4" w:space="0" w:color="000000"/>
              <w:bottom w:val="single" w:sz="4" w:space="0" w:color="000000"/>
              <w:right w:val="single" w:sz="4" w:space="0" w:color="000000"/>
            </w:tcBorders>
          </w:tcPr>
          <w:p w14:paraId="24E2E38D" w14:textId="77777777" w:rsidR="00652B7D" w:rsidRDefault="00BA2B04">
            <w:pPr>
              <w:pBdr>
                <w:top w:val="nil"/>
                <w:left w:val="nil"/>
                <w:bottom w:val="nil"/>
                <w:right w:val="nil"/>
                <w:between w:val="nil"/>
              </w:pBd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Other Business</w:t>
            </w:r>
          </w:p>
        </w:tc>
      </w:tr>
      <w:tr w:rsidR="00652B7D" w14:paraId="4203CD53" w14:textId="77777777">
        <w:tc>
          <w:tcPr>
            <w:tcW w:w="1795" w:type="dxa"/>
            <w:tcBorders>
              <w:top w:val="single" w:sz="4" w:space="0" w:color="000000"/>
              <w:left w:val="single" w:sz="4" w:space="0" w:color="000000"/>
              <w:bottom w:val="single" w:sz="4" w:space="0" w:color="000000"/>
              <w:right w:val="single" w:sz="4" w:space="0" w:color="000000"/>
            </w:tcBorders>
          </w:tcPr>
          <w:p w14:paraId="525F8FC8" w14:textId="77777777" w:rsidR="00652B7D" w:rsidRDefault="00652B7D">
            <w:pPr>
              <w:rPr>
                <w:rFonts w:ascii="Nunito Sans" w:eastAsia="Nunito Sans" w:hAnsi="Nunito Sans" w:cs="Nunito Sans"/>
                <w:b/>
                <w:color w:val="000000"/>
                <w:sz w:val="22"/>
                <w:szCs w:val="22"/>
              </w:rPr>
            </w:pPr>
          </w:p>
        </w:tc>
        <w:tc>
          <w:tcPr>
            <w:tcW w:w="7555" w:type="dxa"/>
            <w:tcBorders>
              <w:top w:val="single" w:sz="4" w:space="0" w:color="000000"/>
              <w:left w:val="single" w:sz="4" w:space="0" w:color="000000"/>
              <w:bottom w:val="single" w:sz="4" w:space="0" w:color="000000"/>
              <w:right w:val="single" w:sz="4" w:space="0" w:color="000000"/>
            </w:tcBorders>
          </w:tcPr>
          <w:p w14:paraId="371BD694" w14:textId="77777777" w:rsidR="00652B7D" w:rsidRDefault="00BA2B04">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t>None</w:t>
            </w:r>
          </w:p>
        </w:tc>
      </w:tr>
      <w:tr w:rsidR="00652B7D" w14:paraId="09167484" w14:textId="77777777">
        <w:tc>
          <w:tcPr>
            <w:tcW w:w="1795" w:type="dxa"/>
            <w:tcBorders>
              <w:top w:val="single" w:sz="4" w:space="0" w:color="000000"/>
              <w:left w:val="single" w:sz="4" w:space="0" w:color="000000"/>
              <w:bottom w:val="single" w:sz="4" w:space="0" w:color="000000"/>
              <w:right w:val="single" w:sz="4" w:space="0" w:color="000000"/>
            </w:tcBorders>
          </w:tcPr>
          <w:p w14:paraId="26E8AFA9" w14:textId="77777777" w:rsidR="00652B7D" w:rsidRDefault="00BA2B04">
            <w:pP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Agenda Item</w:t>
            </w:r>
          </w:p>
        </w:tc>
        <w:tc>
          <w:tcPr>
            <w:tcW w:w="7555" w:type="dxa"/>
            <w:tcBorders>
              <w:top w:val="single" w:sz="4" w:space="0" w:color="000000"/>
              <w:left w:val="single" w:sz="4" w:space="0" w:color="000000"/>
              <w:bottom w:val="single" w:sz="4" w:space="0" w:color="000000"/>
              <w:right w:val="single" w:sz="4" w:space="0" w:color="000000"/>
            </w:tcBorders>
          </w:tcPr>
          <w:p w14:paraId="47A7BD50" w14:textId="77777777" w:rsidR="00652B7D" w:rsidRDefault="00BA2B04">
            <w:pPr>
              <w:pBdr>
                <w:top w:val="nil"/>
                <w:left w:val="nil"/>
                <w:bottom w:val="nil"/>
                <w:right w:val="nil"/>
                <w:between w:val="nil"/>
              </w:pBd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Public Comment</w:t>
            </w:r>
          </w:p>
        </w:tc>
      </w:tr>
      <w:tr w:rsidR="00652B7D" w14:paraId="619F944A" w14:textId="77777777">
        <w:tc>
          <w:tcPr>
            <w:tcW w:w="1795" w:type="dxa"/>
            <w:tcBorders>
              <w:top w:val="single" w:sz="4" w:space="0" w:color="000000"/>
              <w:left w:val="single" w:sz="4" w:space="0" w:color="000000"/>
              <w:bottom w:val="single" w:sz="4" w:space="0" w:color="000000"/>
              <w:right w:val="single" w:sz="4" w:space="0" w:color="000000"/>
            </w:tcBorders>
          </w:tcPr>
          <w:p w14:paraId="3D80A63F" w14:textId="77777777" w:rsidR="00652B7D" w:rsidRDefault="00652B7D">
            <w:pPr>
              <w:rPr>
                <w:rFonts w:ascii="Nunito Sans" w:eastAsia="Nunito Sans" w:hAnsi="Nunito Sans" w:cs="Nunito Sans"/>
                <w:b/>
                <w:color w:val="000000"/>
                <w:sz w:val="22"/>
                <w:szCs w:val="22"/>
              </w:rPr>
            </w:pPr>
          </w:p>
        </w:tc>
        <w:tc>
          <w:tcPr>
            <w:tcW w:w="7555" w:type="dxa"/>
            <w:tcBorders>
              <w:top w:val="single" w:sz="4" w:space="0" w:color="000000"/>
              <w:left w:val="single" w:sz="4" w:space="0" w:color="000000"/>
              <w:bottom w:val="single" w:sz="4" w:space="0" w:color="000000"/>
              <w:right w:val="single" w:sz="4" w:space="0" w:color="000000"/>
            </w:tcBorders>
          </w:tcPr>
          <w:p w14:paraId="0B76A4DE" w14:textId="77777777" w:rsidR="00652B7D" w:rsidRDefault="00BA2B04">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t>None</w:t>
            </w:r>
          </w:p>
        </w:tc>
      </w:tr>
      <w:tr w:rsidR="00652B7D" w14:paraId="49A21E54" w14:textId="77777777">
        <w:tc>
          <w:tcPr>
            <w:tcW w:w="1795" w:type="dxa"/>
            <w:tcBorders>
              <w:top w:val="single" w:sz="4" w:space="0" w:color="000000"/>
              <w:left w:val="single" w:sz="4" w:space="0" w:color="000000"/>
              <w:bottom w:val="single" w:sz="4" w:space="0" w:color="000000"/>
              <w:right w:val="single" w:sz="4" w:space="0" w:color="000000"/>
            </w:tcBorders>
          </w:tcPr>
          <w:p w14:paraId="4208CB33" w14:textId="77777777" w:rsidR="00652B7D" w:rsidRDefault="00BA2B04">
            <w:pP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Next Meeting</w:t>
            </w:r>
          </w:p>
        </w:tc>
        <w:tc>
          <w:tcPr>
            <w:tcW w:w="7555" w:type="dxa"/>
            <w:tcBorders>
              <w:top w:val="single" w:sz="4" w:space="0" w:color="000000"/>
              <w:left w:val="single" w:sz="4" w:space="0" w:color="000000"/>
              <w:bottom w:val="single" w:sz="4" w:space="0" w:color="000000"/>
              <w:right w:val="single" w:sz="4" w:space="0" w:color="000000"/>
            </w:tcBorders>
          </w:tcPr>
          <w:p w14:paraId="66684814" w14:textId="77777777" w:rsidR="00652B7D" w:rsidRDefault="00BA2B04">
            <w:pPr>
              <w:pBdr>
                <w:top w:val="nil"/>
                <w:left w:val="nil"/>
                <w:bottom w:val="nil"/>
                <w:right w:val="nil"/>
                <w:between w:val="nil"/>
              </w:pBdr>
              <w:rPr>
                <w:rFonts w:ascii="Nunito Sans" w:eastAsia="Nunito Sans" w:hAnsi="Nunito Sans" w:cs="Nunito Sans"/>
                <w:b/>
                <w:color w:val="000000"/>
              </w:rPr>
            </w:pPr>
            <w:r>
              <w:rPr>
                <w:rFonts w:ascii="Nunito Sans" w:eastAsia="Nunito Sans" w:hAnsi="Nunito Sans" w:cs="Nunito Sans"/>
                <w:b/>
                <w:color w:val="000000"/>
              </w:rPr>
              <w:t>April 17, 2025.</w:t>
            </w:r>
          </w:p>
        </w:tc>
      </w:tr>
      <w:tr w:rsidR="00652B7D" w14:paraId="0AB78849" w14:textId="77777777">
        <w:tc>
          <w:tcPr>
            <w:tcW w:w="1795" w:type="dxa"/>
            <w:tcBorders>
              <w:top w:val="single" w:sz="4" w:space="0" w:color="000000"/>
              <w:left w:val="single" w:sz="4" w:space="0" w:color="000000"/>
              <w:bottom w:val="single" w:sz="4" w:space="0" w:color="000000"/>
              <w:right w:val="single" w:sz="4" w:space="0" w:color="000000"/>
            </w:tcBorders>
          </w:tcPr>
          <w:p w14:paraId="6B72480B" w14:textId="77777777" w:rsidR="00652B7D" w:rsidRDefault="00BA2B04">
            <w:pP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Adjourn</w:t>
            </w:r>
          </w:p>
        </w:tc>
        <w:tc>
          <w:tcPr>
            <w:tcW w:w="7555" w:type="dxa"/>
            <w:tcBorders>
              <w:top w:val="single" w:sz="4" w:space="0" w:color="000000"/>
              <w:left w:val="single" w:sz="4" w:space="0" w:color="000000"/>
              <w:bottom w:val="single" w:sz="4" w:space="0" w:color="000000"/>
              <w:right w:val="single" w:sz="4" w:space="0" w:color="000000"/>
            </w:tcBorders>
          </w:tcPr>
          <w:p w14:paraId="1A42AB6F" w14:textId="77777777" w:rsidR="00652B7D" w:rsidRDefault="00BA2B04">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rPr>
              <w:t>Meeting adjourned.</w:t>
            </w:r>
          </w:p>
        </w:tc>
      </w:tr>
      <w:tr w:rsidR="00652B7D" w14:paraId="197B2053" w14:textId="77777777">
        <w:tc>
          <w:tcPr>
            <w:tcW w:w="1795" w:type="dxa"/>
            <w:tcBorders>
              <w:top w:val="single" w:sz="4" w:space="0" w:color="000000"/>
              <w:left w:val="single" w:sz="4" w:space="0" w:color="000000"/>
              <w:bottom w:val="single" w:sz="4" w:space="0" w:color="000000"/>
              <w:right w:val="single" w:sz="4" w:space="0" w:color="000000"/>
            </w:tcBorders>
          </w:tcPr>
          <w:p w14:paraId="3DF40C85" w14:textId="77777777" w:rsidR="00652B7D" w:rsidRDefault="00652B7D">
            <w:pPr>
              <w:rPr>
                <w:rFonts w:ascii="Nunito Sans" w:eastAsia="Nunito Sans" w:hAnsi="Nunito Sans" w:cs="Nunito Sans"/>
                <w:b/>
                <w:color w:val="000000"/>
                <w:sz w:val="22"/>
                <w:szCs w:val="22"/>
              </w:rPr>
            </w:pPr>
          </w:p>
        </w:tc>
        <w:tc>
          <w:tcPr>
            <w:tcW w:w="7555" w:type="dxa"/>
            <w:tcBorders>
              <w:top w:val="single" w:sz="4" w:space="0" w:color="000000"/>
              <w:left w:val="single" w:sz="4" w:space="0" w:color="000000"/>
              <w:bottom w:val="single" w:sz="4" w:space="0" w:color="000000"/>
              <w:right w:val="single" w:sz="4" w:space="0" w:color="000000"/>
            </w:tcBorders>
          </w:tcPr>
          <w:p w14:paraId="56912667" w14:textId="77777777" w:rsidR="00652B7D" w:rsidRDefault="00652B7D">
            <w:pPr>
              <w:rPr>
                <w:rFonts w:ascii="Nunito Sans" w:eastAsia="Nunito Sans" w:hAnsi="Nunito Sans" w:cs="Nunito Sans"/>
                <w:color w:val="000000"/>
                <w:sz w:val="22"/>
                <w:szCs w:val="22"/>
              </w:rPr>
            </w:pPr>
          </w:p>
        </w:tc>
      </w:tr>
    </w:tbl>
    <w:p w14:paraId="2393E101" w14:textId="77777777" w:rsidR="00652B7D" w:rsidRDefault="00652B7D"/>
    <w:sectPr w:rsidR="00652B7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1" w:fontKey="{80E376DE-6575-4B43-879A-9D810C173BEE}"/>
    <w:embedItalic r:id="rId2" w:fontKey="{2A5D81BB-390F-44C3-B5AF-1CFE330DE209}"/>
  </w:font>
  <w:font w:name="Arial">
    <w:panose1 w:val="020B0604020202020204"/>
    <w:charset w:val="00"/>
    <w:family w:val="swiss"/>
    <w:pitch w:val="variable"/>
    <w:sig w:usb0="E0002EFF" w:usb1="C000785B" w:usb2="00000009" w:usb3="00000000" w:csb0="000001FF" w:csb1="00000000"/>
  </w:font>
  <w:font w:name="Nunito Sans">
    <w:charset w:val="00"/>
    <w:family w:val="auto"/>
    <w:pitch w:val="variable"/>
    <w:sig w:usb0="A00002FF" w:usb1="5000204B" w:usb2="00000000" w:usb3="00000000" w:csb0="00000197" w:csb1="00000000"/>
    <w:embedRegular r:id="rId3" w:fontKey="{7169D6C4-3F96-4F1E-98C9-343159295584}"/>
    <w:embedBold r:id="rId4" w:fontKey="{1A83FE99-148B-481D-BC12-8456DD1C7E9D}"/>
  </w:font>
  <w:font w:name="Calibri">
    <w:panose1 w:val="020F0502020204030204"/>
    <w:charset w:val="00"/>
    <w:family w:val="swiss"/>
    <w:pitch w:val="variable"/>
    <w:sig w:usb0="E4002EFF" w:usb1="C200247B" w:usb2="00000009" w:usb3="00000000" w:csb0="000001FF" w:csb1="00000000"/>
    <w:embedRegular r:id="rId5" w:fontKey="{8F970D2F-ABE1-4C35-ADB9-6271F3644A1D}"/>
  </w:font>
  <w:font w:name="Cambria">
    <w:panose1 w:val="02040503050406030204"/>
    <w:charset w:val="00"/>
    <w:family w:val="roman"/>
    <w:pitch w:val="variable"/>
    <w:sig w:usb0="E00006FF" w:usb1="420024FF" w:usb2="02000000" w:usb3="00000000" w:csb0="0000019F" w:csb1="00000000"/>
    <w:embedRegular r:id="rId6" w:fontKey="{B5CDCB15-B18D-4765-B96C-D9524032537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2B7D"/>
    <w:rsid w:val="00652B7D"/>
    <w:rsid w:val="00AC1C0A"/>
    <w:rsid w:val="00BA2B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73A54E"/>
  <w15:docId w15:val="{ABD0791D-9453-4526-9910-B79AAE2CE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spacing w:after="16"/>
      <w:outlineLvl w:val="2"/>
    </w:pPr>
    <w:rPr>
      <w:b/>
      <w:sz w:val="22"/>
      <w:szCs w:val="22"/>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hGprTNJnDBI+cTCpavVB8Q7mUw==">CgMxLjAyCGguZ2pkZ3hzOAByITFRSmJ4VVB5cVdVMnQ3WUM2cTNMQ3FxdWtMRmdaZFphVw==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729</Words>
  <Characters>4159</Characters>
  <Application>Microsoft Office Word</Application>
  <DocSecurity>0</DocSecurity>
  <Lines>34</Lines>
  <Paragraphs>9</Paragraphs>
  <ScaleCrop>false</ScaleCrop>
  <Company/>
  <LinksUpToDate>false</LinksUpToDate>
  <CharactersWithSpaces>4879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Barraza</dc:creator>
  <cp:lastModifiedBy>Katriina Adair</cp:lastModifiedBy>
  <cp:revision>2</cp:revision>
  <dcterms:created xsi:type="dcterms:W3CDTF">2025-04-16T23:40:00Z</dcterms:created>
  <dcterms:modified xsi:type="dcterms:W3CDTF">2025-04-16T23:40:00Z</dcterms:modified>
</cp:coreProperties>
</file>