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86636F" w14:textId="34A761A9" w:rsidR="00FD4909" w:rsidRDefault="00FD4909" w:rsidP="000F32BD">
      <w:pPr>
        <w:spacing w:before="194"/>
        <w:ind w:left="321" w:right="2660"/>
        <w:rPr>
          <w:rFonts w:ascii="Arial"/>
          <w:b/>
          <w:sz w:val="70"/>
        </w:rPr>
      </w:pPr>
      <w:r>
        <w:rPr>
          <w:rFonts w:ascii="Arial"/>
          <w:b/>
          <w:color w:val="0E0D29"/>
          <w:sz w:val="72"/>
        </w:rPr>
        <w:t>Payson</w:t>
      </w:r>
      <w:r w:rsidR="000F32BD">
        <w:rPr>
          <w:rFonts w:ascii="Arial"/>
          <w:b/>
          <w:color w:val="0E0D29"/>
          <w:sz w:val="72"/>
        </w:rPr>
        <w:t xml:space="preserve"> </w:t>
      </w:r>
      <w:r>
        <w:rPr>
          <w:rFonts w:ascii="Arial"/>
          <w:b/>
          <w:color w:val="0E0D29"/>
          <w:sz w:val="72"/>
        </w:rPr>
        <w:t xml:space="preserve">City </w:t>
      </w:r>
      <w:r w:rsidR="000F32BD">
        <w:rPr>
          <w:rFonts w:ascii="Arial"/>
          <w:b/>
          <w:color w:val="0E0D29"/>
          <w:sz w:val="72"/>
        </w:rPr>
        <w:t>Supplement to Chapter 7 of the General Plan: Housing</w:t>
      </w:r>
    </w:p>
    <w:p w14:paraId="1DA18BBE" w14:textId="77777777" w:rsidR="007607AD" w:rsidRDefault="00FD4909">
      <w:pPr>
        <w:spacing w:before="1"/>
        <w:ind w:left="321"/>
        <w:rPr>
          <w:rFonts w:ascii="Arial"/>
          <w:b/>
          <w:sz w:val="72"/>
        </w:rPr>
      </w:pPr>
      <w:r>
        <w:rPr>
          <w:rFonts w:ascii="Arial"/>
          <w:b/>
          <w:color w:val="0E0D29"/>
          <w:sz w:val="72"/>
        </w:rPr>
        <w:t>2022</w:t>
      </w:r>
    </w:p>
    <w:p w14:paraId="597AB996" w14:textId="77777777" w:rsidR="007607AD" w:rsidRDefault="007607AD">
      <w:pPr>
        <w:pStyle w:val="BodyText"/>
        <w:rPr>
          <w:rFonts w:ascii="Arial"/>
          <w:b/>
          <w:sz w:val="20"/>
        </w:rPr>
      </w:pPr>
    </w:p>
    <w:p w14:paraId="542E86DC" w14:textId="77777777" w:rsidR="007607AD" w:rsidRDefault="007607AD">
      <w:pPr>
        <w:pStyle w:val="BodyText"/>
        <w:rPr>
          <w:rFonts w:ascii="Arial"/>
          <w:b/>
          <w:sz w:val="20"/>
        </w:rPr>
      </w:pPr>
    </w:p>
    <w:p w14:paraId="17F877D2" w14:textId="77777777" w:rsidR="007607AD" w:rsidRDefault="007607AD">
      <w:pPr>
        <w:pStyle w:val="BodyText"/>
        <w:rPr>
          <w:rFonts w:ascii="Arial"/>
          <w:b/>
          <w:sz w:val="20"/>
        </w:rPr>
      </w:pPr>
    </w:p>
    <w:p w14:paraId="32197B39" w14:textId="77777777" w:rsidR="007607AD" w:rsidRDefault="007607AD">
      <w:pPr>
        <w:pStyle w:val="BodyText"/>
        <w:rPr>
          <w:rFonts w:ascii="Arial"/>
          <w:b/>
          <w:sz w:val="20"/>
        </w:rPr>
      </w:pPr>
    </w:p>
    <w:p w14:paraId="1698FB92" w14:textId="77777777" w:rsidR="007607AD" w:rsidRDefault="007607AD">
      <w:pPr>
        <w:pStyle w:val="BodyText"/>
        <w:rPr>
          <w:rFonts w:ascii="Arial"/>
          <w:b/>
          <w:sz w:val="20"/>
        </w:rPr>
      </w:pPr>
    </w:p>
    <w:p w14:paraId="05F7DCEB" w14:textId="77777777" w:rsidR="007607AD" w:rsidRDefault="007607AD">
      <w:pPr>
        <w:pStyle w:val="BodyText"/>
        <w:rPr>
          <w:rFonts w:ascii="Arial"/>
          <w:b/>
          <w:sz w:val="20"/>
        </w:rPr>
      </w:pPr>
    </w:p>
    <w:p w14:paraId="10E2E4C9" w14:textId="77777777" w:rsidR="007607AD" w:rsidRDefault="007607AD">
      <w:pPr>
        <w:pStyle w:val="BodyText"/>
        <w:rPr>
          <w:rFonts w:ascii="Arial"/>
          <w:b/>
          <w:sz w:val="20"/>
        </w:rPr>
      </w:pPr>
    </w:p>
    <w:p w14:paraId="6B6FBC72" w14:textId="77777777" w:rsidR="007607AD" w:rsidRDefault="007607AD">
      <w:pPr>
        <w:pStyle w:val="BodyText"/>
        <w:rPr>
          <w:rFonts w:ascii="Arial"/>
          <w:b/>
          <w:sz w:val="20"/>
        </w:rPr>
      </w:pPr>
    </w:p>
    <w:p w14:paraId="389D61EB" w14:textId="77777777" w:rsidR="007607AD" w:rsidRDefault="007607AD">
      <w:pPr>
        <w:pStyle w:val="BodyText"/>
        <w:rPr>
          <w:rFonts w:ascii="Arial"/>
          <w:b/>
          <w:sz w:val="20"/>
        </w:rPr>
      </w:pPr>
    </w:p>
    <w:p w14:paraId="08C23BA2" w14:textId="77777777" w:rsidR="007607AD" w:rsidRDefault="007607AD">
      <w:pPr>
        <w:pStyle w:val="BodyText"/>
        <w:rPr>
          <w:rFonts w:ascii="Arial"/>
          <w:b/>
          <w:sz w:val="20"/>
        </w:rPr>
      </w:pPr>
    </w:p>
    <w:p w14:paraId="1E765F5D" w14:textId="77777777" w:rsidR="007607AD" w:rsidRDefault="007607AD">
      <w:pPr>
        <w:pStyle w:val="BodyText"/>
        <w:rPr>
          <w:rFonts w:ascii="Arial"/>
          <w:b/>
          <w:sz w:val="20"/>
        </w:rPr>
      </w:pPr>
    </w:p>
    <w:p w14:paraId="3E353E63" w14:textId="77777777" w:rsidR="007607AD" w:rsidRDefault="007607AD">
      <w:pPr>
        <w:pStyle w:val="BodyText"/>
        <w:rPr>
          <w:rFonts w:ascii="Arial"/>
          <w:b/>
          <w:sz w:val="20"/>
        </w:rPr>
      </w:pPr>
    </w:p>
    <w:p w14:paraId="1BA7405F" w14:textId="77777777" w:rsidR="007607AD" w:rsidRDefault="007607AD">
      <w:pPr>
        <w:pStyle w:val="BodyText"/>
        <w:rPr>
          <w:rFonts w:ascii="Arial"/>
          <w:b/>
          <w:sz w:val="20"/>
        </w:rPr>
      </w:pPr>
    </w:p>
    <w:p w14:paraId="7A5D3F45" w14:textId="77777777" w:rsidR="007607AD" w:rsidRDefault="007607AD">
      <w:pPr>
        <w:pStyle w:val="BodyText"/>
        <w:rPr>
          <w:rFonts w:ascii="Arial"/>
          <w:b/>
          <w:sz w:val="20"/>
        </w:rPr>
      </w:pPr>
    </w:p>
    <w:p w14:paraId="66513433" w14:textId="77777777" w:rsidR="007607AD" w:rsidRDefault="007607AD">
      <w:pPr>
        <w:pStyle w:val="BodyText"/>
        <w:rPr>
          <w:rFonts w:ascii="Arial"/>
          <w:b/>
          <w:sz w:val="20"/>
        </w:rPr>
      </w:pPr>
    </w:p>
    <w:p w14:paraId="544C655D" w14:textId="77777777" w:rsidR="007607AD" w:rsidRDefault="007607AD">
      <w:pPr>
        <w:pStyle w:val="BodyText"/>
        <w:rPr>
          <w:rFonts w:ascii="Arial"/>
          <w:b/>
          <w:sz w:val="20"/>
        </w:rPr>
      </w:pPr>
    </w:p>
    <w:p w14:paraId="11D97CA6" w14:textId="77777777" w:rsidR="007607AD" w:rsidRDefault="007607AD">
      <w:pPr>
        <w:pStyle w:val="BodyText"/>
        <w:rPr>
          <w:rFonts w:ascii="Arial"/>
          <w:b/>
          <w:sz w:val="20"/>
        </w:rPr>
      </w:pPr>
    </w:p>
    <w:p w14:paraId="5F8FBA4E" w14:textId="77777777" w:rsidR="007607AD" w:rsidRDefault="007607AD">
      <w:pPr>
        <w:pStyle w:val="BodyText"/>
        <w:rPr>
          <w:rFonts w:ascii="Arial"/>
          <w:b/>
          <w:sz w:val="20"/>
        </w:rPr>
      </w:pPr>
    </w:p>
    <w:p w14:paraId="27EB1F8C" w14:textId="77777777" w:rsidR="007607AD" w:rsidRDefault="007607AD">
      <w:pPr>
        <w:pStyle w:val="BodyText"/>
        <w:rPr>
          <w:rFonts w:ascii="Arial"/>
          <w:b/>
          <w:sz w:val="20"/>
        </w:rPr>
      </w:pPr>
    </w:p>
    <w:p w14:paraId="02261634" w14:textId="77777777" w:rsidR="007607AD" w:rsidRDefault="007607AD">
      <w:pPr>
        <w:pStyle w:val="BodyText"/>
        <w:rPr>
          <w:rFonts w:ascii="Arial"/>
          <w:b/>
          <w:sz w:val="20"/>
        </w:rPr>
      </w:pPr>
    </w:p>
    <w:p w14:paraId="0A2E824A" w14:textId="500DA4ED" w:rsidR="007607AD" w:rsidRDefault="00295039">
      <w:pPr>
        <w:pStyle w:val="Heading1"/>
        <w:spacing w:before="209"/>
        <w:ind w:left="323"/>
      </w:pPr>
      <w:r>
        <w:rPr>
          <w:noProof/>
        </w:rPr>
        <mc:AlternateContent>
          <mc:Choice Requires="wps">
            <w:drawing>
              <wp:anchor distT="0" distB="0" distL="114300" distR="114300" simplePos="0" relativeHeight="251638784" behindDoc="1" locked="0" layoutInCell="1" allowOverlap="1" wp14:anchorId="4995D834" wp14:editId="1494281F">
                <wp:simplePos x="0" y="0"/>
                <wp:positionH relativeFrom="page">
                  <wp:posOffset>3841115</wp:posOffset>
                </wp:positionH>
                <wp:positionV relativeFrom="paragraph">
                  <wp:posOffset>1599565</wp:posOffset>
                </wp:positionV>
                <wp:extent cx="90805" cy="178435"/>
                <wp:effectExtent l="2540" t="0" r="1905" b="3810"/>
                <wp:wrapNone/>
                <wp:docPr id="379" name="Text Box 3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805" cy="178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5A3FE4" w14:textId="77777777" w:rsidR="00D930C7" w:rsidRDefault="00D930C7">
                            <w:pPr>
                              <w:spacing w:line="281" w:lineRule="exact"/>
                              <w:rPr>
                                <w:b/>
                                <w:sz w:val="28"/>
                              </w:rPr>
                            </w:pPr>
                            <w:r>
                              <w:rPr>
                                <w:b/>
                                <w:color w:val="082A75"/>
                                <w:sz w:val="28"/>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95D834" id="_x0000_t202" coordsize="21600,21600" o:spt="202" path="m,l,21600r21600,l21600,xe">
                <v:stroke joinstyle="miter"/>
                <v:path gradientshapeok="t" o:connecttype="rect"/>
              </v:shapetype>
              <v:shape id="Text Box 367" o:spid="_x0000_s1026" type="#_x0000_t202" style="position:absolute;left:0;text-align:left;margin-left:302.45pt;margin-top:125.95pt;width:7.15pt;height:14.05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" filled="f" stroked="f">
                <v:textbox inset="0,0,0,0">
                  <w:txbxContent>
                    <w:p w14:paraId="265A3FE4" w14:textId="77777777" w:rsidR="00D930C7" w:rsidRDefault="00D930C7">
                      <w:pPr>
                        <w:spacing w:line="281" w:lineRule="exact"/>
                        <w:rPr>
                          <w:b/>
                          <w:sz w:val="28"/>
                        </w:rPr>
                      </w:pPr>
                      <w:r>
                        <w:rPr>
                          <w:b/>
                          <w:color w:val="082A75"/>
                          <w:sz w:val="28"/>
                        </w:rPr>
                        <w:t>1</w:t>
                      </w:r>
                    </w:p>
                  </w:txbxContent>
                </v:textbox>
                <w10:wrap anchorx="page"/>
              </v:shape>
            </w:pict>
          </mc:Fallback>
        </mc:AlternateContent>
      </w:r>
      <w:r w:rsidR="00FD4909">
        <w:rPr>
          <w:color w:val="0E0D29"/>
        </w:rPr>
        <w:t xml:space="preserve">Adopted November </w:t>
      </w:r>
      <w:r w:rsidR="000F32BD">
        <w:rPr>
          <w:color w:val="0E0D29"/>
        </w:rPr>
        <w:t>16</w:t>
      </w:r>
      <w:r w:rsidR="00FD4909">
        <w:rPr>
          <w:color w:val="0E0D29"/>
        </w:rPr>
        <w:t>, 2022</w:t>
      </w:r>
    </w:p>
    <w:p w14:paraId="3549099B" w14:textId="77777777" w:rsidR="007607AD" w:rsidRDefault="007607AD">
      <w:pPr>
        <w:sectPr w:rsidR="007607AD">
          <w:pgSz w:w="12240" w:h="15840"/>
          <w:pgMar w:top="1500" w:right="320" w:bottom="280" w:left="980"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p w14:paraId="5592703B" w14:textId="77777777" w:rsidR="007607AD" w:rsidRDefault="007607AD">
      <w:pPr>
        <w:pStyle w:val="BodyText"/>
        <w:rPr>
          <w:b/>
          <w:sz w:val="32"/>
        </w:rPr>
      </w:pPr>
    </w:p>
    <w:p w14:paraId="6DE87859" w14:textId="77777777" w:rsidR="007607AD" w:rsidRDefault="00FD4909">
      <w:pPr>
        <w:pStyle w:val="Heading1"/>
        <w:ind w:left="172"/>
        <w:rPr>
          <w:rFonts w:ascii="Arial"/>
        </w:rPr>
      </w:pPr>
      <w:r>
        <w:rPr>
          <w:rFonts w:ascii="Arial"/>
        </w:rPr>
        <w:t>Executive Summary</w:t>
      </w:r>
    </w:p>
    <w:p w14:paraId="681EB707" w14:textId="77777777" w:rsidR="001032FB" w:rsidRDefault="00FD4909">
      <w:pPr>
        <w:pStyle w:val="BodyText"/>
        <w:spacing w:before="108" w:line="276" w:lineRule="auto"/>
        <w:ind w:left="172" w:right="899"/>
      </w:pPr>
      <w:r>
        <w:t xml:space="preserve">The </w:t>
      </w:r>
      <w:r w:rsidR="00916654">
        <w:t>Payson</w:t>
      </w:r>
      <w:r>
        <w:t xml:space="preserve"> City Housing Element of the General Plan</w:t>
      </w:r>
      <w:r w:rsidR="001032FB">
        <w:t xml:space="preserve"> (Chapter 7) was adopted as part of a major update in 2020. This report is provided as a supplement to the existing Chapter 7 on housing to update information with recent Census data and developments in the city. It</w:t>
      </w:r>
      <w:r>
        <w:t xml:space="preserve"> provides a snap-shot into current demographic trends, and moderate-income housing strategies as set forth in Utah Code. </w:t>
      </w:r>
    </w:p>
    <w:p w14:paraId="4F0B014F" w14:textId="4A497D87" w:rsidR="007607AD" w:rsidRDefault="00FD4909" w:rsidP="001032FB">
      <w:pPr>
        <w:pStyle w:val="BodyText"/>
        <w:spacing w:before="108" w:line="276" w:lineRule="auto"/>
        <w:ind w:left="172" w:right="899"/>
      </w:pPr>
      <w:r>
        <w:t>In 2019, the Utah Legislature passed Senate Bill 34 which set requirements for adopting moderate-income housing strategies.</w:t>
      </w:r>
      <w:r w:rsidR="001032FB">
        <w:t xml:space="preserve"> </w:t>
      </w:r>
      <w:r>
        <w:t xml:space="preserve">During the </w:t>
      </w:r>
      <w:r w:rsidRPr="00487017">
        <w:rPr>
          <w:color w:val="FF0000"/>
        </w:rPr>
        <w:t>2022</w:t>
      </w:r>
      <w:r w:rsidR="00407DA8" w:rsidRPr="00487017">
        <w:rPr>
          <w:color w:val="FF0000"/>
        </w:rPr>
        <w:t xml:space="preserve"> &amp; 2025</w:t>
      </w:r>
      <w:r w:rsidRPr="00487017">
        <w:rPr>
          <w:color w:val="FF0000"/>
        </w:rPr>
        <w:t xml:space="preserve"> legislative </w:t>
      </w:r>
      <w:r>
        <w:t>session</w:t>
      </w:r>
      <w:r w:rsidR="00407DA8">
        <w:t>s</w:t>
      </w:r>
      <w:r>
        <w:t xml:space="preserve">, the legislature passed </w:t>
      </w:r>
      <w:r w:rsidR="00407DA8">
        <w:t>bills</w:t>
      </w:r>
      <w:r>
        <w:t xml:space="preserve"> which updated the state moderate-income housing strategies. This plan outlines updated moderate income housing strategies with implementation policies.</w:t>
      </w:r>
    </w:p>
    <w:p w14:paraId="743E1028" w14:textId="77777777" w:rsidR="007607AD" w:rsidRDefault="007607AD">
      <w:pPr>
        <w:pStyle w:val="BodyText"/>
        <w:spacing w:before="4"/>
        <w:rPr>
          <w:sz w:val="25"/>
        </w:rPr>
      </w:pPr>
    </w:p>
    <w:p w14:paraId="0BFED448" w14:textId="77777777" w:rsidR="007607AD" w:rsidRDefault="00FD4909">
      <w:pPr>
        <w:pStyle w:val="BodyText"/>
        <w:spacing w:line="276" w:lineRule="auto"/>
        <w:ind w:left="172" w:right="901"/>
      </w:pPr>
      <w:r>
        <w:t>The State of Utah defines Moderate-Income Housing as “housing occupied or reserved for occupancy by households with a gross household income equal to or less than 80% of the median gross income for households of the same size in the county in which the city is located.” The Federal Department of Housing and Urban Development defines affordable housing as “any housing unit whose costs are less than or equal to 30% of a prospective occupant’s household income.”</w:t>
      </w:r>
    </w:p>
    <w:p w14:paraId="4A228A79" w14:textId="77777777" w:rsidR="007607AD" w:rsidRDefault="007607AD">
      <w:pPr>
        <w:pStyle w:val="BodyText"/>
        <w:spacing w:before="4"/>
        <w:rPr>
          <w:sz w:val="25"/>
        </w:rPr>
      </w:pPr>
    </w:p>
    <w:p w14:paraId="2A272644" w14:textId="7B62B565" w:rsidR="007607AD" w:rsidRDefault="00916654">
      <w:pPr>
        <w:pStyle w:val="BodyText"/>
        <w:spacing w:line="276" w:lineRule="auto"/>
        <w:ind w:left="172" w:right="1491"/>
        <w:jc w:val="both"/>
      </w:pPr>
      <w:r>
        <w:t>Payson</w:t>
      </w:r>
      <w:r w:rsidR="00FD4909">
        <w:t xml:space="preserve"> City has a 202</w:t>
      </w:r>
      <w:r w:rsidR="00407DA8">
        <w:t>4</w:t>
      </w:r>
      <w:r w:rsidR="00FD4909">
        <w:t xml:space="preserve"> population estimate of approximately </w:t>
      </w:r>
      <w:r w:rsidR="00407DA8" w:rsidRPr="00487017">
        <w:rPr>
          <w:color w:val="FF0000"/>
        </w:rPr>
        <w:t>24,054</w:t>
      </w:r>
      <w:r w:rsidR="00FD4909" w:rsidRPr="00487017">
        <w:rPr>
          <w:color w:val="FF0000"/>
        </w:rPr>
        <w:t xml:space="preserve"> </w:t>
      </w:r>
      <w:r w:rsidR="00FD4909">
        <w:t xml:space="preserve">residents and approximately </w:t>
      </w:r>
      <w:r w:rsidR="001B4758" w:rsidRPr="00487017">
        <w:rPr>
          <w:color w:val="FF0000"/>
        </w:rPr>
        <w:t>6,</w:t>
      </w:r>
      <w:r w:rsidR="00487017" w:rsidRPr="00487017">
        <w:rPr>
          <w:color w:val="FF0000"/>
        </w:rPr>
        <w:t>484</w:t>
      </w:r>
      <w:r w:rsidR="00FD4909" w:rsidRPr="00487017">
        <w:rPr>
          <w:color w:val="FF0000"/>
        </w:rPr>
        <w:t xml:space="preserve"> </w:t>
      </w:r>
      <w:r w:rsidR="00FD4909">
        <w:t xml:space="preserve">housing units. </w:t>
      </w:r>
      <w:proofErr w:type="spellStart"/>
      <w:proofErr w:type="gramStart"/>
      <w:r w:rsidR="00FD4909">
        <w:t>Mountainland</w:t>
      </w:r>
      <w:proofErr w:type="spellEnd"/>
      <w:proofErr w:type="gramEnd"/>
      <w:r w:rsidR="00FD4909">
        <w:t xml:space="preserve"> Association of Governments estimates that by 20</w:t>
      </w:r>
      <w:r w:rsidR="001B4758">
        <w:t>30</w:t>
      </w:r>
      <w:r w:rsidR="00FD4909">
        <w:t xml:space="preserve"> </w:t>
      </w:r>
      <w:r>
        <w:t>Payson</w:t>
      </w:r>
      <w:r w:rsidR="00FD4909">
        <w:t xml:space="preserve"> City will have a population </w:t>
      </w:r>
      <w:r w:rsidR="00FD4909" w:rsidRPr="00487017">
        <w:rPr>
          <w:color w:val="FF0000"/>
        </w:rPr>
        <w:t xml:space="preserve">of </w:t>
      </w:r>
      <w:r w:rsidR="00407DA8" w:rsidRPr="00487017">
        <w:rPr>
          <w:color w:val="FF0000"/>
        </w:rPr>
        <w:t>approximately</w:t>
      </w:r>
      <w:r w:rsidR="001B4758" w:rsidRPr="00487017">
        <w:rPr>
          <w:color w:val="FF0000"/>
        </w:rPr>
        <w:t xml:space="preserve"> </w:t>
      </w:r>
      <w:r w:rsidR="00407DA8" w:rsidRPr="00487017">
        <w:rPr>
          <w:color w:val="FF0000"/>
        </w:rPr>
        <w:t>27,598</w:t>
      </w:r>
      <w:r w:rsidR="00FD4909" w:rsidRPr="00487017">
        <w:rPr>
          <w:color w:val="FF0000"/>
        </w:rPr>
        <w:t xml:space="preserve"> </w:t>
      </w:r>
      <w:r w:rsidR="00FD4909">
        <w:t>residents.</w:t>
      </w:r>
    </w:p>
    <w:p w14:paraId="73BFC6F0" w14:textId="712E2EF5" w:rsidR="007607AD" w:rsidRDefault="00FD4909">
      <w:pPr>
        <w:pStyle w:val="BodyText"/>
        <w:spacing w:before="182" w:line="256" w:lineRule="auto"/>
        <w:ind w:left="172" w:right="1021"/>
      </w:pPr>
      <w:r>
        <w:t xml:space="preserve">Following the requirements of </w:t>
      </w:r>
      <w:r w:rsidR="004440F9">
        <w:t>recent legislative bills</w:t>
      </w:r>
      <w:r>
        <w:t xml:space="preserve">, </w:t>
      </w:r>
      <w:r w:rsidR="00916654">
        <w:t>Payson</w:t>
      </w:r>
      <w:r>
        <w:t xml:space="preserve"> City has updated the moderate-income housing strategies and selected the following strategies in compliance with </w:t>
      </w:r>
      <w:proofErr w:type="gramStart"/>
      <w:r>
        <w:t>Utah</w:t>
      </w:r>
      <w:proofErr w:type="gramEnd"/>
      <w:r>
        <w:t xml:space="preserve"> Code:</w:t>
      </w:r>
    </w:p>
    <w:p w14:paraId="1F3FE34B" w14:textId="697CAA8E" w:rsidR="007607AD" w:rsidRDefault="001B4758">
      <w:pPr>
        <w:pStyle w:val="ListParagraph"/>
        <w:numPr>
          <w:ilvl w:val="0"/>
          <w:numId w:val="3"/>
        </w:numPr>
        <w:tabs>
          <w:tab w:val="left" w:pos="892"/>
          <w:tab w:val="left" w:pos="893"/>
        </w:tabs>
        <w:spacing w:before="164" w:line="256" w:lineRule="auto"/>
        <w:ind w:right="917"/>
      </w:pPr>
      <w:r w:rsidRPr="001B4758">
        <w:t xml:space="preserve">Demonstrate investment in the rehabilitation or expansion of infrastructure that facilitates the construction of </w:t>
      </w:r>
      <w:r w:rsidR="00DA08F8" w:rsidRPr="001B4758">
        <w:t>moderate-income</w:t>
      </w:r>
      <w:r w:rsidRPr="001B4758">
        <w:t xml:space="preserve"> housing</w:t>
      </w:r>
      <w:r>
        <w:t xml:space="preserve">; </w:t>
      </w:r>
    </w:p>
    <w:p w14:paraId="70FF82B1" w14:textId="3E8F6770" w:rsidR="007607AD" w:rsidRDefault="001B4758">
      <w:pPr>
        <w:pStyle w:val="ListParagraph"/>
        <w:numPr>
          <w:ilvl w:val="0"/>
          <w:numId w:val="3"/>
        </w:numPr>
        <w:tabs>
          <w:tab w:val="left" w:pos="892"/>
          <w:tab w:val="left" w:pos="893"/>
        </w:tabs>
        <w:spacing w:before="4" w:line="259" w:lineRule="auto"/>
        <w:ind w:right="978"/>
      </w:pPr>
      <w:r w:rsidRPr="001B4758">
        <w:t xml:space="preserve">Zone or rezone for higher density or </w:t>
      </w:r>
      <w:r w:rsidR="00DA08F8" w:rsidRPr="001B4758">
        <w:t>moderate-income</w:t>
      </w:r>
      <w:r w:rsidRPr="001B4758">
        <w:t xml:space="preserve"> residential development in commercial or mixed-use zones near major transit investment corridors, commercial centers, or employment centers</w:t>
      </w:r>
      <w:r>
        <w:t>; and,</w:t>
      </w:r>
    </w:p>
    <w:p w14:paraId="54F73B75" w14:textId="77777777" w:rsidR="001B4758" w:rsidRDefault="001B4758">
      <w:pPr>
        <w:pStyle w:val="ListParagraph"/>
        <w:numPr>
          <w:ilvl w:val="0"/>
          <w:numId w:val="3"/>
        </w:numPr>
        <w:tabs>
          <w:tab w:val="left" w:pos="892"/>
          <w:tab w:val="left" w:pos="893"/>
        </w:tabs>
        <w:spacing w:before="1"/>
      </w:pPr>
      <w:r w:rsidRPr="001B4758">
        <w:t>Create or allow for, and reduce regulations related to, internal or detached accessory dwelling units in residential zones</w:t>
      </w:r>
      <w:r>
        <w:t>.</w:t>
      </w:r>
    </w:p>
    <w:p w14:paraId="20C0E3B2" w14:textId="44FBAAB3" w:rsidR="004440F9" w:rsidRPr="004440F9" w:rsidRDefault="004440F9">
      <w:pPr>
        <w:pStyle w:val="ListParagraph"/>
        <w:numPr>
          <w:ilvl w:val="0"/>
          <w:numId w:val="3"/>
        </w:numPr>
        <w:tabs>
          <w:tab w:val="left" w:pos="892"/>
          <w:tab w:val="left" w:pos="893"/>
        </w:tabs>
        <w:spacing w:before="1"/>
        <w:rPr>
          <w:color w:val="FF0000"/>
        </w:rPr>
      </w:pPr>
      <w:r w:rsidRPr="004440F9">
        <w:rPr>
          <w:color w:val="FF0000"/>
        </w:rPr>
        <w:t>Develop and implement zoning incentives for moderate income residential units in new residential and mixed-use developments.</w:t>
      </w:r>
    </w:p>
    <w:p w14:paraId="35E2B1D0" w14:textId="495359BB" w:rsidR="00487017" w:rsidRDefault="004440F9">
      <w:pPr>
        <w:pStyle w:val="ListParagraph"/>
        <w:numPr>
          <w:ilvl w:val="0"/>
          <w:numId w:val="3"/>
        </w:numPr>
        <w:tabs>
          <w:tab w:val="left" w:pos="892"/>
          <w:tab w:val="left" w:pos="893"/>
        </w:tabs>
        <w:spacing w:before="1"/>
        <w:rPr>
          <w:color w:val="FF0000"/>
        </w:rPr>
      </w:pPr>
      <w:r w:rsidRPr="004440F9">
        <w:rPr>
          <w:color w:val="FF0000"/>
        </w:rPr>
        <w:t xml:space="preserve">Apply for, or partner with an entity that applies </w:t>
      </w:r>
      <w:r w:rsidR="0062538F" w:rsidRPr="004440F9">
        <w:rPr>
          <w:color w:val="FF0000"/>
        </w:rPr>
        <w:t>to</w:t>
      </w:r>
      <w:r w:rsidRPr="004440F9">
        <w:rPr>
          <w:color w:val="FF0000"/>
        </w:rPr>
        <w:t xml:space="preserve"> state and/or federal funds or tax incentives to promote</w:t>
      </w:r>
    </w:p>
    <w:p w14:paraId="31C61794" w14:textId="32565AB5" w:rsidR="004440F9" w:rsidRPr="00487017" w:rsidRDefault="004440F9" w:rsidP="00487017">
      <w:pPr>
        <w:tabs>
          <w:tab w:val="left" w:pos="892"/>
          <w:tab w:val="left" w:pos="893"/>
        </w:tabs>
        <w:spacing w:before="1"/>
        <w:ind w:left="892"/>
        <w:rPr>
          <w:color w:val="FF0000"/>
        </w:rPr>
      </w:pPr>
      <w:r w:rsidRPr="00487017">
        <w:rPr>
          <w:color w:val="FF0000"/>
        </w:rPr>
        <w:t xml:space="preserve"> the construction of moderate-income housing.</w:t>
      </w:r>
    </w:p>
    <w:p w14:paraId="7E9160FC" w14:textId="44119DFF" w:rsidR="004440F9" w:rsidRDefault="004440F9">
      <w:pPr>
        <w:pStyle w:val="ListParagraph"/>
        <w:numPr>
          <w:ilvl w:val="0"/>
          <w:numId w:val="3"/>
        </w:numPr>
        <w:tabs>
          <w:tab w:val="left" w:pos="892"/>
          <w:tab w:val="left" w:pos="893"/>
        </w:tabs>
        <w:spacing w:before="1"/>
        <w:rPr>
          <w:color w:val="FF0000"/>
        </w:rPr>
      </w:pPr>
      <w:r w:rsidRPr="004440F9">
        <w:rPr>
          <w:color w:val="FF0000"/>
        </w:rPr>
        <w:t>Develop and adopt a station area plan in accordance with Section 10-9a-403-1 of the Utah State Code.</w:t>
      </w:r>
    </w:p>
    <w:p w14:paraId="36F41C0C" w14:textId="4CD25CBB" w:rsidR="004440F9" w:rsidRDefault="004440F9">
      <w:pPr>
        <w:pStyle w:val="ListParagraph"/>
        <w:numPr>
          <w:ilvl w:val="0"/>
          <w:numId w:val="3"/>
        </w:numPr>
        <w:tabs>
          <w:tab w:val="left" w:pos="892"/>
          <w:tab w:val="left" w:pos="893"/>
        </w:tabs>
        <w:spacing w:before="1"/>
        <w:rPr>
          <w:color w:val="FF0000"/>
        </w:rPr>
      </w:pPr>
      <w:r w:rsidRPr="004440F9">
        <w:rPr>
          <w:color w:val="FF0000"/>
        </w:rPr>
        <w:t>Consider the creation and implementation of a housing and transit reinvestment zone.</w:t>
      </w:r>
    </w:p>
    <w:p w14:paraId="5A2AADB2" w14:textId="77777777" w:rsidR="00487017" w:rsidRDefault="004440F9">
      <w:pPr>
        <w:pStyle w:val="ListParagraph"/>
        <w:numPr>
          <w:ilvl w:val="0"/>
          <w:numId w:val="3"/>
        </w:numPr>
        <w:tabs>
          <w:tab w:val="left" w:pos="892"/>
          <w:tab w:val="left" w:pos="893"/>
        </w:tabs>
        <w:spacing w:before="1"/>
        <w:rPr>
          <w:color w:val="FF0000"/>
        </w:rPr>
      </w:pPr>
      <w:r w:rsidRPr="004440F9">
        <w:rPr>
          <w:color w:val="FF0000"/>
        </w:rPr>
        <w:t xml:space="preserve">Consider the creation and adoption of a home ownership promotion zone and/or a first home investment </w:t>
      </w:r>
    </w:p>
    <w:p w14:paraId="148469B7" w14:textId="0A4A299A" w:rsidR="004440F9" w:rsidRDefault="004440F9" w:rsidP="00487017">
      <w:pPr>
        <w:pStyle w:val="ListParagraph"/>
        <w:tabs>
          <w:tab w:val="left" w:pos="892"/>
          <w:tab w:val="left" w:pos="893"/>
        </w:tabs>
        <w:spacing w:before="1"/>
        <w:ind w:left="892" w:firstLine="0"/>
        <w:rPr>
          <w:color w:val="FF0000"/>
        </w:rPr>
      </w:pPr>
      <w:r w:rsidRPr="004440F9">
        <w:rPr>
          <w:color w:val="FF0000"/>
        </w:rPr>
        <w:t>zone.</w:t>
      </w:r>
    </w:p>
    <w:p w14:paraId="7549F7A5" w14:textId="31AE644A" w:rsidR="00487017" w:rsidRPr="004440F9" w:rsidRDefault="00487017">
      <w:pPr>
        <w:pStyle w:val="ListParagraph"/>
        <w:numPr>
          <w:ilvl w:val="0"/>
          <w:numId w:val="3"/>
        </w:numPr>
        <w:tabs>
          <w:tab w:val="left" w:pos="892"/>
          <w:tab w:val="left" w:pos="893"/>
        </w:tabs>
        <w:spacing w:before="1"/>
        <w:rPr>
          <w:color w:val="FF0000"/>
        </w:rPr>
      </w:pPr>
      <w:r w:rsidRPr="001D5DCE">
        <w:rPr>
          <w:color w:val="FF0000"/>
        </w:rPr>
        <w:t>Consider the creation of the reduction of regulations related to multifamily residential dwellings that are compatible in scale and form with detached single-family residential dwellings within areas that are part of walkable communities.</w:t>
      </w:r>
    </w:p>
    <w:p w14:paraId="610452F3" w14:textId="2BB0E580" w:rsidR="007607AD" w:rsidRDefault="007607AD" w:rsidP="001B4758">
      <w:pPr>
        <w:pStyle w:val="ListParagraph"/>
        <w:tabs>
          <w:tab w:val="left" w:pos="892"/>
          <w:tab w:val="left" w:pos="893"/>
        </w:tabs>
        <w:spacing w:before="19"/>
        <w:ind w:left="892" w:firstLine="0"/>
      </w:pPr>
    </w:p>
    <w:p w14:paraId="591F8DFF" w14:textId="77777777" w:rsidR="007607AD" w:rsidRDefault="007607AD">
      <w:pPr>
        <w:spacing w:line="259" w:lineRule="auto"/>
        <w:jc w:val="both"/>
        <w:sectPr w:rsidR="007607AD">
          <w:footerReference w:type="default" r:id="rId7"/>
          <w:pgSz w:w="12240" w:h="15840"/>
          <w:pgMar w:top="980" w:right="320" w:bottom="1000" w:left="980" w:header="0" w:footer="796" w:gutter="0"/>
          <w:pgBorders w:offsetFrom="page">
            <w:top w:val="single" w:sz="4" w:space="24" w:color="000000"/>
            <w:left w:val="single" w:sz="4" w:space="24" w:color="000000"/>
            <w:bottom w:val="single" w:sz="4" w:space="24" w:color="000000"/>
            <w:right w:val="single" w:sz="4" w:space="24" w:color="000000"/>
          </w:pgBorders>
          <w:cols w:space="720"/>
        </w:sectPr>
      </w:pPr>
    </w:p>
    <w:p w14:paraId="2A975FA8" w14:textId="0D0ECEEA" w:rsidR="007607AD" w:rsidRDefault="007607AD">
      <w:pPr>
        <w:pStyle w:val="BodyText"/>
        <w:spacing w:line="90" w:lineRule="exact"/>
        <w:ind w:left="112"/>
        <w:rPr>
          <w:sz w:val="9"/>
        </w:rPr>
      </w:pPr>
    </w:p>
    <w:p w14:paraId="0C3D78B7" w14:textId="77777777" w:rsidR="007607AD" w:rsidRDefault="007607AD">
      <w:pPr>
        <w:pStyle w:val="BodyText"/>
        <w:spacing w:before="6"/>
        <w:rPr>
          <w:sz w:val="28"/>
        </w:rPr>
      </w:pPr>
    </w:p>
    <w:p w14:paraId="2D4CBF4D" w14:textId="77777777" w:rsidR="007607AD" w:rsidRDefault="00FD4909">
      <w:pPr>
        <w:pStyle w:val="Heading1"/>
        <w:spacing w:before="44"/>
        <w:ind w:left="172"/>
      </w:pPr>
      <w:r>
        <w:t>Section I</w:t>
      </w:r>
    </w:p>
    <w:p w14:paraId="7453B700" w14:textId="77777777" w:rsidR="007607AD" w:rsidRDefault="00FD4909">
      <w:pPr>
        <w:pStyle w:val="Heading1"/>
        <w:spacing w:before="112"/>
        <w:ind w:left="212"/>
      </w:pPr>
      <w:r>
        <w:t>Introduction</w:t>
      </w:r>
    </w:p>
    <w:p w14:paraId="4AA06686" w14:textId="77777777" w:rsidR="007607AD" w:rsidRDefault="00FD4909">
      <w:pPr>
        <w:pStyle w:val="Heading1"/>
        <w:spacing w:before="239"/>
        <w:ind w:left="212"/>
      </w:pPr>
      <w:r>
        <w:t>Purpose of the Housing Plan</w:t>
      </w:r>
    </w:p>
    <w:p w14:paraId="0689EF56" w14:textId="463910B1" w:rsidR="007607AD" w:rsidRDefault="00FD4909">
      <w:pPr>
        <w:pStyle w:val="BodyText"/>
        <w:spacing w:before="238" w:line="276" w:lineRule="auto"/>
        <w:ind w:left="212" w:right="97"/>
      </w:pPr>
      <w:r>
        <w:t>The purpose of the Payson City Moderate-Income Housing Plan is to comply with Utah State Code 10-9a-403 and to plan for moderate income housing growth within Payson City. This plan is adopted as a</w:t>
      </w:r>
      <w:r w:rsidR="001032FB">
        <w:t xml:space="preserve"> supplemental</w:t>
      </w:r>
      <w:r>
        <w:t xml:space="preserve"> update to Chapter 7 of the Payson General Plan, relating to housing. The plan will examine the current Payson population, income, employment and housing trends and set forth strategies that the City will implement to support moderate-income housing. Utah Code 10-9a-103 requires that municipalities plan for moderate-income housing as a written document adopted by the municipalities legislative body that includes the following:</w:t>
      </w:r>
    </w:p>
    <w:p w14:paraId="74AF62BF" w14:textId="77777777" w:rsidR="007607AD" w:rsidRDefault="007607AD">
      <w:pPr>
        <w:pStyle w:val="BodyText"/>
        <w:spacing w:before="7"/>
        <w:rPr>
          <w:sz w:val="18"/>
        </w:rPr>
      </w:pPr>
    </w:p>
    <w:p w14:paraId="076C358C" w14:textId="77777777" w:rsidR="007607AD" w:rsidRDefault="00FD4909">
      <w:pPr>
        <w:pStyle w:val="ListParagraph"/>
        <w:numPr>
          <w:ilvl w:val="0"/>
          <w:numId w:val="3"/>
        </w:numPr>
        <w:tabs>
          <w:tab w:val="left" w:pos="933"/>
          <w:tab w:val="left" w:pos="934"/>
        </w:tabs>
        <w:ind w:left="933"/>
      </w:pPr>
      <w:r>
        <w:t>an estimate of the existing supply of moderate-income housing located within the</w:t>
      </w:r>
      <w:r>
        <w:rPr>
          <w:spacing w:val="-12"/>
        </w:rPr>
        <w:t xml:space="preserve"> </w:t>
      </w:r>
      <w:r>
        <w:t>city;</w:t>
      </w:r>
    </w:p>
    <w:p w14:paraId="5D4EEE96" w14:textId="77777777" w:rsidR="007607AD" w:rsidRDefault="00FD4909">
      <w:pPr>
        <w:pStyle w:val="ListParagraph"/>
        <w:numPr>
          <w:ilvl w:val="0"/>
          <w:numId w:val="3"/>
        </w:numPr>
        <w:tabs>
          <w:tab w:val="left" w:pos="933"/>
          <w:tab w:val="left" w:pos="934"/>
        </w:tabs>
        <w:spacing w:before="39"/>
        <w:ind w:left="933"/>
      </w:pPr>
      <w:r>
        <w:t>an estimate of the need for moderate-income housing in the city for the next five years as revised</w:t>
      </w:r>
      <w:r>
        <w:rPr>
          <w:spacing w:val="-27"/>
        </w:rPr>
        <w:t xml:space="preserve"> </w:t>
      </w:r>
      <w:r>
        <w:t>biennially;</w:t>
      </w:r>
    </w:p>
    <w:p w14:paraId="3823C935" w14:textId="77777777" w:rsidR="007607AD" w:rsidRDefault="00FD4909">
      <w:pPr>
        <w:pStyle w:val="ListParagraph"/>
        <w:numPr>
          <w:ilvl w:val="0"/>
          <w:numId w:val="3"/>
        </w:numPr>
        <w:tabs>
          <w:tab w:val="left" w:pos="933"/>
          <w:tab w:val="left" w:pos="934"/>
        </w:tabs>
        <w:spacing w:before="41"/>
        <w:ind w:left="933"/>
      </w:pPr>
      <w:r>
        <w:t>a survey of total residential land</w:t>
      </w:r>
      <w:r>
        <w:rPr>
          <w:spacing w:val="-10"/>
        </w:rPr>
        <w:t xml:space="preserve"> </w:t>
      </w:r>
      <w:r>
        <w:t>use;</w:t>
      </w:r>
    </w:p>
    <w:p w14:paraId="4FEAD27D" w14:textId="77777777" w:rsidR="007607AD" w:rsidRDefault="00FD4909">
      <w:pPr>
        <w:pStyle w:val="ListParagraph"/>
        <w:numPr>
          <w:ilvl w:val="0"/>
          <w:numId w:val="3"/>
        </w:numPr>
        <w:tabs>
          <w:tab w:val="left" w:pos="933"/>
          <w:tab w:val="left" w:pos="934"/>
        </w:tabs>
        <w:spacing w:before="39"/>
        <w:ind w:left="933"/>
      </w:pPr>
      <w:r>
        <w:t>an evaluation of how existing land uses and zones affect opportunities for moderate-income housing;</w:t>
      </w:r>
      <w:r>
        <w:rPr>
          <w:spacing w:val="-16"/>
        </w:rPr>
        <w:t xml:space="preserve"> </w:t>
      </w:r>
      <w:r>
        <w:t>and</w:t>
      </w:r>
    </w:p>
    <w:p w14:paraId="7E99F640" w14:textId="77777777" w:rsidR="007607AD" w:rsidRDefault="00FD4909">
      <w:pPr>
        <w:pStyle w:val="ListParagraph"/>
        <w:numPr>
          <w:ilvl w:val="0"/>
          <w:numId w:val="3"/>
        </w:numPr>
        <w:tabs>
          <w:tab w:val="left" w:pos="933"/>
          <w:tab w:val="left" w:pos="934"/>
        </w:tabs>
        <w:spacing w:before="42"/>
        <w:ind w:left="933"/>
      </w:pPr>
      <w:r>
        <w:t>a description of the city's program to encourage an adequate supply of moderate-income</w:t>
      </w:r>
      <w:r>
        <w:rPr>
          <w:spacing w:val="-17"/>
        </w:rPr>
        <w:t xml:space="preserve"> </w:t>
      </w:r>
      <w:r>
        <w:t>housing.</w:t>
      </w:r>
    </w:p>
    <w:p w14:paraId="7388E437" w14:textId="77777777" w:rsidR="007607AD" w:rsidRDefault="007607AD">
      <w:pPr>
        <w:pStyle w:val="BodyText"/>
        <w:rPr>
          <w:sz w:val="24"/>
        </w:rPr>
      </w:pPr>
    </w:p>
    <w:p w14:paraId="65A812A1" w14:textId="77777777" w:rsidR="007607AD" w:rsidRDefault="00FD4909">
      <w:pPr>
        <w:pStyle w:val="BodyText"/>
        <w:spacing w:line="276" w:lineRule="auto"/>
        <w:ind w:left="212" w:right="144"/>
      </w:pPr>
      <w:r>
        <w:t>The terms moderate-income housing and affordable housing are frequently used interchangeably in Utah, but they do not mean the same thing. Affordable housing is defined by U.S. Department of Housing and Urban Development as “any housing unit whose costs are less than or equal to 30 percent of a prospective occupant’s household income.” Under Utah Law, moderate-income housing has a precise definition found in Title 10-9-103 which states:</w:t>
      </w:r>
    </w:p>
    <w:p w14:paraId="7BDFA60B" w14:textId="77777777" w:rsidR="007607AD" w:rsidRDefault="007607AD">
      <w:pPr>
        <w:pStyle w:val="BodyText"/>
        <w:spacing w:before="4"/>
        <w:rPr>
          <w:sz w:val="27"/>
        </w:rPr>
      </w:pPr>
    </w:p>
    <w:p w14:paraId="4DF1E1FE" w14:textId="77777777" w:rsidR="007607AD" w:rsidRDefault="00FD4909">
      <w:pPr>
        <w:spacing w:before="56" w:line="273" w:lineRule="auto"/>
        <w:ind w:left="707" w:right="299" w:hanging="276"/>
        <w:rPr>
          <w:b/>
          <w:i/>
        </w:rPr>
      </w:pPr>
      <w:r>
        <w:rPr>
          <w:b/>
          <w:i/>
        </w:rPr>
        <w:t>“housing occupied or reserved for occupancy by households with a gross household income equal to or less than 80% of the median gross income for households of the same size in the county in which the city is located”</w:t>
      </w:r>
    </w:p>
    <w:p w14:paraId="537799A0" w14:textId="77777777" w:rsidR="007607AD" w:rsidRDefault="007607AD">
      <w:pPr>
        <w:pStyle w:val="BodyText"/>
        <w:spacing w:before="3"/>
        <w:rPr>
          <w:b/>
          <w:i/>
          <w:sz w:val="32"/>
        </w:rPr>
      </w:pPr>
    </w:p>
    <w:p w14:paraId="2E4D6C7D" w14:textId="77777777" w:rsidR="007607AD" w:rsidRDefault="00FD4909">
      <w:pPr>
        <w:pStyle w:val="BodyText"/>
        <w:spacing w:line="276" w:lineRule="auto"/>
        <w:ind w:left="212" w:right="102"/>
      </w:pPr>
      <w:r>
        <w:t>During the 2022 legislative session, the Utah legislature passed HB 462</w:t>
      </w:r>
      <w:r w:rsidR="00AB75B2">
        <w:t>,</w:t>
      </w:r>
      <w:r>
        <w:t xml:space="preserve"> which is an update to SB 34 from 2019</w:t>
      </w:r>
      <w:r w:rsidR="00AB75B2">
        <w:t>,</w:t>
      </w:r>
      <w:r>
        <w:t xml:space="preserve"> and requires communities to facilitate moderate-income housing by updating their general plan and moderate-income housing strategies. In drafting the moderate-income housing element, the </w:t>
      </w:r>
      <w:r w:rsidR="00AB75B2">
        <w:t>C</w:t>
      </w:r>
      <w:r>
        <w:t>ity in its General Plan shall consider the Utah Legislature’s determination that municipalities shall facilitate a reasonable opportunity for a variety of housing, including moderate-income housing (Utah Code 10-9a-403):</w:t>
      </w:r>
    </w:p>
    <w:p w14:paraId="6B47B752" w14:textId="77777777" w:rsidR="007607AD" w:rsidRDefault="00FD4909">
      <w:pPr>
        <w:pStyle w:val="ListParagraph"/>
        <w:numPr>
          <w:ilvl w:val="0"/>
          <w:numId w:val="3"/>
        </w:numPr>
        <w:tabs>
          <w:tab w:val="left" w:pos="933"/>
          <w:tab w:val="left" w:pos="934"/>
        </w:tabs>
        <w:spacing w:line="276" w:lineRule="auto"/>
        <w:ind w:left="933" w:right="958"/>
      </w:pPr>
      <w:r>
        <w:t>to meet the needs of people of various income levels living, working, or desiring to live or work in the community;</w:t>
      </w:r>
      <w:r>
        <w:rPr>
          <w:spacing w:val="-2"/>
        </w:rPr>
        <w:t xml:space="preserve"> </w:t>
      </w:r>
      <w:r>
        <w:t>and</w:t>
      </w:r>
    </w:p>
    <w:p w14:paraId="3950C2AB" w14:textId="77777777" w:rsidR="007607AD" w:rsidRDefault="00FD4909">
      <w:pPr>
        <w:pStyle w:val="ListParagraph"/>
        <w:numPr>
          <w:ilvl w:val="0"/>
          <w:numId w:val="3"/>
        </w:numPr>
        <w:tabs>
          <w:tab w:val="left" w:pos="933"/>
          <w:tab w:val="left" w:pos="934"/>
        </w:tabs>
        <w:spacing w:before="1" w:line="273" w:lineRule="auto"/>
        <w:ind w:left="933" w:right="295"/>
      </w:pPr>
      <w:r>
        <w:t>to allow people with various incomes to benefit from and fully participate in all aspects of neighborhood and community life</w:t>
      </w:r>
    </w:p>
    <w:p w14:paraId="6A48F9F4" w14:textId="77777777" w:rsidR="007607AD" w:rsidRDefault="00AB75B2" w:rsidP="00AB75B2">
      <w:pPr>
        <w:pStyle w:val="BodyText"/>
        <w:spacing w:before="5" w:line="276" w:lineRule="auto"/>
        <w:ind w:left="212" w:right="260"/>
      </w:pPr>
      <w:r>
        <w:t>Municipalities are also required</w:t>
      </w:r>
      <w:r w:rsidR="00FD4909">
        <w:t xml:space="preserve"> to include an analysis of how the municipality will provide a realistic opportunity for the development of moderate-income housing within the next five years as well as implementation strategies and benchmarks. Utah Code 10-91-403 outlines twenty-four housing strategies by which a municipality</w:t>
      </w:r>
      <w:r>
        <w:t xml:space="preserve"> </w:t>
      </w:r>
      <w:r w:rsidR="00FD4909">
        <w:t>must make a recommendation to implement a minimum of three. Starting October 1, 2022, each municipality will be required to annually review the general plan moderate-income housing element and submit a report to the Utah Department of Workforce Services describing the progress made in implementing the city’s moderate-income housing strategies.</w:t>
      </w:r>
    </w:p>
    <w:p w14:paraId="0CA9EBB2" w14:textId="77777777" w:rsidR="007607AD" w:rsidRDefault="007607AD">
      <w:pPr>
        <w:spacing w:line="276" w:lineRule="auto"/>
        <w:sectPr w:rsidR="007607AD">
          <w:pgSz w:w="12240" w:h="15840"/>
          <w:pgMar w:top="980" w:right="320" w:bottom="1000" w:left="980" w:header="0" w:footer="796" w:gutter="0"/>
          <w:pgBorders w:offsetFrom="page">
            <w:top w:val="single" w:sz="4" w:space="24" w:color="000000"/>
            <w:left w:val="single" w:sz="4" w:space="24" w:color="000000"/>
            <w:bottom w:val="single" w:sz="4" w:space="24" w:color="000000"/>
            <w:right w:val="single" w:sz="4" w:space="24" w:color="000000"/>
          </w:pgBorders>
          <w:cols w:space="720"/>
        </w:sectPr>
      </w:pPr>
    </w:p>
    <w:p w14:paraId="6DC3CE46" w14:textId="6104B7DF" w:rsidR="007607AD" w:rsidRDefault="007607AD">
      <w:pPr>
        <w:pStyle w:val="BodyText"/>
        <w:spacing w:line="90" w:lineRule="exact"/>
        <w:ind w:left="112"/>
        <w:rPr>
          <w:sz w:val="9"/>
        </w:rPr>
      </w:pPr>
    </w:p>
    <w:p w14:paraId="0BCD3FA1" w14:textId="77777777" w:rsidR="007607AD" w:rsidRDefault="007607AD">
      <w:pPr>
        <w:pStyle w:val="BodyText"/>
        <w:rPr>
          <w:sz w:val="20"/>
        </w:rPr>
      </w:pPr>
    </w:p>
    <w:p w14:paraId="5C0EC20D" w14:textId="77777777" w:rsidR="007607AD" w:rsidRDefault="007607AD">
      <w:pPr>
        <w:pStyle w:val="BodyText"/>
        <w:rPr>
          <w:sz w:val="20"/>
        </w:rPr>
      </w:pPr>
    </w:p>
    <w:p w14:paraId="3D376043" w14:textId="77777777" w:rsidR="007607AD" w:rsidRDefault="00FD4909">
      <w:pPr>
        <w:pStyle w:val="Heading1"/>
        <w:spacing w:before="210"/>
      </w:pPr>
      <w:r>
        <w:t>Vision</w:t>
      </w:r>
    </w:p>
    <w:p w14:paraId="1074C7A1" w14:textId="77777777" w:rsidR="007607AD" w:rsidRDefault="00FD4909">
      <w:pPr>
        <w:pStyle w:val="BodyText"/>
        <w:spacing w:before="241" w:line="276" w:lineRule="auto"/>
        <w:ind w:left="321" w:right="192"/>
      </w:pPr>
      <w:r>
        <w:t>To encourage a range of quality housing types and opportunities for individuals and families through all stages of life and incomes while continuing to maintain the city’s unique rural character.</w:t>
      </w:r>
    </w:p>
    <w:p w14:paraId="6B1B246E" w14:textId="77777777" w:rsidR="007607AD" w:rsidRDefault="007607AD">
      <w:pPr>
        <w:pStyle w:val="BodyText"/>
        <w:spacing w:before="4"/>
        <w:rPr>
          <w:sz w:val="25"/>
        </w:rPr>
      </w:pPr>
    </w:p>
    <w:p w14:paraId="0B5191F7" w14:textId="77777777" w:rsidR="007607AD" w:rsidRDefault="00FD4909">
      <w:pPr>
        <w:pStyle w:val="Heading1"/>
      </w:pPr>
      <w:r>
        <w:t>Regional Planning</w:t>
      </w:r>
    </w:p>
    <w:p w14:paraId="535969E6" w14:textId="77777777" w:rsidR="007607AD" w:rsidRDefault="00FD4909">
      <w:pPr>
        <w:pStyle w:val="BodyText"/>
        <w:spacing w:before="239" w:line="276" w:lineRule="auto"/>
        <w:ind w:left="321" w:right="262"/>
      </w:pPr>
      <w:r>
        <w:t>Over the past several years many regional planning and research groups have provided population forecasts to help the State and Utah County understand foreseeable population increases. Envision Utah, in their Valley Visioning Study, anticipates “by 2050, twice as many people will call Utah County home, with a million more people by 2065.”</w:t>
      </w:r>
      <w:r>
        <w:rPr>
          <w:vertAlign w:val="superscript"/>
        </w:rPr>
        <w:t>1</w:t>
      </w:r>
      <w:r>
        <w:t xml:space="preserve"> </w:t>
      </w:r>
      <w:r w:rsidR="00916654">
        <w:t>Payson</w:t>
      </w:r>
      <w:r>
        <w:t xml:space="preserve"> City understands that it will continue to see the pressures of future population growth. </w:t>
      </w:r>
    </w:p>
    <w:p w14:paraId="28408D19" w14:textId="77777777" w:rsidR="007607AD" w:rsidRDefault="007607AD">
      <w:pPr>
        <w:pStyle w:val="BodyText"/>
        <w:spacing w:before="4"/>
        <w:rPr>
          <w:sz w:val="25"/>
        </w:rPr>
      </w:pPr>
    </w:p>
    <w:p w14:paraId="4F71CB2D" w14:textId="77777777" w:rsidR="007607AD" w:rsidRDefault="00FD4909">
      <w:pPr>
        <w:pStyle w:val="BodyText"/>
        <w:spacing w:before="1" w:line="276" w:lineRule="auto"/>
        <w:ind w:left="321" w:right="287"/>
      </w:pPr>
      <w:r>
        <w:t xml:space="preserve">The Gardner Policy Institute has reported “Utahns have always been inclined toward homeownership. No other state has a history of homeownership comparable to Utah. Since 1900, Utah is the only state where the homeownership rate has never fallen below 60 percent of households. But over the following seven years ownership rates declined steadily dropping to 70 percent in 2015. The rate continued to decline even in years of very low interest rates, strong economic growth, and favorable affordability. Finally, in 2016, there was a slight uptick in the homeownership rate to 71 percent. But the persistent decline from 2009 to 2015 caused many observers to wonder if housing preferences were shifting from homeownership to renting. Most of the attention focused on the millennial generation, the </w:t>
      </w:r>
      <w:proofErr w:type="gramStart"/>
      <w:r>
        <w:t>25-34 year</w:t>
      </w:r>
      <w:proofErr w:type="gramEnd"/>
      <w:r>
        <w:t xml:space="preserve"> age cohort, a prime home buying age group. Nationally the homeownership rate for the </w:t>
      </w:r>
      <w:proofErr w:type="gramStart"/>
      <w:r>
        <w:t>25-34 year</w:t>
      </w:r>
      <w:proofErr w:type="gramEnd"/>
      <w:r>
        <w:t xml:space="preserve"> age group has dropped from 45.6 percent in 2000 to 37 percent in 2016. Every state has experienced a decline and for some states it is clearly a result of lack of affordability. In California, only one in four households in the 25-34 age group were homeowners. Utah has fared much better. The rate has dropped from 56.3 percent in 2000 to 50.4 percent. Half of the millennial households in Utah are homeowners. Only two states have higher rates of homeownership for millennials than Utah: Iowa (53.2 percent), and Minnesota (52.1percent). The comparatively high homeownership rate for Utah’s millennial generation suggests that</w:t>
      </w:r>
    </w:p>
    <w:p w14:paraId="5B8C680B" w14:textId="77777777" w:rsidR="007607AD" w:rsidRDefault="00FD4909">
      <w:pPr>
        <w:pStyle w:val="BodyText"/>
        <w:spacing w:before="1" w:line="276" w:lineRule="auto"/>
        <w:ind w:left="321" w:right="192"/>
      </w:pPr>
      <w:r>
        <w:t>affordability hasn’t been a serious impediment to ownership. Although for some households, the burden of student debt has prevented homeownership. This debt burden is likely responsible for some of the decline in homeownership for the group as well as a slight shift in preferences toward apartment living.”</w:t>
      </w:r>
      <w:r>
        <w:rPr>
          <w:vertAlign w:val="superscript"/>
        </w:rPr>
        <w:t>2</w:t>
      </w:r>
    </w:p>
    <w:p w14:paraId="562A4B8F" w14:textId="77777777" w:rsidR="001B4758" w:rsidRDefault="001B4758">
      <w:pPr>
        <w:pStyle w:val="BodyText"/>
        <w:spacing w:before="2"/>
      </w:pPr>
    </w:p>
    <w:p w14:paraId="34806103" w14:textId="011D253D" w:rsidR="007607AD" w:rsidRDefault="001B4758" w:rsidP="001B4758">
      <w:pPr>
        <w:pStyle w:val="BodyText"/>
        <w:spacing w:before="2"/>
        <w:ind w:left="270" w:right="140"/>
        <w:rPr>
          <w:sz w:val="25"/>
        </w:rPr>
      </w:pPr>
      <w:r>
        <w:t xml:space="preserve">In January 2022, Utah Transit Authority and the Utah Department of Transportation completed the South Valley Transit Study which evaluated options for providing high-quality transit service from Provo to Santaquin. The preferred alternative extends commuter rail from Provo to Payson and provides express bus service from Payson to Santaquin. Currently, a Station Area Plan is being prepared to evaluate the future land uses and needs associated with the future commuter rail stop. Although the construction of the </w:t>
      </w:r>
      <w:proofErr w:type="spellStart"/>
      <w:r>
        <w:t>FrontRunner</w:t>
      </w:r>
      <w:proofErr w:type="spellEnd"/>
      <w:r>
        <w:t xml:space="preserve"> station may be several years out, Payson City is excited about the possibilities this important transit connection will allow for local residents.</w:t>
      </w:r>
    </w:p>
    <w:p w14:paraId="3C1682F6" w14:textId="5F119140" w:rsidR="007607AD" w:rsidRDefault="00295039" w:rsidP="007715B0">
      <w:pPr>
        <w:pStyle w:val="BodyText"/>
        <w:spacing w:before="9"/>
        <w:rPr>
          <w:sz w:val="20"/>
        </w:rPr>
      </w:pPr>
      <w:r>
        <w:rPr>
          <w:noProof/>
        </w:rPr>
        <mc:AlternateContent>
          <mc:Choice Requires="wps">
            <w:drawing>
              <wp:anchor distT="0" distB="0" distL="0" distR="0" simplePos="0" relativeHeight="251650048" behindDoc="1" locked="0" layoutInCell="1" allowOverlap="1" wp14:anchorId="79E3981C" wp14:editId="2B4F7132">
                <wp:simplePos x="0" y="0"/>
                <wp:positionH relativeFrom="page">
                  <wp:posOffset>731520</wp:posOffset>
                </wp:positionH>
                <wp:positionV relativeFrom="paragraph">
                  <wp:posOffset>171450</wp:posOffset>
                </wp:positionV>
                <wp:extent cx="1829435" cy="0"/>
                <wp:effectExtent l="17145" t="15240" r="10795" b="13335"/>
                <wp:wrapTopAndBottom/>
                <wp:docPr id="360" name="Line 3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16764">
                          <a:solidFill>
                            <a:srgbClr val="082A75"/>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615DB2" id="Line 348" o:spid="_x0000_s1026" style="position:absolute;z-index:-2516664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7.6pt,13.5pt" to="201.6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" strokecolor="#082a75" strokeweight="1.32pt">
                <w10:wrap type="topAndBottom" anchorx="page"/>
              </v:line>
            </w:pict>
          </mc:Fallback>
        </mc:AlternateContent>
      </w:r>
    </w:p>
    <w:p w14:paraId="46AAED29" w14:textId="77777777" w:rsidR="007607AD" w:rsidRDefault="007607AD">
      <w:pPr>
        <w:pStyle w:val="BodyText"/>
        <w:spacing w:before="5"/>
        <w:rPr>
          <w:sz w:val="17"/>
        </w:rPr>
      </w:pPr>
    </w:p>
    <w:p w14:paraId="265916E9" w14:textId="77777777" w:rsidR="007607AD" w:rsidRDefault="00FD4909">
      <w:pPr>
        <w:spacing w:before="73" w:line="245" w:lineRule="exact"/>
        <w:ind w:left="172"/>
        <w:rPr>
          <w:sz w:val="20"/>
        </w:rPr>
      </w:pPr>
      <w:r>
        <w:rPr>
          <w:b/>
          <w:color w:val="082A75"/>
          <w:position w:val="7"/>
          <w:sz w:val="13"/>
        </w:rPr>
        <w:t xml:space="preserve">1 </w:t>
      </w:r>
      <w:r>
        <w:rPr>
          <w:sz w:val="20"/>
        </w:rPr>
        <w:t>Utah County Valley Visioning (https://utahvalleyvisioning.org)</w:t>
      </w:r>
    </w:p>
    <w:p w14:paraId="42D0BA64" w14:textId="77777777" w:rsidR="007607AD" w:rsidRDefault="00FD4909">
      <w:pPr>
        <w:spacing w:line="245" w:lineRule="exact"/>
        <w:ind w:left="172"/>
        <w:rPr>
          <w:b/>
          <w:sz w:val="20"/>
        </w:rPr>
      </w:pPr>
      <w:r>
        <w:rPr>
          <w:position w:val="7"/>
          <w:sz w:val="13"/>
        </w:rPr>
        <w:t xml:space="preserve">2 </w:t>
      </w:r>
      <w:r>
        <w:rPr>
          <w:sz w:val="20"/>
        </w:rPr>
        <w:t xml:space="preserve">Wood, </w:t>
      </w:r>
      <w:proofErr w:type="spellStart"/>
      <w:r>
        <w:rPr>
          <w:sz w:val="20"/>
        </w:rPr>
        <w:t>Eskic</w:t>
      </w:r>
      <w:proofErr w:type="spellEnd"/>
      <w:r>
        <w:rPr>
          <w:sz w:val="20"/>
        </w:rPr>
        <w:t xml:space="preserve">, and D.J. </w:t>
      </w:r>
      <w:proofErr w:type="spellStart"/>
      <w:r>
        <w:rPr>
          <w:sz w:val="20"/>
        </w:rPr>
        <w:t>Benway</w:t>
      </w:r>
      <w:proofErr w:type="gramStart"/>
      <w:r>
        <w:rPr>
          <w:sz w:val="20"/>
        </w:rPr>
        <w:t>.”Gardner</w:t>
      </w:r>
      <w:proofErr w:type="spellEnd"/>
      <w:proofErr w:type="gramEnd"/>
      <w:r>
        <w:rPr>
          <w:sz w:val="20"/>
        </w:rPr>
        <w:t xml:space="preserve"> Business Review.” (2018): 26</w:t>
      </w:r>
      <w:r>
        <w:rPr>
          <w:b/>
          <w:color w:val="082A75"/>
          <w:sz w:val="20"/>
        </w:rPr>
        <w:t>.</w:t>
      </w:r>
    </w:p>
    <w:p w14:paraId="5C8B6EAF" w14:textId="77777777" w:rsidR="007607AD" w:rsidRDefault="007607AD">
      <w:pPr>
        <w:spacing w:line="245" w:lineRule="exact"/>
        <w:rPr>
          <w:sz w:val="20"/>
        </w:rPr>
        <w:sectPr w:rsidR="007607AD">
          <w:pgSz w:w="12240" w:h="15840"/>
          <w:pgMar w:top="980" w:right="320" w:bottom="980" w:left="980" w:header="0" w:footer="796" w:gutter="0"/>
          <w:pgBorders w:offsetFrom="page">
            <w:top w:val="single" w:sz="4" w:space="24" w:color="000000"/>
            <w:left w:val="single" w:sz="4" w:space="24" w:color="000000"/>
            <w:bottom w:val="single" w:sz="4" w:space="24" w:color="000000"/>
            <w:right w:val="single" w:sz="4" w:space="24" w:color="000000"/>
          </w:pgBorders>
          <w:cols w:space="720"/>
        </w:sectPr>
      </w:pPr>
    </w:p>
    <w:p w14:paraId="6C22200A" w14:textId="42B6270B" w:rsidR="007607AD" w:rsidRDefault="007607AD">
      <w:pPr>
        <w:pStyle w:val="BodyText"/>
        <w:spacing w:line="90" w:lineRule="exact"/>
        <w:ind w:left="112"/>
        <w:rPr>
          <w:sz w:val="9"/>
        </w:rPr>
      </w:pPr>
    </w:p>
    <w:p w14:paraId="7434121F" w14:textId="77777777" w:rsidR="007607AD" w:rsidRDefault="007607AD">
      <w:pPr>
        <w:pStyle w:val="BodyText"/>
        <w:spacing w:before="5"/>
        <w:rPr>
          <w:b/>
          <w:sz w:val="27"/>
        </w:rPr>
      </w:pPr>
    </w:p>
    <w:p w14:paraId="0CA81E16" w14:textId="77777777" w:rsidR="007607AD" w:rsidRDefault="007607AD">
      <w:pPr>
        <w:pStyle w:val="BodyText"/>
        <w:spacing w:before="8"/>
        <w:rPr>
          <w:sz w:val="32"/>
        </w:rPr>
      </w:pPr>
    </w:p>
    <w:p w14:paraId="2896D7FC" w14:textId="77777777" w:rsidR="007607AD" w:rsidRDefault="00916654">
      <w:pPr>
        <w:pStyle w:val="Heading1"/>
      </w:pPr>
      <w:r>
        <w:t>Payson</w:t>
      </w:r>
      <w:r w:rsidR="00FD4909">
        <w:t xml:space="preserve"> City Background</w:t>
      </w:r>
    </w:p>
    <w:p w14:paraId="3DE8958B" w14:textId="57DEBED1" w:rsidR="007607AD" w:rsidRDefault="00E205A7">
      <w:pPr>
        <w:pStyle w:val="BodyText"/>
        <w:spacing w:before="239" w:line="276" w:lineRule="auto"/>
        <w:ind w:left="321" w:right="322"/>
      </w:pPr>
      <w:r>
        <w:t xml:space="preserve">The </w:t>
      </w:r>
      <w:r w:rsidR="00916654">
        <w:t>Payson</w:t>
      </w:r>
      <w:r>
        <w:t xml:space="preserve"> area had long been settled by Native Americans of the Ute and Shoshone tribes and then underwent a dramatic shift with the arrival of Mormon pioneers in 1850. </w:t>
      </w:r>
      <w:r w:rsidR="00FD4909">
        <w:t xml:space="preserve"> </w:t>
      </w:r>
    </w:p>
    <w:p w14:paraId="1EBDDBC7" w14:textId="77777777" w:rsidR="007607AD" w:rsidRDefault="007607AD">
      <w:pPr>
        <w:pStyle w:val="BodyText"/>
        <w:spacing w:before="4"/>
        <w:rPr>
          <w:sz w:val="25"/>
        </w:rPr>
      </w:pPr>
    </w:p>
    <w:p w14:paraId="74A51271" w14:textId="7BBA1C51" w:rsidR="00CB4C4D" w:rsidRDefault="00916654" w:rsidP="00CB4C4D">
      <w:pPr>
        <w:pStyle w:val="BodyText"/>
        <w:spacing w:line="276" w:lineRule="auto"/>
        <w:ind w:left="321" w:right="328"/>
      </w:pPr>
      <w:r>
        <w:t>Payson</w:t>
      </w:r>
      <w:r w:rsidR="00FD4909">
        <w:t xml:space="preserve"> City consists of approximately </w:t>
      </w:r>
      <w:r w:rsidR="006A2F5E">
        <w:t xml:space="preserve">14.08 </w:t>
      </w:r>
      <w:r w:rsidR="00FD4909">
        <w:t xml:space="preserve">square miles or </w:t>
      </w:r>
      <w:r w:rsidR="006A2F5E">
        <w:t>9,014</w:t>
      </w:r>
      <w:r w:rsidR="00FD4909">
        <w:t xml:space="preserve"> acres. As of </w:t>
      </w:r>
      <w:r w:rsidR="00FF20D8">
        <w:t>2022</w:t>
      </w:r>
      <w:r w:rsidR="00FD4909">
        <w:t xml:space="preserve">, the area zoned for residential is </w:t>
      </w:r>
      <w:r w:rsidR="00FF20D8">
        <w:t>4112.24</w:t>
      </w:r>
      <w:r w:rsidR="00FD4909">
        <w:t xml:space="preserve"> acres which encompasses approximately </w:t>
      </w:r>
      <w:r w:rsidR="00CB4C4D">
        <w:t>46</w:t>
      </w:r>
      <w:r w:rsidR="00FD4909">
        <w:t xml:space="preserve">% of the developable land area. Since </w:t>
      </w:r>
      <w:r w:rsidR="00CB4C4D">
        <w:t>incorporation</w:t>
      </w:r>
      <w:r w:rsidR="00FD4909">
        <w:t xml:space="preserve">, residential development </w:t>
      </w:r>
      <w:r w:rsidR="00CB4C4D">
        <w:t xml:space="preserve">has </w:t>
      </w:r>
      <w:r w:rsidR="00FD4909">
        <w:t xml:space="preserve">primarily </w:t>
      </w:r>
      <w:r w:rsidR="00CB4C4D">
        <w:t xml:space="preserve">been </w:t>
      </w:r>
      <w:r w:rsidR="00FD4909">
        <w:t xml:space="preserve">single-family homes with </w:t>
      </w:r>
      <w:r w:rsidR="00DA08F8">
        <w:t>average lot</w:t>
      </w:r>
      <w:r w:rsidR="00FD4909">
        <w:t xml:space="preserve"> sizes between </w:t>
      </w:r>
      <w:r w:rsidR="00CB4C4D">
        <w:t>8</w:t>
      </w:r>
      <w:r w:rsidR="00FD4909">
        <w:t xml:space="preserve">,000 and </w:t>
      </w:r>
      <w:r w:rsidR="00CB4C4D">
        <w:t>15</w:t>
      </w:r>
      <w:r w:rsidR="00FD4909">
        <w:t xml:space="preserve">,000 square feet. In the </w:t>
      </w:r>
      <w:r w:rsidR="00CB4C4D">
        <w:t xml:space="preserve">past few </w:t>
      </w:r>
      <w:r w:rsidR="00DA08F8">
        <w:t>decades, rezones for</w:t>
      </w:r>
      <w:r w:rsidR="00FD4909">
        <w:t xml:space="preserve"> smaller more affordable lots</w:t>
      </w:r>
      <w:r w:rsidR="00CB4C4D">
        <w:t xml:space="preserve"> and multi-family housing</w:t>
      </w:r>
      <w:r w:rsidR="00FD4909">
        <w:t xml:space="preserve"> has attracted a number of different housing types and price ranges. </w:t>
      </w:r>
      <w:r w:rsidR="00CB4C4D">
        <w:t>Payson has always felt like a small town and continues to promote the “home town” feel as it moves into the future. Recently, Payson has rebranded itself as the “home to adventure.” Allowing space for all housing types is an important part of that rebranding so that many future generations can call Payson “home.”</w:t>
      </w:r>
    </w:p>
    <w:p w14:paraId="7BC17F3E" w14:textId="77777777" w:rsidR="007607AD" w:rsidRDefault="007607AD">
      <w:pPr>
        <w:pStyle w:val="BodyText"/>
        <w:spacing w:before="5"/>
        <w:rPr>
          <w:sz w:val="25"/>
        </w:rPr>
      </w:pPr>
    </w:p>
    <w:p w14:paraId="1A0F7086" w14:textId="77777777" w:rsidR="007607AD" w:rsidRDefault="007607AD">
      <w:pPr>
        <w:pStyle w:val="BodyText"/>
        <w:spacing w:before="5"/>
        <w:rPr>
          <w:sz w:val="25"/>
        </w:rPr>
      </w:pPr>
    </w:p>
    <w:p w14:paraId="5D5C7F92" w14:textId="77777777" w:rsidR="007607AD" w:rsidRDefault="00FD4909">
      <w:pPr>
        <w:pStyle w:val="Heading1"/>
        <w:spacing w:before="1"/>
      </w:pPr>
      <w:r>
        <w:t>Growth Patterns</w:t>
      </w:r>
    </w:p>
    <w:p w14:paraId="4096FB66" w14:textId="3C612BDA" w:rsidR="007607AD" w:rsidRDefault="00FD4909">
      <w:pPr>
        <w:pStyle w:val="BodyText"/>
        <w:spacing w:before="241" w:line="276" w:lineRule="auto"/>
        <w:ind w:left="321" w:right="275"/>
      </w:pPr>
      <w:r>
        <w:t xml:space="preserve">Similar to other communities along the Wasatch Front, </w:t>
      </w:r>
      <w:r w:rsidR="00916654">
        <w:t>Payson</w:t>
      </w:r>
      <w:r>
        <w:t xml:space="preserve"> City has seen significant growth in residential, commercial, and industrial construction over the past 10 years. As of 2022, many large tracts of land in the commercial and residential area have been developed or are entitled for development. Much of the new residential development will occur </w:t>
      </w:r>
      <w:r w:rsidR="00BF7D60">
        <w:t>in planned nodes near 800 South and 1700 West with the Red Bridge development and at Highway 198 and 1400 East with the South Haven Farms development. Both of these nodes have adequate transportation options and appropriate infrastructure</w:t>
      </w:r>
      <w:r>
        <w:t>. The city will continue to see residential development</w:t>
      </w:r>
      <w:r w:rsidR="00195F45">
        <w:t xml:space="preserve"> in all cardinal directions</w:t>
      </w:r>
      <w:r w:rsidR="006A7896">
        <w:t xml:space="preserve"> in the coming years. Some will likely require annexation; however, several hundred acres are already entitled for future residential development. </w:t>
      </w:r>
      <w:r>
        <w:t xml:space="preserve"> The remaining commercial areas for development are located along the </w:t>
      </w:r>
      <w:r w:rsidR="006A7896">
        <w:t>I-15</w:t>
      </w:r>
      <w:r>
        <w:t xml:space="preserve"> corridor</w:t>
      </w:r>
      <w:r w:rsidR="006A7896">
        <w:t xml:space="preserve"> and in the business park</w:t>
      </w:r>
      <w:r>
        <w:t>. The city expects this area to develop commercially as a gateway corridor to the community.</w:t>
      </w:r>
    </w:p>
    <w:p w14:paraId="7B375F74" w14:textId="77777777" w:rsidR="007607AD" w:rsidRDefault="007607AD">
      <w:pPr>
        <w:pStyle w:val="BodyText"/>
        <w:spacing w:before="3"/>
        <w:rPr>
          <w:sz w:val="25"/>
        </w:rPr>
      </w:pPr>
    </w:p>
    <w:p w14:paraId="1655D875" w14:textId="77777777" w:rsidR="007607AD" w:rsidRDefault="00FD4909">
      <w:pPr>
        <w:pStyle w:val="BodyText"/>
        <w:ind w:left="321"/>
      </w:pPr>
      <w:r>
        <w:t>In January 2022, the Kem C. Gardner Policy Institute reported the following:</w:t>
      </w:r>
    </w:p>
    <w:p w14:paraId="765DC8F5" w14:textId="77777777" w:rsidR="007607AD" w:rsidRDefault="007607AD">
      <w:pPr>
        <w:pStyle w:val="BodyText"/>
        <w:spacing w:before="7"/>
        <w:rPr>
          <w:sz w:val="28"/>
        </w:rPr>
      </w:pPr>
    </w:p>
    <w:p w14:paraId="06F351A6" w14:textId="77777777" w:rsidR="007607AD" w:rsidRDefault="00FD4909">
      <w:pPr>
        <w:pStyle w:val="ListParagraph"/>
        <w:numPr>
          <w:ilvl w:val="0"/>
          <w:numId w:val="1"/>
        </w:numPr>
        <w:tabs>
          <w:tab w:val="left" w:pos="1041"/>
          <w:tab w:val="left" w:pos="1042"/>
        </w:tabs>
        <w:spacing w:line="276" w:lineRule="auto"/>
        <w:ind w:right="241"/>
      </w:pPr>
      <w:r>
        <w:t>Continued growth – Projected growth in Utah results in the population increasing from 3,284,823 in 2020 to 5,450,598 in 2060, a 66% increase. The anticipated timing for reaching 4 million residents is between 2032 and 2033 and 5 million between 2050 and</w:t>
      </w:r>
      <w:r>
        <w:rPr>
          <w:spacing w:val="-12"/>
        </w:rPr>
        <w:t xml:space="preserve"> </w:t>
      </w:r>
      <w:r>
        <w:t>2051.</w:t>
      </w:r>
    </w:p>
    <w:p w14:paraId="3F8FFD7C" w14:textId="77777777" w:rsidR="007607AD" w:rsidRDefault="00FD4909">
      <w:pPr>
        <w:pStyle w:val="ListParagraph"/>
        <w:numPr>
          <w:ilvl w:val="0"/>
          <w:numId w:val="1"/>
        </w:numPr>
        <w:tabs>
          <w:tab w:val="left" w:pos="1041"/>
          <w:tab w:val="left" w:pos="1042"/>
        </w:tabs>
      </w:pPr>
      <w:r>
        <w:t>Salt Lake County to remain the largest county – Salt Lake County’s projected 2060 population of</w:t>
      </w:r>
      <w:r>
        <w:rPr>
          <w:spacing w:val="-27"/>
        </w:rPr>
        <w:t xml:space="preserve"> </w:t>
      </w:r>
      <w:r>
        <w:t>1,672,102</w:t>
      </w:r>
    </w:p>
    <w:p w14:paraId="11FC5006" w14:textId="77777777" w:rsidR="007607AD" w:rsidRDefault="00FD4909">
      <w:pPr>
        <w:pStyle w:val="BodyText"/>
        <w:spacing w:before="41"/>
        <w:ind w:left="1041"/>
      </w:pPr>
      <w:r>
        <w:t xml:space="preserve">residents </w:t>
      </w:r>
      <w:proofErr w:type="gramStart"/>
      <w:r>
        <w:t>is</w:t>
      </w:r>
      <w:proofErr w:type="gramEnd"/>
      <w:r>
        <w:t xml:space="preserve"> the largest in Utah. Utah County is close behind at 1,338,222 residents.</w:t>
      </w:r>
    </w:p>
    <w:p w14:paraId="549C0E47" w14:textId="77777777" w:rsidR="007607AD" w:rsidRDefault="00FD4909">
      <w:pPr>
        <w:pStyle w:val="ListParagraph"/>
        <w:numPr>
          <w:ilvl w:val="0"/>
          <w:numId w:val="1"/>
        </w:numPr>
        <w:tabs>
          <w:tab w:val="left" w:pos="1041"/>
          <w:tab w:val="left" w:pos="1042"/>
        </w:tabs>
        <w:spacing w:before="101" w:line="273" w:lineRule="auto"/>
        <w:ind w:right="223"/>
      </w:pPr>
      <w:r>
        <w:t>Utah County experiences the most population growth – Over 30% of statewide projected population growth comes from Utah’s second-largest county, gaining the most residents between 2020 and</w:t>
      </w:r>
      <w:r>
        <w:rPr>
          <w:spacing w:val="-12"/>
        </w:rPr>
        <w:t xml:space="preserve"> </w:t>
      </w:r>
      <w:r>
        <w:t>2060.</w:t>
      </w:r>
    </w:p>
    <w:p w14:paraId="01DC94FC" w14:textId="77777777" w:rsidR="007607AD" w:rsidRDefault="007607AD">
      <w:pPr>
        <w:pStyle w:val="BodyText"/>
        <w:spacing w:before="8"/>
        <w:rPr>
          <w:sz w:val="25"/>
        </w:rPr>
      </w:pPr>
    </w:p>
    <w:p w14:paraId="064C3D33" w14:textId="77777777" w:rsidR="007607AD" w:rsidRDefault="00FD4909">
      <w:pPr>
        <w:pStyle w:val="BodyText"/>
        <w:ind w:left="321"/>
      </w:pPr>
      <w:r>
        <w:rPr>
          <w:noProof/>
        </w:rPr>
        <w:lastRenderedPageBreak/>
        <w:drawing>
          <wp:anchor distT="0" distB="0" distL="0" distR="0" simplePos="0" relativeHeight="251620352" behindDoc="0" locked="0" layoutInCell="1" allowOverlap="1" wp14:anchorId="1E037F98" wp14:editId="0742B441">
            <wp:simplePos x="0" y="0"/>
            <wp:positionH relativeFrom="page">
              <wp:posOffset>2407539</wp:posOffset>
            </wp:positionH>
            <wp:positionV relativeFrom="paragraph">
              <wp:posOffset>195879</wp:posOffset>
            </wp:positionV>
            <wp:extent cx="3429000" cy="4572000"/>
            <wp:effectExtent l="0" t="0" r="0" b="0"/>
            <wp:wrapTopAndBottom/>
            <wp:docPr id="1"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jpeg"/>
                    <pic:cNvPicPr/>
                  </pic:nvPicPr>
                  <pic:blipFill>
                    <a:blip r:embed="rId8" cstate="print"/>
                    <a:stretch>
                      <a:fillRect/>
                    </a:stretch>
                  </pic:blipFill>
                  <pic:spPr>
                    <a:xfrm>
                      <a:off x="0" y="0"/>
                      <a:ext cx="3429000" cy="4572000"/>
                    </a:xfrm>
                    <a:prstGeom prst="rect">
                      <a:avLst/>
                    </a:prstGeom>
                  </pic:spPr>
                </pic:pic>
              </a:graphicData>
            </a:graphic>
          </wp:anchor>
        </w:drawing>
      </w:r>
      <w:r>
        <w:t>Figure 1</w:t>
      </w:r>
    </w:p>
    <w:p w14:paraId="35D4831B" w14:textId="77777777" w:rsidR="007607AD" w:rsidRDefault="00FD4909">
      <w:pPr>
        <w:pStyle w:val="BodyText"/>
        <w:spacing w:before="14" w:line="276" w:lineRule="auto"/>
        <w:ind w:left="2872" w:right="2875"/>
      </w:pPr>
      <w:r>
        <w:t>Utah Long-Term Planning Projections: A Baseline Scenario of Population and Employment Change in Utah and its Counties</w:t>
      </w:r>
    </w:p>
    <w:p w14:paraId="34B66869" w14:textId="77777777" w:rsidR="007607AD" w:rsidRDefault="007607AD">
      <w:pPr>
        <w:pStyle w:val="BodyText"/>
      </w:pPr>
    </w:p>
    <w:p w14:paraId="7FB0D25C" w14:textId="77777777" w:rsidR="007607AD" w:rsidRDefault="007607AD">
      <w:pPr>
        <w:pStyle w:val="BodyText"/>
      </w:pPr>
    </w:p>
    <w:p w14:paraId="654798E4" w14:textId="174B4985" w:rsidR="007607AD" w:rsidRDefault="007607AD">
      <w:pPr>
        <w:pStyle w:val="BodyText"/>
        <w:spacing w:line="90" w:lineRule="exact"/>
        <w:ind w:left="112"/>
        <w:rPr>
          <w:sz w:val="9"/>
        </w:rPr>
      </w:pPr>
    </w:p>
    <w:p w14:paraId="06C15985" w14:textId="77777777" w:rsidR="007607AD" w:rsidRDefault="007607AD">
      <w:pPr>
        <w:pStyle w:val="BodyText"/>
        <w:rPr>
          <w:sz w:val="20"/>
        </w:rPr>
      </w:pPr>
    </w:p>
    <w:p w14:paraId="3FD1AE0B" w14:textId="77777777" w:rsidR="007607AD" w:rsidRDefault="00FD4909">
      <w:pPr>
        <w:pStyle w:val="Heading1"/>
        <w:spacing w:before="44"/>
      </w:pPr>
      <w:r>
        <w:t>Local Economy</w:t>
      </w:r>
    </w:p>
    <w:p w14:paraId="6A0EA101" w14:textId="0A7747DC" w:rsidR="007607AD" w:rsidRDefault="00916654">
      <w:pPr>
        <w:pStyle w:val="BodyText"/>
        <w:spacing w:before="241" w:line="276" w:lineRule="auto"/>
        <w:ind w:left="321" w:right="216"/>
      </w:pPr>
      <w:r>
        <w:t>Payson</w:t>
      </w:r>
      <w:r w:rsidR="00FD4909">
        <w:t xml:space="preserve"> City has a strong commercial, industrial and employment base within the community. The commercial and industrial sectors are located</w:t>
      </w:r>
      <w:r w:rsidR="0011197E">
        <w:t xml:space="preserve"> primarily along Highway 198, Main Street, the 800 South corridor, Utah Avenue, and the Payson Business Park</w:t>
      </w:r>
      <w:r w:rsidR="00FD4909">
        <w:t xml:space="preserve"> and encompass approximately 1,</w:t>
      </w:r>
      <w:r w:rsidR="0011197E">
        <w:t>531.27</w:t>
      </w:r>
      <w:r w:rsidR="00FD4909">
        <w:t xml:space="preserve"> acres or </w:t>
      </w:r>
      <w:r w:rsidR="0011197E">
        <w:t>17</w:t>
      </w:r>
      <w:r w:rsidR="00FD4909">
        <w:t xml:space="preserve">% of the city. </w:t>
      </w:r>
      <w:r w:rsidR="00FD4909" w:rsidRPr="001032FB">
        <w:t xml:space="preserve">According to </w:t>
      </w:r>
      <w:r w:rsidRPr="001032FB">
        <w:t>Payson</w:t>
      </w:r>
      <w:r w:rsidR="00FD4909" w:rsidRPr="001032FB">
        <w:t xml:space="preserve"> City business license records, as of </w:t>
      </w:r>
      <w:r w:rsidR="00FD4909" w:rsidRPr="00487017">
        <w:rPr>
          <w:color w:val="FF0000"/>
        </w:rPr>
        <w:t>20</w:t>
      </w:r>
      <w:r w:rsidR="00A76DF6">
        <w:rPr>
          <w:color w:val="FF0000"/>
        </w:rPr>
        <w:t>25</w:t>
      </w:r>
      <w:r w:rsidR="00FD4909" w:rsidRPr="001032FB">
        <w:t xml:space="preserve"> </w:t>
      </w:r>
      <w:r w:rsidRPr="001032FB">
        <w:t>Payson</w:t>
      </w:r>
      <w:r w:rsidR="00FD4909" w:rsidRPr="001032FB">
        <w:t xml:space="preserve"> City has nearly </w:t>
      </w:r>
      <w:r w:rsidR="00A76DF6">
        <w:rPr>
          <w:color w:val="FF0000"/>
        </w:rPr>
        <w:t>714</w:t>
      </w:r>
      <w:r w:rsidR="00FD4909" w:rsidRPr="00487017">
        <w:rPr>
          <w:color w:val="FF0000"/>
        </w:rPr>
        <w:t xml:space="preserve"> </w:t>
      </w:r>
      <w:r w:rsidR="00FD4909" w:rsidRPr="001032FB">
        <w:t>businesses within its boundaries.</w:t>
      </w:r>
    </w:p>
    <w:p w14:paraId="4E43885E" w14:textId="77777777" w:rsidR="007607AD" w:rsidRDefault="007607AD">
      <w:pPr>
        <w:spacing w:line="276" w:lineRule="auto"/>
        <w:sectPr w:rsidR="007607AD">
          <w:pgSz w:w="12240" w:h="15840"/>
          <w:pgMar w:top="980" w:right="320" w:bottom="1000" w:left="980" w:header="0" w:footer="796" w:gutter="0"/>
          <w:pgBorders w:offsetFrom="page">
            <w:top w:val="single" w:sz="4" w:space="24" w:color="000000"/>
            <w:left w:val="single" w:sz="4" w:space="24" w:color="000000"/>
            <w:bottom w:val="single" w:sz="4" w:space="24" w:color="000000"/>
            <w:right w:val="single" w:sz="4" w:space="24" w:color="000000"/>
          </w:pgBorders>
          <w:cols w:space="720"/>
        </w:sectPr>
      </w:pPr>
    </w:p>
    <w:p w14:paraId="0FD3524C" w14:textId="619E43F1" w:rsidR="007607AD" w:rsidRDefault="007607AD">
      <w:pPr>
        <w:pStyle w:val="BodyText"/>
        <w:spacing w:line="90" w:lineRule="exact"/>
        <w:ind w:left="112"/>
        <w:rPr>
          <w:sz w:val="9"/>
        </w:rPr>
      </w:pPr>
    </w:p>
    <w:p w14:paraId="3908E069" w14:textId="77777777" w:rsidR="007607AD" w:rsidRDefault="007607AD">
      <w:pPr>
        <w:pStyle w:val="BodyText"/>
        <w:rPr>
          <w:sz w:val="20"/>
        </w:rPr>
      </w:pPr>
    </w:p>
    <w:p w14:paraId="2495FBD4" w14:textId="77777777" w:rsidR="007607AD" w:rsidRDefault="007607AD">
      <w:pPr>
        <w:pStyle w:val="BodyText"/>
        <w:spacing w:before="2"/>
        <w:rPr>
          <w:sz w:val="24"/>
        </w:rPr>
      </w:pPr>
    </w:p>
    <w:p w14:paraId="28EACC22" w14:textId="77777777" w:rsidR="007607AD" w:rsidRDefault="00FD4909">
      <w:pPr>
        <w:pStyle w:val="Heading1"/>
        <w:spacing w:before="92"/>
        <w:ind w:left="342" w:right="225"/>
        <w:jc w:val="center"/>
        <w:rPr>
          <w:rFonts w:ascii="Arial"/>
        </w:rPr>
      </w:pPr>
      <w:r>
        <w:rPr>
          <w:rFonts w:ascii="Arial"/>
        </w:rPr>
        <w:t>Section II</w:t>
      </w:r>
    </w:p>
    <w:p w14:paraId="52A5FF34" w14:textId="77777777" w:rsidR="007607AD" w:rsidRDefault="00FD4909">
      <w:pPr>
        <w:pStyle w:val="Heading1"/>
        <w:spacing w:before="47"/>
        <w:rPr>
          <w:rFonts w:ascii="Arial"/>
        </w:rPr>
      </w:pPr>
      <w:r>
        <w:rPr>
          <w:rFonts w:ascii="Arial"/>
        </w:rPr>
        <w:t>Demographic Data and Analysis</w:t>
      </w:r>
    </w:p>
    <w:p w14:paraId="453C5956" w14:textId="77777777" w:rsidR="007607AD" w:rsidRDefault="00FD4909">
      <w:pPr>
        <w:pStyle w:val="Heading1"/>
        <w:spacing w:before="109"/>
      </w:pPr>
      <w:r>
        <w:t>Population History</w:t>
      </w:r>
    </w:p>
    <w:p w14:paraId="373C2437" w14:textId="77777777" w:rsidR="007607AD" w:rsidRDefault="007607AD">
      <w:pPr>
        <w:pStyle w:val="BodyText"/>
        <w:spacing w:before="1"/>
        <w:rPr>
          <w:b/>
          <w:sz w:val="15"/>
        </w:rPr>
      </w:pPr>
    </w:p>
    <w:p w14:paraId="19462202" w14:textId="0CEC5E2F" w:rsidR="007607AD" w:rsidRDefault="006A6F19" w:rsidP="00DC3A56">
      <w:pPr>
        <w:pStyle w:val="BodyText"/>
        <w:spacing w:before="56" w:line="259" w:lineRule="auto"/>
        <w:ind w:left="321" w:right="229"/>
      </w:pPr>
      <w:r>
        <w:t>Since the middle of the last century, Payson’s population has steadily increased.</w:t>
      </w:r>
      <w:r w:rsidR="00FD4909">
        <w:t xml:space="preserve"> By 2000, the population had reached </w:t>
      </w:r>
      <w:r>
        <w:t>12.716</w:t>
      </w:r>
      <w:r w:rsidR="00FD4909">
        <w:t xml:space="preserve"> residents. The 2010 Census records show the population </w:t>
      </w:r>
      <w:r w:rsidR="00DC3A56">
        <w:t xml:space="preserve">had </w:t>
      </w:r>
      <w:r w:rsidR="00FD4909">
        <w:t>increased to 1</w:t>
      </w:r>
      <w:r w:rsidR="00DC3A56">
        <w:t>8,294 residents in a decade</w:t>
      </w:r>
      <w:r w:rsidR="00FD4909">
        <w:t xml:space="preserve">. </w:t>
      </w:r>
      <w:r w:rsidR="00DC3A56">
        <w:t>As of 2021, Census data marks the population of Payson at 22,142 residents.</w:t>
      </w:r>
      <w:r w:rsidR="00FD4909">
        <w:t xml:space="preserve"> According to the </w:t>
      </w:r>
      <w:r w:rsidR="00916654">
        <w:t>Payson</w:t>
      </w:r>
      <w:r w:rsidR="00FD4909">
        <w:t xml:space="preserve"> General Plan, the city will have an estimated population </w:t>
      </w:r>
      <w:r w:rsidR="00DC3A56">
        <w:t>of 67,000</w:t>
      </w:r>
      <w:r w:rsidR="00FD4909">
        <w:t xml:space="preserve"> residents</w:t>
      </w:r>
      <w:r w:rsidR="00DC3A56">
        <w:t xml:space="preserve"> in 2060</w:t>
      </w:r>
      <w:r w:rsidR="00FD4909">
        <w:t>.</w:t>
      </w:r>
      <w:r w:rsidR="001A4FB4">
        <w:t xml:space="preserve"> The chart below represents the population growth of the city since 1960. </w:t>
      </w:r>
    </w:p>
    <w:p w14:paraId="329359E7" w14:textId="77777777" w:rsidR="007607AD" w:rsidRDefault="007607AD">
      <w:pPr>
        <w:pStyle w:val="BodyText"/>
        <w:spacing w:before="8"/>
        <w:rPr>
          <w:sz w:val="23"/>
        </w:rPr>
      </w:pPr>
    </w:p>
    <w:p w14:paraId="59ECCF14" w14:textId="77777777" w:rsidR="007607AD" w:rsidRDefault="00FD4909">
      <w:pPr>
        <w:pStyle w:val="BodyText"/>
        <w:ind w:left="321"/>
        <w:rPr>
          <w:color w:val="082A75"/>
        </w:rPr>
      </w:pPr>
      <w:r>
        <w:rPr>
          <w:color w:val="082A75"/>
        </w:rPr>
        <w:t>Chart 1</w:t>
      </w:r>
    </w:p>
    <w:p w14:paraId="6CD11C23" w14:textId="3280AC01" w:rsidR="00DC3A56" w:rsidRDefault="00DC3A56" w:rsidP="00DC3A56">
      <w:pPr>
        <w:pStyle w:val="BodyText"/>
        <w:ind w:left="321"/>
        <w:jc w:val="center"/>
      </w:pPr>
    </w:p>
    <w:p w14:paraId="2D315DCE" w14:textId="4B75B141" w:rsidR="00DC3A56" w:rsidRDefault="00573659">
      <w:pPr>
        <w:pStyle w:val="BodyText"/>
        <w:spacing w:line="259" w:lineRule="auto"/>
        <w:ind w:left="321" w:right="222"/>
      </w:pPr>
      <w:r>
        <w:rPr>
          <w:noProof/>
        </w:rPr>
        <w:drawing>
          <wp:anchor distT="0" distB="0" distL="114300" distR="114300" simplePos="0" relativeHeight="251658240" behindDoc="0" locked="0" layoutInCell="1" allowOverlap="1" wp14:anchorId="7D1DD6BD" wp14:editId="3226D407">
            <wp:simplePos x="0" y="0"/>
            <wp:positionH relativeFrom="page">
              <wp:align>center</wp:align>
            </wp:positionH>
            <wp:positionV relativeFrom="paragraph">
              <wp:posOffset>7620</wp:posOffset>
            </wp:positionV>
            <wp:extent cx="4572000" cy="2743200"/>
            <wp:effectExtent l="0" t="0" r="0" b="0"/>
            <wp:wrapSquare wrapText="bothSides"/>
            <wp:docPr id="1183824543" name="Chart 1">
              <a:extLst xmlns:a="http://schemas.openxmlformats.org/drawingml/2006/main">
                <a:ext uri="{FF2B5EF4-FFF2-40B4-BE49-F238E27FC236}">
                  <a16:creationId xmlns:a16="http://schemas.microsoft.com/office/drawing/2014/main" id="{DFF5E918-7B59-424D-A7D6-F32C0E5FF1D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p>
    <w:p w14:paraId="59E881AC" w14:textId="77777777" w:rsidR="00DC3A56" w:rsidRDefault="00DC3A56">
      <w:pPr>
        <w:pStyle w:val="BodyText"/>
        <w:spacing w:line="259" w:lineRule="auto"/>
        <w:ind w:left="321" w:right="222"/>
      </w:pPr>
    </w:p>
    <w:p w14:paraId="363216B5" w14:textId="77777777" w:rsidR="007607AD" w:rsidRDefault="007607AD">
      <w:pPr>
        <w:spacing w:line="259" w:lineRule="auto"/>
        <w:sectPr w:rsidR="007607AD">
          <w:pgSz w:w="12240" w:h="15840"/>
          <w:pgMar w:top="980" w:right="320" w:bottom="1000" w:left="980" w:header="0" w:footer="796" w:gutter="0"/>
          <w:pgBorders w:offsetFrom="page">
            <w:top w:val="single" w:sz="4" w:space="24" w:color="000000"/>
            <w:left w:val="single" w:sz="4" w:space="24" w:color="000000"/>
            <w:bottom w:val="single" w:sz="4" w:space="24" w:color="000000"/>
            <w:right w:val="single" w:sz="4" w:space="24" w:color="000000"/>
          </w:pgBorders>
          <w:cols w:space="720"/>
        </w:sectPr>
      </w:pPr>
    </w:p>
    <w:p w14:paraId="3A9DEBFB" w14:textId="62E5DB42" w:rsidR="007607AD" w:rsidRDefault="007607AD">
      <w:pPr>
        <w:pStyle w:val="BodyText"/>
        <w:spacing w:line="90" w:lineRule="exact"/>
        <w:ind w:left="112"/>
        <w:rPr>
          <w:sz w:val="9"/>
        </w:rPr>
      </w:pPr>
    </w:p>
    <w:p w14:paraId="5772C7EF" w14:textId="77777777" w:rsidR="007607AD" w:rsidRDefault="007607AD">
      <w:pPr>
        <w:pStyle w:val="BodyText"/>
        <w:spacing w:before="5"/>
        <w:rPr>
          <w:sz w:val="27"/>
        </w:rPr>
      </w:pPr>
    </w:p>
    <w:p w14:paraId="696D0E2A" w14:textId="77777777" w:rsidR="007607AD" w:rsidRDefault="00FD4909">
      <w:pPr>
        <w:pStyle w:val="BodyText"/>
        <w:spacing w:before="56" w:after="14"/>
        <w:ind w:left="321"/>
      </w:pPr>
      <w:r>
        <w:t>Chart 2</w:t>
      </w:r>
    </w:p>
    <w:p w14:paraId="17C54225" w14:textId="02832C09" w:rsidR="007607AD" w:rsidRDefault="00CF6592">
      <w:pPr>
        <w:pStyle w:val="BodyText"/>
        <w:ind w:left="1318"/>
        <w:rPr>
          <w:sz w:val="20"/>
        </w:rPr>
      </w:pPr>
      <w:r>
        <w:rPr>
          <w:noProof/>
        </w:rPr>
        <w:drawing>
          <wp:inline distT="0" distB="0" distL="0" distR="0" wp14:anchorId="7D3D0FEF" wp14:editId="2A994CA6">
            <wp:extent cx="4572000" cy="2743200"/>
            <wp:effectExtent l="0" t="0" r="0" b="0"/>
            <wp:docPr id="364" name="Chart 364">
              <a:extLst xmlns:a="http://schemas.openxmlformats.org/drawingml/2006/main">
                <a:ext uri="{FF2B5EF4-FFF2-40B4-BE49-F238E27FC236}">
                  <a16:creationId xmlns:a16="http://schemas.microsoft.com/office/drawing/2014/main" id="{DB5ED5C5-FF63-413D-A962-647743C1DC4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0587339A" w14:textId="77777777" w:rsidR="007607AD" w:rsidRDefault="00FD4909">
      <w:pPr>
        <w:pStyle w:val="BodyText"/>
        <w:spacing w:before="23"/>
        <w:ind w:left="1341"/>
      </w:pPr>
      <w:r>
        <w:t xml:space="preserve">U.S. Census Bureau – </w:t>
      </w:r>
      <w:r w:rsidR="00916654">
        <w:t>Payson</w:t>
      </w:r>
      <w:r>
        <w:t xml:space="preserve"> City 2020</w:t>
      </w:r>
    </w:p>
    <w:p w14:paraId="2ED34A3A" w14:textId="77777777" w:rsidR="007607AD" w:rsidRDefault="007607AD">
      <w:pPr>
        <w:pStyle w:val="BodyText"/>
        <w:spacing w:before="9"/>
        <w:rPr>
          <w:sz w:val="28"/>
        </w:rPr>
      </w:pPr>
    </w:p>
    <w:p w14:paraId="62EC6233" w14:textId="77777777" w:rsidR="007607AD" w:rsidRDefault="007607AD">
      <w:pPr>
        <w:pStyle w:val="BodyText"/>
        <w:spacing w:before="4"/>
        <w:rPr>
          <w:sz w:val="25"/>
        </w:rPr>
      </w:pPr>
    </w:p>
    <w:p w14:paraId="218034D7" w14:textId="0890AC0E" w:rsidR="007607AD" w:rsidRDefault="00FD4909">
      <w:pPr>
        <w:pStyle w:val="BodyText"/>
        <w:spacing w:line="259" w:lineRule="auto"/>
        <w:ind w:left="321" w:right="202"/>
      </w:pPr>
      <w:r>
        <w:t xml:space="preserve">The </w:t>
      </w:r>
      <w:r w:rsidR="00CF6592">
        <w:t>above chart c</w:t>
      </w:r>
      <w:r>
        <w:t xml:space="preserve">ompares population percentages by age from </w:t>
      </w:r>
      <w:r w:rsidR="00916654">
        <w:t>Payson</w:t>
      </w:r>
      <w:r>
        <w:t xml:space="preserve"> City, Utah County, </w:t>
      </w:r>
      <w:r w:rsidR="00CF6592">
        <w:t xml:space="preserve">and </w:t>
      </w:r>
      <w:r>
        <w:t xml:space="preserve">the State of Utah. Interestingly, </w:t>
      </w:r>
      <w:r w:rsidR="00916654">
        <w:t>Payson</w:t>
      </w:r>
      <w:r>
        <w:t xml:space="preserve"> City’s population exceeds the comparable averages in children 10 to 14 years old and teenagers from 15 to 19 years old. The numbers again show that</w:t>
      </w:r>
      <w:r w:rsidR="00C43BBF">
        <w:t>, while lower than Utah County,</w:t>
      </w:r>
      <w:r>
        <w:t xml:space="preserve"> </w:t>
      </w:r>
      <w:r w:rsidR="00916654">
        <w:t>Payson</w:t>
      </w:r>
      <w:r>
        <w:t xml:space="preserve"> City has </w:t>
      </w:r>
      <w:r w:rsidR="00C43BBF">
        <w:t xml:space="preserve">a comparable number of </w:t>
      </w:r>
      <w:r>
        <w:t>young adults from 25-44 years old</w:t>
      </w:r>
      <w:r w:rsidR="00CF6592">
        <w:t xml:space="preserve"> compared to the State</w:t>
      </w:r>
      <w:r>
        <w:t xml:space="preserve">. </w:t>
      </w:r>
      <w:r w:rsidR="00C43BBF">
        <w:t xml:space="preserve">Additionally, Payson has comparable numbers of adults from 30 to 49, but dips sharply in the ages of 50 to 54 and is generally lower in advancing age groups. This information clearly shows the Payson has a larger percentage of young people than in other areas of the County and State. </w:t>
      </w:r>
    </w:p>
    <w:p w14:paraId="4E77EEAD" w14:textId="77777777" w:rsidR="007607AD" w:rsidRDefault="007607AD">
      <w:pPr>
        <w:pStyle w:val="BodyText"/>
        <w:spacing w:before="10"/>
        <w:rPr>
          <w:sz w:val="20"/>
        </w:rPr>
      </w:pPr>
    </w:p>
    <w:p w14:paraId="35745147" w14:textId="77777777" w:rsidR="007607AD" w:rsidRDefault="00FD4909">
      <w:pPr>
        <w:pStyle w:val="Heading1"/>
        <w:spacing w:before="1"/>
      </w:pPr>
      <w:proofErr w:type="gramStart"/>
      <w:r>
        <w:t>5 and 10 Year</w:t>
      </w:r>
      <w:proofErr w:type="gramEnd"/>
      <w:r>
        <w:t xml:space="preserve"> Population Projections</w:t>
      </w:r>
    </w:p>
    <w:p w14:paraId="4A5EE191" w14:textId="231A97D8" w:rsidR="007607AD" w:rsidRDefault="00FD4909">
      <w:pPr>
        <w:pStyle w:val="BodyText"/>
        <w:spacing w:before="241" w:line="259" w:lineRule="auto"/>
        <w:ind w:left="321" w:right="373"/>
      </w:pPr>
      <w:r>
        <w:t>The Census Bureau calculates the 202</w:t>
      </w:r>
      <w:r w:rsidR="006F71F2">
        <w:t>1</w:t>
      </w:r>
      <w:r>
        <w:t xml:space="preserve"> population of </w:t>
      </w:r>
      <w:r w:rsidR="00916654">
        <w:t>Payson</w:t>
      </w:r>
      <w:r>
        <w:t xml:space="preserve"> at </w:t>
      </w:r>
      <w:r w:rsidR="006F71F2">
        <w:t>22,142</w:t>
      </w:r>
      <w:r>
        <w:t xml:space="preserve">. </w:t>
      </w:r>
      <w:proofErr w:type="spellStart"/>
      <w:r>
        <w:t>Mountainland</w:t>
      </w:r>
      <w:proofErr w:type="spellEnd"/>
      <w:r>
        <w:t xml:space="preserve"> Association of Governments (MAG) has provided population projects for cities in Utah, Summit and Wasatch Counties. MAG estimates the following population projections:</w:t>
      </w:r>
    </w:p>
    <w:p w14:paraId="35004A2C" w14:textId="77777777" w:rsidR="007607AD" w:rsidRDefault="007607AD">
      <w:pPr>
        <w:pStyle w:val="BodyText"/>
        <w:spacing w:before="8"/>
        <w:rPr>
          <w:sz w:val="23"/>
        </w:rPr>
      </w:pPr>
    </w:p>
    <w:p w14:paraId="672A534C" w14:textId="1228CE24" w:rsidR="007607AD" w:rsidRDefault="00FD4909">
      <w:pPr>
        <w:pStyle w:val="BodyText"/>
        <w:spacing w:before="1" w:after="20"/>
        <w:ind w:left="321"/>
      </w:pPr>
      <w:r>
        <w:t xml:space="preserve">Table </w:t>
      </w:r>
      <w:r w:rsidR="001A4FB4">
        <w:t>1</w:t>
      </w:r>
    </w:p>
    <w:tbl>
      <w:tblPr>
        <w:tblW w:w="0" w:type="auto"/>
        <w:tblInd w:w="3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3"/>
        <w:gridCol w:w="1736"/>
        <w:gridCol w:w="1733"/>
        <w:gridCol w:w="1736"/>
        <w:gridCol w:w="1734"/>
      </w:tblGrid>
      <w:tr w:rsidR="007607AD" w14:paraId="761E66C4" w14:textId="77777777">
        <w:trPr>
          <w:trHeight w:val="290"/>
        </w:trPr>
        <w:tc>
          <w:tcPr>
            <w:tcW w:w="1733" w:type="dxa"/>
          </w:tcPr>
          <w:p w14:paraId="5DCA783A" w14:textId="77777777" w:rsidR="007607AD" w:rsidRDefault="007607AD">
            <w:pPr>
              <w:pStyle w:val="TableParagraph"/>
              <w:spacing w:line="240" w:lineRule="auto"/>
              <w:rPr>
                <w:rFonts w:ascii="Times New Roman"/>
                <w:sz w:val="20"/>
              </w:rPr>
            </w:pPr>
          </w:p>
        </w:tc>
        <w:tc>
          <w:tcPr>
            <w:tcW w:w="1736" w:type="dxa"/>
          </w:tcPr>
          <w:p w14:paraId="3B733F4F" w14:textId="77777777" w:rsidR="007607AD" w:rsidRDefault="00FD4909">
            <w:pPr>
              <w:pStyle w:val="TableParagraph"/>
              <w:spacing w:before="1" w:line="240" w:lineRule="auto"/>
              <w:ind w:left="107"/>
            </w:pPr>
            <w:r>
              <w:t>2020</w:t>
            </w:r>
          </w:p>
        </w:tc>
        <w:tc>
          <w:tcPr>
            <w:tcW w:w="1733" w:type="dxa"/>
          </w:tcPr>
          <w:p w14:paraId="4F50854D" w14:textId="77777777" w:rsidR="007607AD" w:rsidRDefault="00FD4909">
            <w:pPr>
              <w:pStyle w:val="TableParagraph"/>
              <w:spacing w:before="1" w:line="240" w:lineRule="auto"/>
              <w:ind w:left="104"/>
            </w:pPr>
            <w:r>
              <w:t>2030</w:t>
            </w:r>
          </w:p>
        </w:tc>
        <w:tc>
          <w:tcPr>
            <w:tcW w:w="1736" w:type="dxa"/>
          </w:tcPr>
          <w:p w14:paraId="5F16BF60" w14:textId="77777777" w:rsidR="007607AD" w:rsidRDefault="00FD4909">
            <w:pPr>
              <w:pStyle w:val="TableParagraph"/>
              <w:spacing w:before="1" w:line="240" w:lineRule="auto"/>
              <w:ind w:left="107"/>
            </w:pPr>
            <w:r>
              <w:t>2040</w:t>
            </w:r>
          </w:p>
        </w:tc>
        <w:tc>
          <w:tcPr>
            <w:tcW w:w="1734" w:type="dxa"/>
          </w:tcPr>
          <w:p w14:paraId="06B8AF01" w14:textId="77777777" w:rsidR="007607AD" w:rsidRDefault="00FD4909">
            <w:pPr>
              <w:pStyle w:val="TableParagraph"/>
              <w:spacing w:before="1" w:line="240" w:lineRule="auto"/>
              <w:ind w:left="104"/>
            </w:pPr>
            <w:r>
              <w:t>2050</w:t>
            </w:r>
          </w:p>
        </w:tc>
      </w:tr>
      <w:tr w:rsidR="007607AD" w14:paraId="61FD6419" w14:textId="77777777">
        <w:trPr>
          <w:trHeight w:val="290"/>
        </w:trPr>
        <w:tc>
          <w:tcPr>
            <w:tcW w:w="1733" w:type="dxa"/>
          </w:tcPr>
          <w:p w14:paraId="07597042" w14:textId="77777777" w:rsidR="007607AD" w:rsidRDefault="00916654">
            <w:pPr>
              <w:pStyle w:val="TableParagraph"/>
              <w:spacing w:before="1" w:line="240" w:lineRule="auto"/>
              <w:ind w:left="107"/>
            </w:pPr>
            <w:r>
              <w:t>Payson</w:t>
            </w:r>
          </w:p>
        </w:tc>
        <w:tc>
          <w:tcPr>
            <w:tcW w:w="1736" w:type="dxa"/>
          </w:tcPr>
          <w:p w14:paraId="0D343B9E" w14:textId="0FB1AAB1" w:rsidR="007607AD" w:rsidRDefault="006F71F2">
            <w:pPr>
              <w:pStyle w:val="TableParagraph"/>
              <w:spacing w:before="1" w:line="240" w:lineRule="auto"/>
              <w:ind w:left="107"/>
            </w:pPr>
            <w:r>
              <w:t>22,832</w:t>
            </w:r>
          </w:p>
        </w:tc>
        <w:tc>
          <w:tcPr>
            <w:tcW w:w="1733" w:type="dxa"/>
          </w:tcPr>
          <w:p w14:paraId="27DFD33F" w14:textId="714E5838" w:rsidR="007607AD" w:rsidRDefault="000864C4">
            <w:pPr>
              <w:pStyle w:val="TableParagraph"/>
              <w:spacing w:before="1" w:line="240" w:lineRule="auto"/>
              <w:ind w:left="104"/>
            </w:pPr>
            <w:r w:rsidRPr="000864C4">
              <w:rPr>
                <w:color w:val="FF0000"/>
              </w:rPr>
              <w:t>27,598</w:t>
            </w:r>
          </w:p>
        </w:tc>
        <w:tc>
          <w:tcPr>
            <w:tcW w:w="1736" w:type="dxa"/>
          </w:tcPr>
          <w:p w14:paraId="50B7F03A" w14:textId="0F1F5CF1" w:rsidR="007607AD" w:rsidRDefault="000864C4">
            <w:pPr>
              <w:pStyle w:val="TableParagraph"/>
              <w:spacing w:before="1" w:line="240" w:lineRule="auto"/>
              <w:ind w:left="107"/>
            </w:pPr>
            <w:r w:rsidRPr="000864C4">
              <w:rPr>
                <w:color w:val="FF0000"/>
              </w:rPr>
              <w:t>38,838</w:t>
            </w:r>
          </w:p>
        </w:tc>
        <w:tc>
          <w:tcPr>
            <w:tcW w:w="1734" w:type="dxa"/>
          </w:tcPr>
          <w:p w14:paraId="3B87C0D4" w14:textId="2958C569" w:rsidR="007607AD" w:rsidRDefault="000864C4">
            <w:pPr>
              <w:pStyle w:val="TableParagraph"/>
              <w:spacing w:before="1" w:line="240" w:lineRule="auto"/>
              <w:ind w:left="104"/>
            </w:pPr>
            <w:r w:rsidRPr="000864C4">
              <w:rPr>
                <w:color w:val="FF0000"/>
              </w:rPr>
              <w:t>60,188</w:t>
            </w:r>
          </w:p>
        </w:tc>
      </w:tr>
    </w:tbl>
    <w:p w14:paraId="50F6002D" w14:textId="77777777" w:rsidR="007607AD" w:rsidRDefault="007607AD">
      <w:pPr>
        <w:pStyle w:val="BodyText"/>
        <w:spacing w:before="8"/>
        <w:rPr>
          <w:sz w:val="23"/>
        </w:rPr>
      </w:pPr>
    </w:p>
    <w:p w14:paraId="0871AA2C" w14:textId="4D9A045E" w:rsidR="007607AD" w:rsidRDefault="00916654">
      <w:pPr>
        <w:pStyle w:val="BodyText"/>
        <w:spacing w:before="1" w:line="276" w:lineRule="auto"/>
        <w:ind w:left="321" w:right="468"/>
      </w:pPr>
      <w:r>
        <w:t>Payson</w:t>
      </w:r>
      <w:r w:rsidR="00FD4909">
        <w:t xml:space="preserve"> City</w:t>
      </w:r>
      <w:r w:rsidR="006F71F2">
        <w:t xml:space="preserve"> is consistent with the trends projected by MAG and building permit data support</w:t>
      </w:r>
      <w:r w:rsidR="000864C4">
        <w:t>s</w:t>
      </w:r>
      <w:r w:rsidR="006F71F2">
        <w:t xml:space="preserve"> continued growth</w:t>
      </w:r>
      <w:r w:rsidR="00FD4909">
        <w:t>.</w:t>
      </w:r>
      <w:r w:rsidR="006F71F2">
        <w:t xml:space="preserve"> Payson still has large amounts of undeveloped land in its Annexation Policy Plan and it is anticipated that the rate of growth will continue to increase over the next several decades. </w:t>
      </w:r>
    </w:p>
    <w:p w14:paraId="0B9A1C13" w14:textId="77777777" w:rsidR="007607AD" w:rsidRDefault="007607AD">
      <w:pPr>
        <w:spacing w:line="276" w:lineRule="auto"/>
        <w:sectPr w:rsidR="007607AD">
          <w:pgSz w:w="12240" w:h="15840"/>
          <w:pgMar w:top="980" w:right="320" w:bottom="1000" w:left="980" w:header="0" w:footer="796" w:gutter="0"/>
          <w:pgBorders w:offsetFrom="page">
            <w:top w:val="single" w:sz="4" w:space="24" w:color="000000"/>
            <w:left w:val="single" w:sz="4" w:space="24" w:color="000000"/>
            <w:bottom w:val="single" w:sz="4" w:space="24" w:color="000000"/>
            <w:right w:val="single" w:sz="4" w:space="24" w:color="000000"/>
          </w:pgBorders>
          <w:cols w:space="720"/>
        </w:sectPr>
      </w:pPr>
    </w:p>
    <w:p w14:paraId="3233C052" w14:textId="42790136" w:rsidR="007607AD" w:rsidRDefault="007607AD">
      <w:pPr>
        <w:pStyle w:val="BodyText"/>
        <w:spacing w:line="90" w:lineRule="exact"/>
        <w:ind w:left="112"/>
        <w:rPr>
          <w:sz w:val="9"/>
        </w:rPr>
      </w:pPr>
    </w:p>
    <w:p w14:paraId="0665E535" w14:textId="77777777" w:rsidR="007607AD" w:rsidRDefault="007607AD">
      <w:pPr>
        <w:pStyle w:val="BodyText"/>
        <w:spacing w:before="6"/>
        <w:rPr>
          <w:sz w:val="28"/>
        </w:rPr>
      </w:pPr>
    </w:p>
    <w:p w14:paraId="0E16C673" w14:textId="77777777" w:rsidR="007607AD" w:rsidRDefault="00FD4909">
      <w:pPr>
        <w:pStyle w:val="Heading1"/>
        <w:spacing w:before="44"/>
      </w:pPr>
      <w:r>
        <w:t>Income Trends</w:t>
      </w:r>
    </w:p>
    <w:p w14:paraId="1AC7D2FE" w14:textId="12C9AECE" w:rsidR="007607AD" w:rsidRDefault="00FD4909">
      <w:pPr>
        <w:pStyle w:val="BodyText"/>
        <w:spacing w:before="238" w:line="259" w:lineRule="auto"/>
        <w:ind w:left="321" w:right="209"/>
      </w:pPr>
      <w:r>
        <w:t>The Bureau of Labor Statistics’ annual Consumer Expenditure Survey confirmed that housing was the single largest expense for the average American household.</w:t>
      </w:r>
      <w:r>
        <w:rPr>
          <w:vertAlign w:val="superscript"/>
        </w:rPr>
        <w:t>3</w:t>
      </w:r>
      <w:r>
        <w:t xml:space="preserve"> The following chart shows the </w:t>
      </w:r>
      <w:r w:rsidR="004F0664" w:rsidRPr="0009030D">
        <w:rPr>
          <w:color w:val="FF0000"/>
        </w:rPr>
        <w:t>202</w:t>
      </w:r>
      <w:r w:rsidR="0009030D" w:rsidRPr="0009030D">
        <w:rPr>
          <w:color w:val="FF0000"/>
        </w:rPr>
        <w:t>3</w:t>
      </w:r>
      <w:r>
        <w:t xml:space="preserve"> estimated distribution of income for the </w:t>
      </w:r>
      <w:r w:rsidR="0009030D" w:rsidRPr="0009030D">
        <w:rPr>
          <w:color w:val="FF0000"/>
        </w:rPr>
        <w:t>6,674</w:t>
      </w:r>
      <w:r w:rsidRPr="0009030D">
        <w:rPr>
          <w:color w:val="FF0000"/>
        </w:rPr>
        <w:t xml:space="preserve"> </w:t>
      </w:r>
      <w:r w:rsidR="0009030D" w:rsidRPr="0009030D">
        <w:rPr>
          <w:color w:val="FF0000"/>
        </w:rPr>
        <w:t>households</w:t>
      </w:r>
      <w:r>
        <w:t xml:space="preserve"> in </w:t>
      </w:r>
      <w:r w:rsidR="00916654">
        <w:t>Payson</w:t>
      </w:r>
      <w:r>
        <w:t xml:space="preserve"> City. The median household income for </w:t>
      </w:r>
      <w:r w:rsidR="0009030D" w:rsidRPr="0009030D">
        <w:rPr>
          <w:color w:val="FF0000"/>
        </w:rPr>
        <w:t>Utah County</w:t>
      </w:r>
      <w:r w:rsidRPr="0009030D">
        <w:rPr>
          <w:color w:val="FF0000"/>
        </w:rPr>
        <w:t xml:space="preserve"> </w:t>
      </w:r>
      <w:r>
        <w:t xml:space="preserve">is </w:t>
      </w:r>
      <w:r w:rsidRPr="0009030D">
        <w:rPr>
          <w:color w:val="FF0000"/>
        </w:rPr>
        <w:t>$</w:t>
      </w:r>
      <w:r w:rsidR="0009030D" w:rsidRPr="0009030D">
        <w:rPr>
          <w:color w:val="FF0000"/>
        </w:rPr>
        <w:t>84,286</w:t>
      </w:r>
      <w:r w:rsidR="009F0BAC">
        <w:t>.</w:t>
      </w:r>
      <w:r w:rsidR="00AC4163">
        <w:t xml:space="preserve"> The chart below shows the distribution of income levels for the households in Payson. According to the </w:t>
      </w:r>
      <w:r w:rsidR="00176245">
        <w:t>Census Bureau</w:t>
      </w:r>
      <w:r w:rsidR="0009030D" w:rsidRPr="0009030D">
        <w:rPr>
          <w:color w:val="FF0000"/>
        </w:rPr>
        <w:t>’s 2023 American Community Survey</w:t>
      </w:r>
      <w:r w:rsidR="00176245" w:rsidRPr="0009030D">
        <w:rPr>
          <w:color w:val="FF0000"/>
        </w:rPr>
        <w:t xml:space="preserve">, </w:t>
      </w:r>
      <w:r w:rsidR="00176245">
        <w:t xml:space="preserve">the Area Median Income for households in </w:t>
      </w:r>
      <w:r w:rsidR="0009030D">
        <w:t>Payson</w:t>
      </w:r>
      <w:r w:rsidR="00176245">
        <w:t xml:space="preserve"> is </w:t>
      </w:r>
      <w:r w:rsidR="00176245" w:rsidRPr="0009030D">
        <w:rPr>
          <w:color w:val="FF0000"/>
        </w:rPr>
        <w:t>$</w:t>
      </w:r>
      <w:r w:rsidR="0009030D" w:rsidRPr="0009030D">
        <w:rPr>
          <w:color w:val="FF0000"/>
        </w:rPr>
        <w:t>84,286</w:t>
      </w:r>
      <w:r w:rsidR="00176245">
        <w:t xml:space="preserve">. In Payson, over </w:t>
      </w:r>
      <w:r w:rsidR="0009030D" w:rsidRPr="0009030D">
        <w:rPr>
          <w:color w:val="FF0000"/>
        </w:rPr>
        <w:t>44</w:t>
      </w:r>
      <w:r w:rsidR="00176245" w:rsidRPr="0009030D">
        <w:rPr>
          <w:color w:val="FF0000"/>
        </w:rPr>
        <w:t xml:space="preserve">% </w:t>
      </w:r>
      <w:r w:rsidR="00176245">
        <w:t>of households are below that level and household</w:t>
      </w:r>
      <w:r w:rsidR="009042A8">
        <w:t xml:space="preserve"> of four </w:t>
      </w:r>
      <w:r w:rsidR="00176245">
        <w:t>earning $</w:t>
      </w:r>
      <w:r w:rsidR="009042A8">
        <w:t>66,950</w:t>
      </w:r>
      <w:r w:rsidR="00176245">
        <w:t xml:space="preserve"> and below </w:t>
      </w:r>
      <w:r w:rsidR="009042A8">
        <w:t>would be considered low-income</w:t>
      </w:r>
      <w:r w:rsidR="004A0854">
        <w:t>, per HUD requirements</w:t>
      </w:r>
      <w:r w:rsidR="009042A8">
        <w:t xml:space="preserve">. </w:t>
      </w:r>
    </w:p>
    <w:p w14:paraId="7EF60A00" w14:textId="77777777" w:rsidR="007607AD" w:rsidRDefault="007607AD">
      <w:pPr>
        <w:pStyle w:val="BodyText"/>
      </w:pPr>
    </w:p>
    <w:p w14:paraId="3FEA96E3" w14:textId="77777777" w:rsidR="007607AD" w:rsidRDefault="007607AD">
      <w:pPr>
        <w:pStyle w:val="BodyText"/>
        <w:spacing w:before="8"/>
        <w:rPr>
          <w:sz w:val="28"/>
        </w:rPr>
      </w:pPr>
    </w:p>
    <w:p w14:paraId="25AB6A18" w14:textId="5355AF24" w:rsidR="007607AD" w:rsidRDefault="00FD4909">
      <w:pPr>
        <w:pStyle w:val="BodyText"/>
        <w:ind w:left="321"/>
      </w:pPr>
      <w:r>
        <w:rPr>
          <w:color w:val="082A75"/>
        </w:rPr>
        <w:t xml:space="preserve">Chart </w:t>
      </w:r>
      <w:r w:rsidR="001A4FB4">
        <w:rPr>
          <w:color w:val="082A75"/>
        </w:rPr>
        <w:t>3</w:t>
      </w:r>
    </w:p>
    <w:p w14:paraId="3C11D636" w14:textId="639838E3" w:rsidR="007607AD" w:rsidRDefault="0009030D" w:rsidP="003F0E96">
      <w:pPr>
        <w:pStyle w:val="BodyText"/>
        <w:jc w:val="center"/>
        <w:rPr>
          <w:sz w:val="25"/>
        </w:rPr>
      </w:pPr>
      <w:r>
        <w:rPr>
          <w:noProof/>
        </w:rPr>
        <w:drawing>
          <wp:inline distT="0" distB="0" distL="0" distR="0" wp14:anchorId="61CB553F" wp14:editId="2A017B37">
            <wp:extent cx="4572000" cy="2743200"/>
            <wp:effectExtent l="0" t="0" r="0" b="0"/>
            <wp:docPr id="1907653680" name="Chart 1">
              <a:extLst xmlns:a="http://schemas.openxmlformats.org/drawingml/2006/main">
                <a:ext uri="{FF2B5EF4-FFF2-40B4-BE49-F238E27FC236}">
                  <a16:creationId xmlns:a16="http://schemas.microsoft.com/office/drawing/2014/main" id="{FFD206EB-2F9E-483F-AD96-63F98456235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78E15A8D" w14:textId="77777777" w:rsidR="00AC4163" w:rsidRDefault="00AC4163">
      <w:pPr>
        <w:pStyle w:val="BodyText"/>
        <w:spacing w:line="259" w:lineRule="auto"/>
        <w:ind w:left="321" w:right="656"/>
      </w:pPr>
    </w:p>
    <w:p w14:paraId="1353B800" w14:textId="2CEC1B55" w:rsidR="007607AD" w:rsidRDefault="00FD4909">
      <w:pPr>
        <w:pStyle w:val="BodyText"/>
        <w:spacing w:line="259" w:lineRule="auto"/>
        <w:ind w:left="321" w:right="656"/>
      </w:pPr>
      <w:r>
        <w:t>According to the Census Bureau, income measurements are based off of the income received in the preceding calendar year for each person in the household that is fifteen years and older. The following table identifies the changes in median income and compares those to Utah County, the State of Utah and the United States.</w:t>
      </w:r>
    </w:p>
    <w:p w14:paraId="0DC69E70" w14:textId="77777777" w:rsidR="007607AD" w:rsidRDefault="007607AD">
      <w:pPr>
        <w:pStyle w:val="BodyText"/>
        <w:spacing w:before="3"/>
        <w:rPr>
          <w:sz w:val="25"/>
        </w:rPr>
      </w:pPr>
    </w:p>
    <w:p w14:paraId="17B8D847" w14:textId="683BAD81" w:rsidR="007607AD" w:rsidRDefault="00FD4909">
      <w:pPr>
        <w:pStyle w:val="BodyText"/>
        <w:ind w:left="2795"/>
      </w:pPr>
      <w:r>
        <w:t xml:space="preserve">Table </w:t>
      </w:r>
      <w:r w:rsidR="001A4FB4">
        <w:t>2</w:t>
      </w:r>
    </w:p>
    <w:p w14:paraId="294DC801" w14:textId="77777777" w:rsidR="007607AD" w:rsidRDefault="007607AD">
      <w:pPr>
        <w:pStyle w:val="BodyText"/>
        <w:spacing w:before="8"/>
        <w:rPr>
          <w:sz w:val="14"/>
        </w:rPr>
      </w:pPr>
    </w:p>
    <w:tbl>
      <w:tblPr>
        <w:tblW w:w="0" w:type="auto"/>
        <w:tblInd w:w="27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1"/>
        <w:gridCol w:w="1260"/>
        <w:gridCol w:w="1167"/>
      </w:tblGrid>
      <w:tr w:rsidR="000312AF" w14:paraId="35C229F6" w14:textId="77777777">
        <w:trPr>
          <w:trHeight w:val="299"/>
        </w:trPr>
        <w:tc>
          <w:tcPr>
            <w:tcW w:w="1731" w:type="dxa"/>
            <w:shd w:val="clear" w:color="auto" w:fill="D5E9F5"/>
          </w:tcPr>
          <w:p w14:paraId="27FE8849" w14:textId="77777777" w:rsidR="000312AF" w:rsidRDefault="000312AF">
            <w:pPr>
              <w:pStyle w:val="TableParagraph"/>
              <w:spacing w:line="240" w:lineRule="auto"/>
              <w:rPr>
                <w:rFonts w:ascii="Times New Roman"/>
                <w:sz w:val="20"/>
              </w:rPr>
            </w:pPr>
          </w:p>
        </w:tc>
        <w:tc>
          <w:tcPr>
            <w:tcW w:w="1260" w:type="dxa"/>
            <w:shd w:val="clear" w:color="auto" w:fill="D5E9F5"/>
          </w:tcPr>
          <w:p w14:paraId="4094CC48" w14:textId="77777777" w:rsidR="000312AF" w:rsidRDefault="000312AF">
            <w:pPr>
              <w:pStyle w:val="TableParagraph"/>
              <w:ind w:left="107"/>
              <w:rPr>
                <w:b/>
              </w:rPr>
            </w:pPr>
            <w:r>
              <w:rPr>
                <w:b/>
              </w:rPr>
              <w:t>2017</w:t>
            </w:r>
          </w:p>
        </w:tc>
        <w:tc>
          <w:tcPr>
            <w:tcW w:w="1167" w:type="dxa"/>
            <w:shd w:val="clear" w:color="auto" w:fill="D5E9F5"/>
          </w:tcPr>
          <w:p w14:paraId="276DAE3D" w14:textId="6CAC91D3" w:rsidR="000312AF" w:rsidRDefault="000312AF">
            <w:pPr>
              <w:pStyle w:val="TableParagraph"/>
              <w:ind w:left="107"/>
              <w:rPr>
                <w:b/>
              </w:rPr>
            </w:pPr>
            <w:r w:rsidRPr="0009030D">
              <w:rPr>
                <w:b/>
                <w:color w:val="FF0000"/>
              </w:rPr>
              <w:t>202</w:t>
            </w:r>
            <w:r w:rsidR="0009030D" w:rsidRPr="0009030D">
              <w:rPr>
                <w:b/>
                <w:color w:val="FF0000"/>
              </w:rPr>
              <w:t>3</w:t>
            </w:r>
          </w:p>
        </w:tc>
      </w:tr>
      <w:tr w:rsidR="000312AF" w14:paraId="21185D4E" w14:textId="77777777">
        <w:trPr>
          <w:trHeight w:val="301"/>
        </w:trPr>
        <w:tc>
          <w:tcPr>
            <w:tcW w:w="1731" w:type="dxa"/>
          </w:tcPr>
          <w:p w14:paraId="74D08700" w14:textId="77777777" w:rsidR="000312AF" w:rsidRDefault="000312AF">
            <w:pPr>
              <w:pStyle w:val="TableParagraph"/>
              <w:ind w:left="107"/>
              <w:rPr>
                <w:b/>
              </w:rPr>
            </w:pPr>
            <w:r>
              <w:rPr>
                <w:b/>
              </w:rPr>
              <w:t>Payson</w:t>
            </w:r>
          </w:p>
        </w:tc>
        <w:tc>
          <w:tcPr>
            <w:tcW w:w="1260" w:type="dxa"/>
          </w:tcPr>
          <w:p w14:paraId="3DA64481" w14:textId="3EE93E46" w:rsidR="000312AF" w:rsidRDefault="000312AF">
            <w:pPr>
              <w:pStyle w:val="TableParagraph"/>
              <w:ind w:right="255"/>
              <w:jc w:val="right"/>
              <w:rPr>
                <w:b/>
              </w:rPr>
            </w:pPr>
            <w:r>
              <w:rPr>
                <w:b/>
              </w:rPr>
              <w:t>$62,587</w:t>
            </w:r>
          </w:p>
        </w:tc>
        <w:tc>
          <w:tcPr>
            <w:tcW w:w="1167" w:type="dxa"/>
          </w:tcPr>
          <w:p w14:paraId="2E9EE733" w14:textId="115ED02F" w:rsidR="000312AF" w:rsidRDefault="0009030D">
            <w:pPr>
              <w:pStyle w:val="TableParagraph"/>
              <w:ind w:right="208"/>
              <w:jc w:val="right"/>
              <w:rPr>
                <w:b/>
              </w:rPr>
            </w:pPr>
            <w:r w:rsidRPr="0009030D">
              <w:rPr>
                <w:b/>
                <w:color w:val="FF0000"/>
              </w:rPr>
              <w:t>$84,286</w:t>
            </w:r>
          </w:p>
        </w:tc>
      </w:tr>
      <w:tr w:rsidR="000312AF" w14:paraId="61ED54F6" w14:textId="77777777">
        <w:trPr>
          <w:trHeight w:val="299"/>
        </w:trPr>
        <w:tc>
          <w:tcPr>
            <w:tcW w:w="1731" w:type="dxa"/>
            <w:shd w:val="clear" w:color="auto" w:fill="D5E9F5"/>
          </w:tcPr>
          <w:p w14:paraId="3EC041A4" w14:textId="77777777" w:rsidR="000312AF" w:rsidRDefault="000312AF">
            <w:pPr>
              <w:pStyle w:val="TableParagraph"/>
              <w:ind w:left="107"/>
              <w:rPr>
                <w:b/>
              </w:rPr>
            </w:pPr>
            <w:r>
              <w:rPr>
                <w:b/>
              </w:rPr>
              <w:t>Utah County</w:t>
            </w:r>
          </w:p>
        </w:tc>
        <w:tc>
          <w:tcPr>
            <w:tcW w:w="1260" w:type="dxa"/>
            <w:shd w:val="clear" w:color="auto" w:fill="D5E9F5"/>
          </w:tcPr>
          <w:p w14:paraId="3B7449CB" w14:textId="77777777" w:rsidR="000312AF" w:rsidRDefault="000312AF">
            <w:pPr>
              <w:pStyle w:val="TableParagraph"/>
              <w:ind w:right="255"/>
              <w:jc w:val="right"/>
              <w:rPr>
                <w:b/>
              </w:rPr>
            </w:pPr>
            <w:r>
              <w:rPr>
                <w:b/>
              </w:rPr>
              <w:t>$67,042</w:t>
            </w:r>
          </w:p>
        </w:tc>
        <w:tc>
          <w:tcPr>
            <w:tcW w:w="1167" w:type="dxa"/>
            <w:shd w:val="clear" w:color="auto" w:fill="D5E9F5"/>
          </w:tcPr>
          <w:p w14:paraId="773FB41B" w14:textId="26674E87" w:rsidR="000312AF" w:rsidRDefault="000312AF">
            <w:pPr>
              <w:pStyle w:val="TableParagraph"/>
              <w:ind w:right="208"/>
              <w:jc w:val="right"/>
              <w:rPr>
                <w:b/>
              </w:rPr>
            </w:pPr>
            <w:r w:rsidRPr="006B1266">
              <w:rPr>
                <w:b/>
                <w:color w:val="FF0000"/>
              </w:rPr>
              <w:t>$</w:t>
            </w:r>
            <w:r w:rsidR="006B1266" w:rsidRPr="006B1266">
              <w:rPr>
                <w:b/>
                <w:color w:val="FF0000"/>
              </w:rPr>
              <w:t>96,877</w:t>
            </w:r>
          </w:p>
        </w:tc>
      </w:tr>
      <w:tr w:rsidR="000312AF" w14:paraId="3E86314C" w14:textId="77777777">
        <w:trPr>
          <w:trHeight w:val="299"/>
        </w:trPr>
        <w:tc>
          <w:tcPr>
            <w:tcW w:w="1731" w:type="dxa"/>
          </w:tcPr>
          <w:p w14:paraId="68E14399" w14:textId="77777777" w:rsidR="000312AF" w:rsidRDefault="000312AF">
            <w:pPr>
              <w:pStyle w:val="TableParagraph"/>
              <w:ind w:left="107"/>
              <w:rPr>
                <w:b/>
              </w:rPr>
            </w:pPr>
            <w:r>
              <w:rPr>
                <w:b/>
              </w:rPr>
              <w:t>State of Utah</w:t>
            </w:r>
          </w:p>
        </w:tc>
        <w:tc>
          <w:tcPr>
            <w:tcW w:w="1260" w:type="dxa"/>
          </w:tcPr>
          <w:p w14:paraId="6BBB7E3D" w14:textId="77777777" w:rsidR="000312AF" w:rsidRDefault="000312AF">
            <w:pPr>
              <w:pStyle w:val="TableParagraph"/>
              <w:ind w:right="255"/>
              <w:jc w:val="right"/>
              <w:rPr>
                <w:b/>
              </w:rPr>
            </w:pPr>
            <w:r>
              <w:rPr>
                <w:b/>
              </w:rPr>
              <w:t>$65,325</w:t>
            </w:r>
          </w:p>
        </w:tc>
        <w:tc>
          <w:tcPr>
            <w:tcW w:w="1167" w:type="dxa"/>
          </w:tcPr>
          <w:p w14:paraId="12E6E259" w14:textId="56069A1E" w:rsidR="000312AF" w:rsidRDefault="000312AF">
            <w:pPr>
              <w:pStyle w:val="TableParagraph"/>
              <w:ind w:right="208"/>
              <w:jc w:val="right"/>
              <w:rPr>
                <w:b/>
              </w:rPr>
            </w:pPr>
            <w:r w:rsidRPr="0009030D">
              <w:rPr>
                <w:b/>
                <w:color w:val="FF0000"/>
              </w:rPr>
              <w:t>$</w:t>
            </w:r>
            <w:r w:rsidR="0009030D" w:rsidRPr="0009030D">
              <w:rPr>
                <w:b/>
                <w:color w:val="FF0000"/>
              </w:rPr>
              <w:t>93,421</w:t>
            </w:r>
          </w:p>
        </w:tc>
      </w:tr>
      <w:tr w:rsidR="000312AF" w14:paraId="0F702ACE" w14:textId="77777777">
        <w:trPr>
          <w:trHeight w:val="299"/>
        </w:trPr>
        <w:tc>
          <w:tcPr>
            <w:tcW w:w="1731" w:type="dxa"/>
            <w:shd w:val="clear" w:color="auto" w:fill="D5E9F5"/>
          </w:tcPr>
          <w:p w14:paraId="3D1DF698" w14:textId="77777777" w:rsidR="000312AF" w:rsidRDefault="000312AF">
            <w:pPr>
              <w:pStyle w:val="TableParagraph"/>
              <w:ind w:left="107"/>
              <w:rPr>
                <w:b/>
              </w:rPr>
            </w:pPr>
            <w:r>
              <w:rPr>
                <w:b/>
              </w:rPr>
              <w:t>United States</w:t>
            </w:r>
          </w:p>
        </w:tc>
        <w:tc>
          <w:tcPr>
            <w:tcW w:w="1260" w:type="dxa"/>
            <w:shd w:val="clear" w:color="auto" w:fill="D5E9F5"/>
          </w:tcPr>
          <w:p w14:paraId="640B0B24" w14:textId="77777777" w:rsidR="000312AF" w:rsidRDefault="000312AF">
            <w:pPr>
              <w:pStyle w:val="TableParagraph"/>
              <w:ind w:right="255"/>
              <w:jc w:val="right"/>
              <w:rPr>
                <w:b/>
              </w:rPr>
            </w:pPr>
            <w:r>
              <w:rPr>
                <w:b/>
              </w:rPr>
              <w:t>$57,652</w:t>
            </w:r>
          </w:p>
        </w:tc>
        <w:tc>
          <w:tcPr>
            <w:tcW w:w="1167" w:type="dxa"/>
            <w:shd w:val="clear" w:color="auto" w:fill="D5E9F5"/>
          </w:tcPr>
          <w:p w14:paraId="16B7421E" w14:textId="50CDE7E1" w:rsidR="000312AF" w:rsidRDefault="006B1266">
            <w:pPr>
              <w:pStyle w:val="TableParagraph"/>
              <w:ind w:right="208"/>
              <w:jc w:val="right"/>
              <w:rPr>
                <w:b/>
              </w:rPr>
            </w:pPr>
            <w:r w:rsidRPr="006B1266">
              <w:rPr>
                <w:b/>
                <w:color w:val="FF0000"/>
              </w:rPr>
              <w:t>$78,538</w:t>
            </w:r>
          </w:p>
        </w:tc>
      </w:tr>
    </w:tbl>
    <w:p w14:paraId="5D26D343" w14:textId="77777777" w:rsidR="007607AD" w:rsidRDefault="00FD4909">
      <w:pPr>
        <w:pStyle w:val="BodyText"/>
        <w:spacing w:before="40"/>
        <w:ind w:left="2795"/>
      </w:pPr>
      <w:r>
        <w:t>U.S. Census Bureau *2010 income data not available</w:t>
      </w:r>
    </w:p>
    <w:p w14:paraId="1CF58BC1" w14:textId="547C2A2B" w:rsidR="001A4FB4" w:rsidRDefault="001A4FB4">
      <w:pPr>
        <w:rPr>
          <w:sz w:val="28"/>
        </w:rPr>
      </w:pPr>
      <w:r>
        <w:rPr>
          <w:sz w:val="28"/>
        </w:rPr>
        <w:br w:type="page"/>
      </w:r>
    </w:p>
    <w:p w14:paraId="3A6A9A93" w14:textId="77777777" w:rsidR="007607AD" w:rsidRDefault="007607AD">
      <w:pPr>
        <w:pStyle w:val="BodyText"/>
        <w:spacing w:before="1"/>
        <w:rPr>
          <w:sz w:val="28"/>
        </w:rPr>
      </w:pPr>
    </w:p>
    <w:p w14:paraId="12FF2F87" w14:textId="77777777" w:rsidR="007607AD" w:rsidRDefault="00FD4909">
      <w:pPr>
        <w:pStyle w:val="Heading1"/>
      </w:pPr>
      <w:r>
        <w:t>Moderate-Income Analysis</w:t>
      </w:r>
    </w:p>
    <w:p w14:paraId="62CEFB4C" w14:textId="4D16183B" w:rsidR="007607AD" w:rsidRDefault="00FD4909">
      <w:pPr>
        <w:pStyle w:val="BodyText"/>
        <w:spacing w:before="239" w:line="259" w:lineRule="auto"/>
        <w:ind w:left="321" w:right="308"/>
      </w:pPr>
      <w:r>
        <w:t xml:space="preserve">According to the U.S. Department of Housing and Urban Development: “families who pay more than 30% of their income for housing, including utilities, are considered cost burdened and may have difficulty affording necessities such as food, clothing, transportation and medical care.” Moderate-Income Housing is defined by the State of Utah as “housing occupied or reserved for occupancy by households with a gross household income equal to or less than 80% of the median gross income for households of the same size in the county in which the city is located.” This means that only housing units affordable at each interval between zero and 80 percent of the AMI are identified as moderate-income housing. The </w:t>
      </w:r>
      <w:r w:rsidRPr="006B1266">
        <w:rPr>
          <w:color w:val="FF0000"/>
          <w:u w:val="single"/>
        </w:rPr>
        <w:t>202</w:t>
      </w:r>
      <w:r w:rsidR="006B1266" w:rsidRPr="006B1266">
        <w:rPr>
          <w:color w:val="FF0000"/>
          <w:u w:val="single"/>
        </w:rPr>
        <w:t>3</w:t>
      </w:r>
      <w:r>
        <w:t xml:space="preserve"> median Utah County household gross income, according to the United States Census </w:t>
      </w:r>
      <w:r w:rsidR="006B1266">
        <w:t>2023 American Community Survey</w:t>
      </w:r>
      <w:r>
        <w:t xml:space="preserve">, is </w:t>
      </w:r>
      <w:r w:rsidR="006B1266" w:rsidRPr="006B1266">
        <w:rPr>
          <w:color w:val="FF0000"/>
        </w:rPr>
        <w:t>$96,877</w:t>
      </w:r>
      <w:r>
        <w:t>. Below is a breakdown of the Utah County income levels related to household size.</w:t>
      </w:r>
    </w:p>
    <w:p w14:paraId="398B87B9" w14:textId="77777777" w:rsidR="007607AD" w:rsidRDefault="007607AD">
      <w:pPr>
        <w:pStyle w:val="BodyText"/>
      </w:pPr>
    </w:p>
    <w:p w14:paraId="38E29A60" w14:textId="3AE5DA11" w:rsidR="007607AD" w:rsidRDefault="00FD4909">
      <w:pPr>
        <w:pStyle w:val="BodyText"/>
        <w:spacing w:before="181"/>
        <w:ind w:left="321"/>
      </w:pPr>
      <w:r>
        <w:t xml:space="preserve">Table </w:t>
      </w:r>
      <w:r w:rsidR="001A4FB4">
        <w:t>3</w:t>
      </w:r>
    </w:p>
    <w:p w14:paraId="68492A5E" w14:textId="77777777" w:rsidR="007607AD" w:rsidRDefault="007607AD">
      <w:pPr>
        <w:pStyle w:val="BodyText"/>
        <w:spacing w:before="6" w:after="1"/>
        <w:rPr>
          <w:sz w:val="10"/>
        </w:rPr>
      </w:pPr>
    </w:p>
    <w:tbl>
      <w:tblPr>
        <w:tblW w:w="0" w:type="auto"/>
        <w:tblInd w:w="3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81"/>
        <w:gridCol w:w="2079"/>
        <w:gridCol w:w="2084"/>
        <w:gridCol w:w="2082"/>
        <w:gridCol w:w="2076"/>
      </w:tblGrid>
      <w:tr w:rsidR="007607AD" w14:paraId="61A4F16A" w14:textId="77777777">
        <w:trPr>
          <w:trHeight w:val="290"/>
        </w:trPr>
        <w:tc>
          <w:tcPr>
            <w:tcW w:w="2081" w:type="dxa"/>
            <w:vMerge w:val="restart"/>
            <w:shd w:val="clear" w:color="auto" w:fill="ADD2EB"/>
          </w:tcPr>
          <w:p w14:paraId="59EB3BA7" w14:textId="77777777" w:rsidR="007607AD" w:rsidRDefault="00FD4909">
            <w:pPr>
              <w:pStyle w:val="TableParagraph"/>
              <w:spacing w:before="1" w:line="240" w:lineRule="auto"/>
              <w:ind w:left="76"/>
            </w:pPr>
            <w:r>
              <w:t>Household Size</w:t>
            </w:r>
          </w:p>
        </w:tc>
        <w:tc>
          <w:tcPr>
            <w:tcW w:w="8321" w:type="dxa"/>
            <w:gridSpan w:val="4"/>
            <w:tcBorders>
              <w:right w:val="nil"/>
            </w:tcBorders>
            <w:shd w:val="clear" w:color="auto" w:fill="ADD2EB"/>
          </w:tcPr>
          <w:p w14:paraId="305C57E6" w14:textId="77777777" w:rsidR="007607AD" w:rsidRDefault="00FD4909">
            <w:pPr>
              <w:pStyle w:val="TableParagraph"/>
              <w:spacing w:before="1" w:line="240" w:lineRule="auto"/>
              <w:ind w:left="105"/>
            </w:pPr>
            <w:r>
              <w:t>Percent AMI – Utah County Income by Family Size - 2020</w:t>
            </w:r>
          </w:p>
        </w:tc>
      </w:tr>
      <w:tr w:rsidR="007607AD" w14:paraId="262DE25A" w14:textId="77777777">
        <w:trPr>
          <w:trHeight w:val="290"/>
        </w:trPr>
        <w:tc>
          <w:tcPr>
            <w:tcW w:w="2081" w:type="dxa"/>
            <w:vMerge/>
            <w:tcBorders>
              <w:top w:val="nil"/>
            </w:tcBorders>
            <w:shd w:val="clear" w:color="auto" w:fill="ADD2EB"/>
          </w:tcPr>
          <w:p w14:paraId="0FCE47B4" w14:textId="77777777" w:rsidR="007607AD" w:rsidRDefault="007607AD">
            <w:pPr>
              <w:rPr>
                <w:sz w:val="2"/>
                <w:szCs w:val="2"/>
              </w:rPr>
            </w:pPr>
          </w:p>
        </w:tc>
        <w:tc>
          <w:tcPr>
            <w:tcW w:w="2079" w:type="dxa"/>
            <w:shd w:val="clear" w:color="auto" w:fill="ADD2EB"/>
          </w:tcPr>
          <w:p w14:paraId="77A16FD9" w14:textId="77777777" w:rsidR="007607AD" w:rsidRDefault="00FD4909">
            <w:pPr>
              <w:pStyle w:val="TableParagraph"/>
              <w:ind w:left="105"/>
            </w:pPr>
            <w:r>
              <w:t>100%</w:t>
            </w:r>
          </w:p>
        </w:tc>
        <w:tc>
          <w:tcPr>
            <w:tcW w:w="2084" w:type="dxa"/>
            <w:shd w:val="clear" w:color="auto" w:fill="ADD2EB"/>
          </w:tcPr>
          <w:p w14:paraId="074CBF29" w14:textId="77777777" w:rsidR="007607AD" w:rsidRDefault="00FD4909">
            <w:pPr>
              <w:pStyle w:val="TableParagraph"/>
              <w:ind w:left="107"/>
            </w:pPr>
            <w:r>
              <w:t>80%</w:t>
            </w:r>
          </w:p>
        </w:tc>
        <w:tc>
          <w:tcPr>
            <w:tcW w:w="2082" w:type="dxa"/>
            <w:shd w:val="clear" w:color="auto" w:fill="ADD2EB"/>
          </w:tcPr>
          <w:p w14:paraId="264E4DF4" w14:textId="77777777" w:rsidR="007607AD" w:rsidRDefault="00FD4909">
            <w:pPr>
              <w:pStyle w:val="TableParagraph"/>
              <w:ind w:left="104"/>
            </w:pPr>
            <w:r>
              <w:t>50%</w:t>
            </w:r>
          </w:p>
        </w:tc>
        <w:tc>
          <w:tcPr>
            <w:tcW w:w="2076" w:type="dxa"/>
            <w:tcBorders>
              <w:right w:val="nil"/>
            </w:tcBorders>
            <w:shd w:val="clear" w:color="auto" w:fill="ADD2EB"/>
          </w:tcPr>
          <w:p w14:paraId="25115D1D" w14:textId="77777777" w:rsidR="007607AD" w:rsidRDefault="00FD4909">
            <w:pPr>
              <w:pStyle w:val="TableParagraph"/>
              <w:ind w:left="104"/>
            </w:pPr>
            <w:r>
              <w:t>30%</w:t>
            </w:r>
          </w:p>
        </w:tc>
      </w:tr>
      <w:tr w:rsidR="007607AD" w14:paraId="465BE108" w14:textId="77777777">
        <w:trPr>
          <w:trHeight w:val="289"/>
        </w:trPr>
        <w:tc>
          <w:tcPr>
            <w:tcW w:w="2081" w:type="dxa"/>
            <w:shd w:val="clear" w:color="auto" w:fill="D5E9F5"/>
          </w:tcPr>
          <w:p w14:paraId="49514EBE" w14:textId="77777777" w:rsidR="007607AD" w:rsidRDefault="00FD4909">
            <w:pPr>
              <w:pStyle w:val="TableParagraph"/>
              <w:ind w:left="107"/>
            </w:pPr>
            <w:r>
              <w:t>2</w:t>
            </w:r>
          </w:p>
        </w:tc>
        <w:tc>
          <w:tcPr>
            <w:tcW w:w="2079" w:type="dxa"/>
            <w:shd w:val="clear" w:color="auto" w:fill="D5E9F5"/>
          </w:tcPr>
          <w:p w14:paraId="4F46A3C4" w14:textId="77777777" w:rsidR="007607AD" w:rsidRDefault="00FD4909">
            <w:pPr>
              <w:pStyle w:val="TableParagraph"/>
              <w:ind w:left="105"/>
            </w:pPr>
            <w:r>
              <w:t>$64,616</w:t>
            </w:r>
          </w:p>
        </w:tc>
        <w:tc>
          <w:tcPr>
            <w:tcW w:w="2084" w:type="dxa"/>
            <w:shd w:val="clear" w:color="auto" w:fill="D5E9F5"/>
          </w:tcPr>
          <w:p w14:paraId="640580C0" w14:textId="77777777" w:rsidR="007607AD" w:rsidRDefault="00FD4909">
            <w:pPr>
              <w:pStyle w:val="TableParagraph"/>
              <w:ind w:left="107"/>
            </w:pPr>
            <w:r>
              <w:t>$51,692</w:t>
            </w:r>
          </w:p>
        </w:tc>
        <w:tc>
          <w:tcPr>
            <w:tcW w:w="2082" w:type="dxa"/>
            <w:shd w:val="clear" w:color="auto" w:fill="D5E9F5"/>
          </w:tcPr>
          <w:p w14:paraId="42292AD4" w14:textId="77777777" w:rsidR="007607AD" w:rsidRDefault="00FD4909">
            <w:pPr>
              <w:pStyle w:val="TableParagraph"/>
              <w:ind w:left="104"/>
            </w:pPr>
            <w:r>
              <w:t>$32,308</w:t>
            </w:r>
          </w:p>
        </w:tc>
        <w:tc>
          <w:tcPr>
            <w:tcW w:w="2076" w:type="dxa"/>
            <w:tcBorders>
              <w:right w:val="nil"/>
            </w:tcBorders>
            <w:shd w:val="clear" w:color="auto" w:fill="D5E9F5"/>
          </w:tcPr>
          <w:p w14:paraId="405CE221" w14:textId="77777777" w:rsidR="007607AD" w:rsidRDefault="00FD4909">
            <w:pPr>
              <w:pStyle w:val="TableParagraph"/>
              <w:ind w:left="104"/>
            </w:pPr>
            <w:r>
              <w:t>$19,384</w:t>
            </w:r>
          </w:p>
        </w:tc>
      </w:tr>
      <w:tr w:rsidR="007607AD" w14:paraId="477CB010" w14:textId="77777777">
        <w:trPr>
          <w:trHeight w:val="290"/>
        </w:trPr>
        <w:tc>
          <w:tcPr>
            <w:tcW w:w="2081" w:type="dxa"/>
          </w:tcPr>
          <w:p w14:paraId="4DD4CFF7" w14:textId="77777777" w:rsidR="007607AD" w:rsidRDefault="00FD4909">
            <w:pPr>
              <w:pStyle w:val="TableParagraph"/>
              <w:ind w:left="107"/>
            </w:pPr>
            <w:r>
              <w:t>3</w:t>
            </w:r>
          </w:p>
        </w:tc>
        <w:tc>
          <w:tcPr>
            <w:tcW w:w="2079" w:type="dxa"/>
          </w:tcPr>
          <w:p w14:paraId="783B0B52" w14:textId="77777777" w:rsidR="007607AD" w:rsidRDefault="00FD4909">
            <w:pPr>
              <w:pStyle w:val="TableParagraph"/>
              <w:ind w:left="105"/>
            </w:pPr>
            <w:r>
              <w:t>$81,996</w:t>
            </w:r>
          </w:p>
        </w:tc>
        <w:tc>
          <w:tcPr>
            <w:tcW w:w="2084" w:type="dxa"/>
          </w:tcPr>
          <w:p w14:paraId="0C2E4BC4" w14:textId="77777777" w:rsidR="007607AD" w:rsidRDefault="00FD4909">
            <w:pPr>
              <w:pStyle w:val="TableParagraph"/>
              <w:ind w:left="107"/>
            </w:pPr>
            <w:r>
              <w:t>$65,596</w:t>
            </w:r>
          </w:p>
        </w:tc>
        <w:tc>
          <w:tcPr>
            <w:tcW w:w="2082" w:type="dxa"/>
          </w:tcPr>
          <w:p w14:paraId="671D6528" w14:textId="77777777" w:rsidR="007607AD" w:rsidRDefault="00FD4909">
            <w:pPr>
              <w:pStyle w:val="TableParagraph"/>
              <w:ind w:left="104"/>
            </w:pPr>
            <w:r>
              <w:t>$40,998</w:t>
            </w:r>
          </w:p>
        </w:tc>
        <w:tc>
          <w:tcPr>
            <w:tcW w:w="2076" w:type="dxa"/>
            <w:tcBorders>
              <w:right w:val="nil"/>
            </w:tcBorders>
          </w:tcPr>
          <w:p w14:paraId="6DBEB041" w14:textId="77777777" w:rsidR="007607AD" w:rsidRDefault="00FD4909">
            <w:pPr>
              <w:pStyle w:val="TableParagraph"/>
              <w:ind w:left="104"/>
            </w:pPr>
            <w:r>
              <w:t>$24,598</w:t>
            </w:r>
          </w:p>
        </w:tc>
      </w:tr>
      <w:tr w:rsidR="007607AD" w14:paraId="02A39933" w14:textId="77777777">
        <w:trPr>
          <w:trHeight w:val="290"/>
        </w:trPr>
        <w:tc>
          <w:tcPr>
            <w:tcW w:w="2081" w:type="dxa"/>
            <w:shd w:val="clear" w:color="auto" w:fill="D5E9F5"/>
          </w:tcPr>
          <w:p w14:paraId="157B38CC" w14:textId="77777777" w:rsidR="007607AD" w:rsidRDefault="00FD4909">
            <w:pPr>
              <w:pStyle w:val="TableParagraph"/>
              <w:ind w:left="107"/>
            </w:pPr>
            <w:r>
              <w:t>4</w:t>
            </w:r>
          </w:p>
        </w:tc>
        <w:tc>
          <w:tcPr>
            <w:tcW w:w="2079" w:type="dxa"/>
            <w:shd w:val="clear" w:color="auto" w:fill="D5E9F5"/>
          </w:tcPr>
          <w:p w14:paraId="333E9B90" w14:textId="77777777" w:rsidR="007607AD" w:rsidRDefault="00FD4909">
            <w:pPr>
              <w:pStyle w:val="TableParagraph"/>
              <w:ind w:left="105"/>
            </w:pPr>
            <w:r>
              <w:t>$91,703</w:t>
            </w:r>
          </w:p>
        </w:tc>
        <w:tc>
          <w:tcPr>
            <w:tcW w:w="2084" w:type="dxa"/>
            <w:shd w:val="clear" w:color="auto" w:fill="D5E9F5"/>
          </w:tcPr>
          <w:p w14:paraId="03E2B8A9" w14:textId="77777777" w:rsidR="007607AD" w:rsidRDefault="00FD4909">
            <w:pPr>
              <w:pStyle w:val="TableParagraph"/>
              <w:ind w:left="107"/>
            </w:pPr>
            <w:r>
              <w:t>$73,362</w:t>
            </w:r>
          </w:p>
        </w:tc>
        <w:tc>
          <w:tcPr>
            <w:tcW w:w="2082" w:type="dxa"/>
            <w:shd w:val="clear" w:color="auto" w:fill="D5E9F5"/>
          </w:tcPr>
          <w:p w14:paraId="2BD2DA9A" w14:textId="77777777" w:rsidR="007607AD" w:rsidRDefault="00FD4909">
            <w:pPr>
              <w:pStyle w:val="TableParagraph"/>
              <w:ind w:left="104"/>
            </w:pPr>
            <w:r>
              <w:t>$45,851</w:t>
            </w:r>
          </w:p>
        </w:tc>
        <w:tc>
          <w:tcPr>
            <w:tcW w:w="2076" w:type="dxa"/>
            <w:tcBorders>
              <w:right w:val="nil"/>
            </w:tcBorders>
            <w:shd w:val="clear" w:color="auto" w:fill="D5E9F5"/>
          </w:tcPr>
          <w:p w14:paraId="53190A0E" w14:textId="77777777" w:rsidR="007607AD" w:rsidRDefault="00FD4909">
            <w:pPr>
              <w:pStyle w:val="TableParagraph"/>
              <w:ind w:left="104"/>
            </w:pPr>
            <w:r>
              <w:t>$27,510</w:t>
            </w:r>
          </w:p>
        </w:tc>
      </w:tr>
    </w:tbl>
    <w:p w14:paraId="1FEC8C85" w14:textId="77777777" w:rsidR="004A0854" w:rsidRDefault="004A0854">
      <w:pPr>
        <w:pStyle w:val="BodyText"/>
        <w:ind w:left="321"/>
      </w:pPr>
    </w:p>
    <w:p w14:paraId="5938F266" w14:textId="2FCB28E4" w:rsidR="007607AD" w:rsidRDefault="00FD4909">
      <w:pPr>
        <w:pStyle w:val="BodyText"/>
        <w:ind w:left="321"/>
      </w:pPr>
      <w:r>
        <w:t>According to the Gardner Business Review from 2018, “Affordability of Rental Housing takes $47,000 in income to</w:t>
      </w:r>
    </w:p>
    <w:p w14:paraId="6DBACF09" w14:textId="52776080" w:rsidR="000864C4" w:rsidRDefault="00FD4909" w:rsidP="000864C4">
      <w:pPr>
        <w:pStyle w:val="BodyText"/>
        <w:spacing w:before="56"/>
        <w:ind w:left="321"/>
      </w:pPr>
      <w:r>
        <w:t>rent the typical two-bedroom apartment unit in Salt Lake and Utah counties. This assumes 30 percent of the</w:t>
      </w:r>
      <w:r w:rsidR="000864C4">
        <w:t xml:space="preserve"> household income goes to rent. In 2017, the median rent for the typical two-bedroom apartment was $1,195 in Salt</w:t>
      </w:r>
    </w:p>
    <w:p w14:paraId="32A58847" w14:textId="77777777" w:rsidR="000864C4" w:rsidRDefault="000864C4" w:rsidP="000864C4">
      <w:pPr>
        <w:pStyle w:val="BodyText"/>
        <w:spacing w:before="22"/>
        <w:ind w:left="321"/>
      </w:pPr>
      <w:r>
        <w:t>Lake County and $1,183 in Utah County.”</w:t>
      </w:r>
      <w:r>
        <w:rPr>
          <w:vertAlign w:val="superscript"/>
        </w:rPr>
        <w:t>4</w:t>
      </w:r>
    </w:p>
    <w:p w14:paraId="622EAB84" w14:textId="1369D6F3" w:rsidR="007607AD" w:rsidRDefault="007607AD" w:rsidP="001A4FB4">
      <w:pPr>
        <w:pStyle w:val="BodyText"/>
        <w:spacing w:before="22"/>
        <w:ind w:left="321"/>
      </w:pPr>
    </w:p>
    <w:p w14:paraId="4BFF4FE0" w14:textId="1CA813CD" w:rsidR="001A4FB4" w:rsidRDefault="001A4FB4" w:rsidP="001A4FB4">
      <w:pPr>
        <w:pStyle w:val="BodyText"/>
        <w:spacing w:before="22"/>
        <w:ind w:left="321"/>
        <w:rPr>
          <w:sz w:val="20"/>
        </w:rPr>
      </w:pPr>
    </w:p>
    <w:p w14:paraId="770C67A0" w14:textId="31F06242" w:rsidR="001A4FB4" w:rsidRDefault="001A4FB4" w:rsidP="001A4FB4">
      <w:pPr>
        <w:pStyle w:val="BodyText"/>
        <w:spacing w:before="22"/>
        <w:ind w:left="321"/>
        <w:rPr>
          <w:sz w:val="20"/>
        </w:rPr>
      </w:pPr>
    </w:p>
    <w:p w14:paraId="6DF63EA3" w14:textId="1ACDEA0E" w:rsidR="001A4FB4" w:rsidRDefault="001A4FB4" w:rsidP="001A4FB4">
      <w:pPr>
        <w:pStyle w:val="BodyText"/>
        <w:spacing w:before="22"/>
        <w:ind w:left="321"/>
        <w:rPr>
          <w:sz w:val="20"/>
        </w:rPr>
      </w:pPr>
    </w:p>
    <w:p w14:paraId="6898D1DB" w14:textId="49B7B64B" w:rsidR="001A4FB4" w:rsidRDefault="001A4FB4" w:rsidP="001A4FB4">
      <w:pPr>
        <w:pStyle w:val="BodyText"/>
        <w:spacing w:before="22"/>
        <w:ind w:left="321"/>
        <w:rPr>
          <w:sz w:val="20"/>
        </w:rPr>
      </w:pPr>
    </w:p>
    <w:p w14:paraId="27D93F21" w14:textId="54578D55" w:rsidR="001A4FB4" w:rsidRDefault="001A4FB4" w:rsidP="001A4FB4">
      <w:pPr>
        <w:pStyle w:val="BodyText"/>
        <w:spacing w:before="22"/>
        <w:ind w:left="321"/>
        <w:rPr>
          <w:sz w:val="20"/>
        </w:rPr>
      </w:pPr>
    </w:p>
    <w:p w14:paraId="3DD5E67F" w14:textId="51F87033" w:rsidR="001A4FB4" w:rsidRDefault="001A4FB4" w:rsidP="001A4FB4">
      <w:pPr>
        <w:pStyle w:val="BodyText"/>
        <w:spacing w:before="22"/>
        <w:ind w:left="321"/>
        <w:rPr>
          <w:sz w:val="20"/>
        </w:rPr>
      </w:pPr>
    </w:p>
    <w:p w14:paraId="42F53B1B" w14:textId="54E947D5" w:rsidR="001A4FB4" w:rsidRDefault="001A4FB4" w:rsidP="001A4FB4">
      <w:pPr>
        <w:pStyle w:val="BodyText"/>
        <w:spacing w:before="22"/>
        <w:ind w:left="321"/>
        <w:rPr>
          <w:sz w:val="20"/>
        </w:rPr>
      </w:pPr>
    </w:p>
    <w:p w14:paraId="1475AC18" w14:textId="0157D5E9" w:rsidR="001A4FB4" w:rsidRDefault="001A4FB4" w:rsidP="001A4FB4">
      <w:pPr>
        <w:pStyle w:val="BodyText"/>
        <w:spacing w:before="22"/>
        <w:ind w:left="321"/>
        <w:rPr>
          <w:sz w:val="20"/>
        </w:rPr>
      </w:pPr>
    </w:p>
    <w:p w14:paraId="21B6002C" w14:textId="5E31581F" w:rsidR="001A4FB4" w:rsidRDefault="001A4FB4" w:rsidP="001A4FB4">
      <w:pPr>
        <w:pStyle w:val="BodyText"/>
        <w:spacing w:before="22"/>
        <w:ind w:left="321"/>
        <w:rPr>
          <w:sz w:val="20"/>
        </w:rPr>
      </w:pPr>
    </w:p>
    <w:p w14:paraId="260E9530" w14:textId="187E0E3C" w:rsidR="001A4FB4" w:rsidRDefault="001A4FB4" w:rsidP="001A4FB4">
      <w:pPr>
        <w:pStyle w:val="BodyText"/>
        <w:spacing w:before="22"/>
        <w:ind w:left="321"/>
        <w:rPr>
          <w:sz w:val="20"/>
        </w:rPr>
      </w:pPr>
    </w:p>
    <w:p w14:paraId="36F4C553" w14:textId="6742DD76" w:rsidR="001A4FB4" w:rsidRDefault="001A4FB4" w:rsidP="001A4FB4">
      <w:pPr>
        <w:pStyle w:val="BodyText"/>
        <w:spacing w:before="22"/>
        <w:ind w:left="321"/>
        <w:rPr>
          <w:sz w:val="20"/>
        </w:rPr>
      </w:pPr>
    </w:p>
    <w:p w14:paraId="0B36EFAE" w14:textId="5595AAB2" w:rsidR="001A4FB4" w:rsidRDefault="001A4FB4" w:rsidP="001A4FB4">
      <w:pPr>
        <w:pStyle w:val="BodyText"/>
        <w:spacing w:before="22"/>
        <w:ind w:left="321"/>
        <w:rPr>
          <w:sz w:val="20"/>
        </w:rPr>
      </w:pPr>
    </w:p>
    <w:p w14:paraId="69C24940" w14:textId="77777777" w:rsidR="001A4FB4" w:rsidRDefault="001A4FB4" w:rsidP="001A4FB4">
      <w:pPr>
        <w:pStyle w:val="BodyText"/>
        <w:spacing w:before="22"/>
        <w:ind w:left="321"/>
        <w:rPr>
          <w:sz w:val="20"/>
        </w:rPr>
      </w:pPr>
    </w:p>
    <w:p w14:paraId="3376C284" w14:textId="77777777" w:rsidR="007607AD" w:rsidRDefault="007607AD">
      <w:pPr>
        <w:pStyle w:val="BodyText"/>
        <w:rPr>
          <w:sz w:val="20"/>
        </w:rPr>
      </w:pPr>
    </w:p>
    <w:p w14:paraId="6E111A71" w14:textId="77777777" w:rsidR="007607AD" w:rsidRDefault="007607AD">
      <w:pPr>
        <w:pStyle w:val="BodyText"/>
        <w:rPr>
          <w:sz w:val="20"/>
        </w:rPr>
      </w:pPr>
    </w:p>
    <w:p w14:paraId="21304EBF" w14:textId="77777777" w:rsidR="007607AD" w:rsidRDefault="007607AD">
      <w:pPr>
        <w:pStyle w:val="BodyText"/>
        <w:rPr>
          <w:sz w:val="20"/>
        </w:rPr>
      </w:pPr>
    </w:p>
    <w:p w14:paraId="5549CC3A" w14:textId="77777777" w:rsidR="007607AD" w:rsidRDefault="00295039">
      <w:pPr>
        <w:pStyle w:val="BodyText"/>
        <w:spacing w:before="6"/>
        <w:rPr>
          <w:sz w:val="17"/>
        </w:rPr>
      </w:pPr>
      <w:r>
        <w:rPr>
          <w:noProof/>
        </w:rPr>
        <mc:AlternateContent>
          <mc:Choice Requires="wps">
            <w:drawing>
              <wp:anchor distT="0" distB="0" distL="0" distR="0" simplePos="0" relativeHeight="251629568" behindDoc="0" locked="0" layoutInCell="1" allowOverlap="1" wp14:anchorId="7E5572AD" wp14:editId="2F1D5A59">
                <wp:simplePos x="0" y="0"/>
                <wp:positionH relativeFrom="page">
                  <wp:posOffset>731520</wp:posOffset>
                </wp:positionH>
                <wp:positionV relativeFrom="paragraph">
                  <wp:posOffset>169545</wp:posOffset>
                </wp:positionV>
                <wp:extent cx="1829435" cy="0"/>
                <wp:effectExtent l="17145" t="10795" r="10795" b="17780"/>
                <wp:wrapTopAndBottom/>
                <wp:docPr id="243" name="Line 2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16764">
                          <a:solidFill>
                            <a:srgbClr val="082A75"/>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498654" id="Line 231" o:spid="_x0000_s1026" style="position:absolute;z-index:2516295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7.6pt,13.35pt" to="201.65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" strokecolor="#082a75" strokeweight="1.32pt">
                <w10:wrap type="topAndBottom" anchorx="page"/>
              </v:line>
            </w:pict>
          </mc:Fallback>
        </mc:AlternateContent>
      </w:r>
    </w:p>
    <w:p w14:paraId="4E0B87C9" w14:textId="77777777" w:rsidR="007607AD" w:rsidRDefault="007607AD">
      <w:pPr>
        <w:pStyle w:val="BodyText"/>
        <w:spacing w:before="2"/>
        <w:rPr>
          <w:sz w:val="17"/>
        </w:rPr>
      </w:pPr>
    </w:p>
    <w:p w14:paraId="62D94A51" w14:textId="6A7C9CC4" w:rsidR="007607AD" w:rsidRDefault="00FD4909" w:rsidP="000864C4">
      <w:pPr>
        <w:spacing w:before="74"/>
        <w:ind w:left="172" w:right="1697"/>
        <w:rPr>
          <w:sz w:val="20"/>
        </w:rPr>
      </w:pPr>
      <w:r>
        <w:rPr>
          <w:position w:val="7"/>
          <w:sz w:val="13"/>
        </w:rPr>
        <w:t xml:space="preserve">3 </w:t>
      </w:r>
      <w:r>
        <w:rPr>
          <w:sz w:val="20"/>
        </w:rPr>
        <w:t>U.S. Bureau of Labor Statistics. (2016, Aug. 30). News release: Consumer expenditures – 2015 [USDL-16-1768]. Washington, DC: Government Printing Office. Retrieved on 12/21/16 from https:</w:t>
      </w:r>
      <w:hyperlink r:id="rId12">
        <w:r>
          <w:rPr>
            <w:sz w:val="20"/>
          </w:rPr>
          <w:t>//w</w:t>
        </w:r>
      </w:hyperlink>
      <w:r>
        <w:rPr>
          <w:sz w:val="20"/>
        </w:rPr>
        <w:t>w</w:t>
      </w:r>
      <w:hyperlink r:id="rId13">
        <w:r>
          <w:rPr>
            <w:sz w:val="20"/>
          </w:rPr>
          <w:t>w.bls.gov/news.release/pdf/cesan.pdf</w:t>
        </w:r>
      </w:hyperlink>
    </w:p>
    <w:p w14:paraId="4504F6CB" w14:textId="77777777" w:rsidR="000864C4" w:rsidRDefault="000864C4" w:rsidP="000864C4">
      <w:pPr>
        <w:spacing w:before="74" w:line="246" w:lineRule="exact"/>
        <w:ind w:left="172"/>
        <w:rPr>
          <w:sz w:val="20"/>
        </w:rPr>
      </w:pPr>
      <w:r>
        <w:rPr>
          <w:position w:val="7"/>
          <w:sz w:val="13"/>
        </w:rPr>
        <w:t xml:space="preserve">4 </w:t>
      </w:r>
      <w:r>
        <w:rPr>
          <w:sz w:val="20"/>
        </w:rPr>
        <w:t xml:space="preserve">Wood, </w:t>
      </w:r>
      <w:proofErr w:type="spellStart"/>
      <w:r>
        <w:rPr>
          <w:sz w:val="20"/>
        </w:rPr>
        <w:t>Eskic</w:t>
      </w:r>
      <w:proofErr w:type="spellEnd"/>
      <w:r>
        <w:rPr>
          <w:sz w:val="20"/>
        </w:rPr>
        <w:t xml:space="preserve">, and D.J. </w:t>
      </w:r>
      <w:proofErr w:type="spellStart"/>
      <w:r>
        <w:rPr>
          <w:sz w:val="20"/>
        </w:rPr>
        <w:t>Benway</w:t>
      </w:r>
      <w:proofErr w:type="gramStart"/>
      <w:r>
        <w:rPr>
          <w:sz w:val="20"/>
        </w:rPr>
        <w:t>.”Gardner</w:t>
      </w:r>
      <w:proofErr w:type="spellEnd"/>
      <w:proofErr w:type="gramEnd"/>
      <w:r>
        <w:rPr>
          <w:sz w:val="20"/>
        </w:rPr>
        <w:t xml:space="preserve"> Business Review.” (2018): 27.</w:t>
      </w:r>
    </w:p>
    <w:p w14:paraId="5F152C4A" w14:textId="77777777" w:rsidR="000864C4" w:rsidRDefault="000864C4">
      <w:pPr>
        <w:rPr>
          <w:sz w:val="20"/>
        </w:rPr>
        <w:sectPr w:rsidR="000864C4">
          <w:pgSz w:w="12240" w:h="15840"/>
          <w:pgMar w:top="980" w:right="320" w:bottom="980" w:left="980" w:header="0" w:footer="796" w:gutter="0"/>
          <w:pgBorders w:offsetFrom="page">
            <w:top w:val="single" w:sz="4" w:space="24" w:color="000000"/>
            <w:left w:val="single" w:sz="4" w:space="24" w:color="000000"/>
            <w:bottom w:val="single" w:sz="4" w:space="24" w:color="000000"/>
            <w:right w:val="single" w:sz="4" w:space="24" w:color="000000"/>
          </w:pgBorders>
          <w:cols w:space="720"/>
        </w:sectPr>
      </w:pPr>
    </w:p>
    <w:p w14:paraId="48D900FB" w14:textId="77777777" w:rsidR="007607AD" w:rsidRDefault="00FD4909">
      <w:pPr>
        <w:pStyle w:val="BodyText"/>
        <w:spacing w:before="181" w:line="259" w:lineRule="auto"/>
        <w:ind w:left="321" w:right="218"/>
      </w:pPr>
      <w:r>
        <w:lastRenderedPageBreak/>
        <w:t>The</w:t>
      </w:r>
      <w:r>
        <w:rPr>
          <w:spacing w:val="-2"/>
        </w:rPr>
        <w:t xml:space="preserve"> </w:t>
      </w:r>
      <w:r>
        <w:t>Kem</w:t>
      </w:r>
      <w:r>
        <w:rPr>
          <w:spacing w:val="-3"/>
        </w:rPr>
        <w:t xml:space="preserve"> </w:t>
      </w:r>
      <w:r>
        <w:t>C.</w:t>
      </w:r>
      <w:r>
        <w:rPr>
          <w:spacing w:val="-2"/>
        </w:rPr>
        <w:t xml:space="preserve"> </w:t>
      </w:r>
      <w:r>
        <w:t>Gardner</w:t>
      </w:r>
      <w:r>
        <w:rPr>
          <w:spacing w:val="-3"/>
        </w:rPr>
        <w:t xml:space="preserve"> </w:t>
      </w:r>
      <w:r>
        <w:t>Policy</w:t>
      </w:r>
      <w:r>
        <w:rPr>
          <w:spacing w:val="-4"/>
        </w:rPr>
        <w:t xml:space="preserve"> </w:t>
      </w:r>
      <w:r>
        <w:t>Institute</w:t>
      </w:r>
      <w:r>
        <w:rPr>
          <w:spacing w:val="-1"/>
        </w:rPr>
        <w:t xml:space="preserve"> </w:t>
      </w:r>
      <w:r>
        <w:t>reported</w:t>
      </w:r>
      <w:r>
        <w:rPr>
          <w:spacing w:val="-2"/>
        </w:rPr>
        <w:t xml:space="preserve"> </w:t>
      </w:r>
      <w:r>
        <w:t>in</w:t>
      </w:r>
      <w:r>
        <w:rPr>
          <w:spacing w:val="-3"/>
        </w:rPr>
        <w:t xml:space="preserve"> </w:t>
      </w:r>
      <w:r>
        <w:t>their</w:t>
      </w:r>
      <w:r>
        <w:rPr>
          <w:spacing w:val="-3"/>
        </w:rPr>
        <w:t xml:space="preserve"> </w:t>
      </w:r>
      <w:r>
        <w:t>October</w:t>
      </w:r>
      <w:r>
        <w:rPr>
          <w:spacing w:val="-4"/>
        </w:rPr>
        <w:t xml:space="preserve"> </w:t>
      </w:r>
      <w:r>
        <w:t>2021</w:t>
      </w:r>
      <w:r>
        <w:rPr>
          <w:spacing w:val="-2"/>
        </w:rPr>
        <w:t xml:space="preserve"> </w:t>
      </w:r>
      <w:r>
        <w:t>report,</w:t>
      </w:r>
      <w:r>
        <w:rPr>
          <w:spacing w:val="-3"/>
        </w:rPr>
        <w:t xml:space="preserve"> </w:t>
      </w:r>
      <w:r>
        <w:t>“The</w:t>
      </w:r>
      <w:r>
        <w:rPr>
          <w:spacing w:val="-7"/>
        </w:rPr>
        <w:t xml:space="preserve"> </w:t>
      </w:r>
      <w:r>
        <w:t>State</w:t>
      </w:r>
      <w:r>
        <w:rPr>
          <w:spacing w:val="-3"/>
        </w:rPr>
        <w:t xml:space="preserve"> </w:t>
      </w:r>
      <w:r>
        <w:t>of</w:t>
      </w:r>
      <w:r>
        <w:rPr>
          <w:spacing w:val="-2"/>
        </w:rPr>
        <w:t xml:space="preserve"> </w:t>
      </w:r>
      <w:r>
        <w:t>the</w:t>
      </w:r>
      <w:r>
        <w:rPr>
          <w:spacing w:val="-1"/>
        </w:rPr>
        <w:t xml:space="preserve"> </w:t>
      </w:r>
      <w:r>
        <w:t>State’s</w:t>
      </w:r>
      <w:r>
        <w:rPr>
          <w:spacing w:val="-2"/>
        </w:rPr>
        <w:t xml:space="preserve"> </w:t>
      </w:r>
      <w:r>
        <w:t>Housing</w:t>
      </w:r>
      <w:r>
        <w:rPr>
          <w:spacing w:val="-2"/>
        </w:rPr>
        <w:t xml:space="preserve"> </w:t>
      </w:r>
      <w:r>
        <w:t>Market, that “more than half of Utah’s households unable to afford the median-priced home— By the end of 2020, the median price reached $380,000, pricing out approximately 48.5% of Utah households. As prices accelerated in 2021, more than half of Utah households are unable to afford the median-priced home. For renters, the path to ownership narrowed further. In 2019, approximately 63.1% of renter households were priced out of the median home price. In 2020, the share of renters priced out increased to</w:t>
      </w:r>
      <w:r>
        <w:rPr>
          <w:spacing w:val="-13"/>
        </w:rPr>
        <w:t xml:space="preserve"> </w:t>
      </w:r>
      <w:r>
        <w:t>72.8%.</w:t>
      </w:r>
    </w:p>
    <w:p w14:paraId="48076F61" w14:textId="77777777" w:rsidR="007607AD" w:rsidRDefault="00FD4909">
      <w:pPr>
        <w:pStyle w:val="BodyText"/>
        <w:spacing w:before="158" w:line="259" w:lineRule="auto"/>
        <w:ind w:left="321" w:right="377"/>
      </w:pPr>
      <w:r>
        <w:t>The American Planning Association reports that “wages have not increased proportionally to housing costs. After adjusting for inflation, wages are only 10 percent higher in 2017 than they were in 1973 (with annual wage growth just below 2.0 percent). During that same period, the cost of housing increased almost 30 percent nationally.”</w:t>
      </w:r>
      <w:r>
        <w:rPr>
          <w:vertAlign w:val="superscript"/>
        </w:rPr>
        <w:t>5</w:t>
      </w:r>
    </w:p>
    <w:p w14:paraId="6048C00B" w14:textId="77777777" w:rsidR="007607AD" w:rsidRDefault="00FD4909">
      <w:pPr>
        <w:pStyle w:val="BodyText"/>
        <w:spacing w:before="160" w:line="259" w:lineRule="auto"/>
        <w:ind w:left="321" w:right="318"/>
      </w:pPr>
      <w:r>
        <w:t>Regarding residential construction costs, the American Planning Association reports “As the cost per square foot to build housing continues to increase, a greater number of units built by the private market have moved to higher rent or for-sale units while losing lower rent or for sale units. With the average cost per square foot for new construction in the $150 to $300 range (geography dependent), it is impossible to build a new 1,500-square-foot single-family house that is affordable to households earning the U.S. median income of $57,652 (in 2017) without a public subsidy in the form of land, money, or both. Unfortunately, many of the state and federal programs are limited to assisting only those households at 60 percent area median income (AMI) or less. The reality is that housing is often unaffordable to households earning up to 120 percent AMI (and higher in many markets). A tiered approach to the provision of subsidies and economic incentives, especially at the local level, is necessary to ensure the construction and preservation of a wide range of affordable housing types in our nation’s communities. Scaling back the size of newly constructed housing offers some cost savings provided the minimum buildable lot size is reduced accordingly to realize a savings on land acquisition. Homes in the 900- to 1,200-square-foot range are becoming more commonplace, but the trend in America is still toward larger houses. According to the U.S. Census, the size of the average single-family house increased from 1,535 square feet in 1975 to 2,169 square feet in 2010— an increase of 41 percent.”</w:t>
      </w:r>
      <w:r>
        <w:rPr>
          <w:vertAlign w:val="superscript"/>
        </w:rPr>
        <w:t>6</w:t>
      </w:r>
    </w:p>
    <w:p w14:paraId="61FC3DBC" w14:textId="77777777" w:rsidR="007607AD" w:rsidRDefault="00FD4909">
      <w:pPr>
        <w:pStyle w:val="Heading2"/>
        <w:spacing w:before="157"/>
      </w:pPr>
      <w:r>
        <w:t>Average Annual Change in Median Sales Price in Utah</w:t>
      </w:r>
    </w:p>
    <w:p w14:paraId="24D94A0A" w14:textId="77777777" w:rsidR="007607AD" w:rsidRDefault="007607AD">
      <w:pPr>
        <w:pStyle w:val="BodyText"/>
        <w:spacing w:before="7"/>
        <w:rPr>
          <w:b/>
          <w:sz w:val="25"/>
        </w:rPr>
      </w:pPr>
    </w:p>
    <w:p w14:paraId="3EFA14F6" w14:textId="77777777" w:rsidR="007607AD" w:rsidRDefault="00FD4909">
      <w:pPr>
        <w:pStyle w:val="BodyText"/>
        <w:spacing w:line="256" w:lineRule="auto"/>
        <w:ind w:left="321" w:right="359"/>
      </w:pPr>
      <w:r>
        <w:t>The following charts from the Kem C. Gardner Policy Institute and UtahRealestate.com provide a snapshot into the accelerated change in housing sale prices and the difficulty to obtain moderate-income housing.</w:t>
      </w:r>
    </w:p>
    <w:p w14:paraId="1B02E51B" w14:textId="77777777" w:rsidR="007607AD" w:rsidRDefault="007607AD">
      <w:pPr>
        <w:pStyle w:val="BodyText"/>
        <w:rPr>
          <w:sz w:val="20"/>
        </w:rPr>
      </w:pPr>
    </w:p>
    <w:p w14:paraId="591BF813" w14:textId="77777777" w:rsidR="007607AD" w:rsidRDefault="007607AD">
      <w:pPr>
        <w:pStyle w:val="BodyText"/>
        <w:rPr>
          <w:sz w:val="20"/>
        </w:rPr>
      </w:pPr>
    </w:p>
    <w:p w14:paraId="2108E4BE" w14:textId="77777777" w:rsidR="007607AD" w:rsidRDefault="007607AD">
      <w:pPr>
        <w:pStyle w:val="BodyText"/>
        <w:rPr>
          <w:sz w:val="20"/>
        </w:rPr>
      </w:pPr>
    </w:p>
    <w:p w14:paraId="6D3C1FD1" w14:textId="77777777" w:rsidR="007607AD" w:rsidRDefault="007607AD">
      <w:pPr>
        <w:pStyle w:val="BodyText"/>
        <w:rPr>
          <w:sz w:val="20"/>
        </w:rPr>
      </w:pPr>
    </w:p>
    <w:p w14:paraId="369D8A1D" w14:textId="77777777" w:rsidR="007607AD" w:rsidRDefault="007607AD">
      <w:pPr>
        <w:pStyle w:val="BodyText"/>
        <w:rPr>
          <w:sz w:val="20"/>
        </w:rPr>
      </w:pPr>
    </w:p>
    <w:p w14:paraId="54C857AC" w14:textId="77777777" w:rsidR="007607AD" w:rsidRDefault="007607AD">
      <w:pPr>
        <w:pStyle w:val="BodyText"/>
        <w:rPr>
          <w:sz w:val="20"/>
        </w:rPr>
      </w:pPr>
    </w:p>
    <w:p w14:paraId="24D832DC" w14:textId="77777777" w:rsidR="007607AD" w:rsidRDefault="007607AD">
      <w:pPr>
        <w:pStyle w:val="BodyText"/>
        <w:rPr>
          <w:sz w:val="20"/>
        </w:rPr>
      </w:pPr>
    </w:p>
    <w:p w14:paraId="1523DF71" w14:textId="77777777" w:rsidR="007607AD" w:rsidRDefault="007607AD">
      <w:pPr>
        <w:pStyle w:val="BodyText"/>
        <w:rPr>
          <w:sz w:val="20"/>
        </w:rPr>
      </w:pPr>
    </w:p>
    <w:p w14:paraId="1C3FAA66" w14:textId="77777777" w:rsidR="007607AD" w:rsidRDefault="007607AD">
      <w:pPr>
        <w:pStyle w:val="BodyText"/>
        <w:rPr>
          <w:sz w:val="20"/>
        </w:rPr>
      </w:pPr>
    </w:p>
    <w:p w14:paraId="5178D54F" w14:textId="77777777" w:rsidR="007607AD" w:rsidRDefault="007607AD">
      <w:pPr>
        <w:pStyle w:val="BodyText"/>
        <w:rPr>
          <w:sz w:val="20"/>
        </w:rPr>
      </w:pPr>
    </w:p>
    <w:p w14:paraId="239C11C4" w14:textId="77777777" w:rsidR="007607AD" w:rsidRDefault="00295039">
      <w:pPr>
        <w:pStyle w:val="BodyText"/>
        <w:spacing w:before="5"/>
        <w:rPr>
          <w:sz w:val="14"/>
        </w:rPr>
      </w:pPr>
      <w:r>
        <w:rPr>
          <w:noProof/>
        </w:rPr>
        <mc:AlternateContent>
          <mc:Choice Requires="wps">
            <w:drawing>
              <wp:anchor distT="0" distB="0" distL="0" distR="0" simplePos="0" relativeHeight="251630592" behindDoc="0" locked="0" layoutInCell="1" allowOverlap="1" wp14:anchorId="08DD49AC" wp14:editId="2C5FEFC0">
                <wp:simplePos x="0" y="0"/>
                <wp:positionH relativeFrom="page">
                  <wp:posOffset>731520</wp:posOffset>
                </wp:positionH>
                <wp:positionV relativeFrom="paragraph">
                  <wp:posOffset>145415</wp:posOffset>
                </wp:positionV>
                <wp:extent cx="1829435" cy="0"/>
                <wp:effectExtent l="17145" t="9525" r="10795" b="9525"/>
                <wp:wrapTopAndBottom/>
                <wp:docPr id="240" name="Line 2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16764">
                          <a:solidFill>
                            <a:srgbClr val="082A75"/>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04E949" id="Line 228" o:spid="_x0000_s1026" style="position:absolute;z-index:251630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7.6pt,11.45pt" to="201.65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" strokecolor="#082a75" strokeweight="1.32pt">
                <w10:wrap type="topAndBottom" anchorx="page"/>
              </v:line>
            </w:pict>
          </mc:Fallback>
        </mc:AlternateContent>
      </w:r>
    </w:p>
    <w:p w14:paraId="35624C6B" w14:textId="77777777" w:rsidR="007607AD" w:rsidRDefault="007607AD">
      <w:pPr>
        <w:pStyle w:val="BodyText"/>
        <w:rPr>
          <w:sz w:val="20"/>
        </w:rPr>
      </w:pPr>
    </w:p>
    <w:p w14:paraId="171A71E6" w14:textId="77777777" w:rsidR="007607AD" w:rsidRDefault="007607AD">
      <w:pPr>
        <w:pStyle w:val="BodyText"/>
        <w:spacing w:before="2"/>
        <w:rPr>
          <w:sz w:val="17"/>
        </w:rPr>
      </w:pPr>
    </w:p>
    <w:p w14:paraId="77EFAC77" w14:textId="77777777" w:rsidR="007607AD" w:rsidRDefault="00FD4909">
      <w:pPr>
        <w:spacing w:line="244" w:lineRule="exact"/>
        <w:ind w:left="172"/>
        <w:rPr>
          <w:sz w:val="20"/>
        </w:rPr>
      </w:pPr>
      <w:r>
        <w:rPr>
          <w:position w:val="7"/>
          <w:sz w:val="13"/>
        </w:rPr>
        <w:t xml:space="preserve">5 </w:t>
      </w:r>
      <w:r>
        <w:rPr>
          <w:sz w:val="20"/>
        </w:rPr>
        <w:t>American Planning Association. “Housing Policy Guide.” (2019): 4-5.</w:t>
      </w:r>
    </w:p>
    <w:p w14:paraId="40B852A2" w14:textId="77777777" w:rsidR="007607AD" w:rsidRDefault="00FD4909">
      <w:pPr>
        <w:spacing w:line="245" w:lineRule="exact"/>
        <w:ind w:left="172"/>
        <w:rPr>
          <w:sz w:val="20"/>
        </w:rPr>
      </w:pPr>
      <w:r>
        <w:rPr>
          <w:position w:val="7"/>
          <w:sz w:val="13"/>
        </w:rPr>
        <w:t xml:space="preserve">6 </w:t>
      </w:r>
      <w:r>
        <w:rPr>
          <w:sz w:val="20"/>
        </w:rPr>
        <w:t>American Planning Association. “Housing Policy Guide.” (2019): 5.</w:t>
      </w:r>
    </w:p>
    <w:p w14:paraId="7A46DF00" w14:textId="77777777" w:rsidR="007607AD" w:rsidRDefault="007607AD">
      <w:pPr>
        <w:spacing w:line="245" w:lineRule="exact"/>
        <w:rPr>
          <w:sz w:val="20"/>
        </w:rPr>
        <w:sectPr w:rsidR="007607AD">
          <w:pgSz w:w="12240" w:h="15840"/>
          <w:pgMar w:top="980" w:right="320" w:bottom="980" w:left="980" w:header="0" w:footer="796" w:gutter="0"/>
          <w:pgBorders w:offsetFrom="page">
            <w:top w:val="single" w:sz="4" w:space="24" w:color="000000"/>
            <w:left w:val="single" w:sz="4" w:space="24" w:color="000000"/>
            <w:bottom w:val="single" w:sz="4" w:space="24" w:color="000000"/>
            <w:right w:val="single" w:sz="4" w:space="24" w:color="000000"/>
          </w:pgBorders>
          <w:cols w:space="720"/>
        </w:sectPr>
      </w:pPr>
    </w:p>
    <w:p w14:paraId="0BE5EE27" w14:textId="682C8C00" w:rsidR="007607AD" w:rsidRDefault="007607AD">
      <w:pPr>
        <w:pStyle w:val="BodyText"/>
        <w:spacing w:line="90" w:lineRule="exact"/>
        <w:ind w:left="112"/>
        <w:rPr>
          <w:sz w:val="9"/>
        </w:rPr>
      </w:pPr>
    </w:p>
    <w:p w14:paraId="0EEDF80E" w14:textId="77777777" w:rsidR="007607AD" w:rsidRDefault="007607AD">
      <w:pPr>
        <w:pStyle w:val="BodyText"/>
        <w:spacing w:before="5"/>
        <w:rPr>
          <w:sz w:val="27"/>
        </w:rPr>
      </w:pPr>
    </w:p>
    <w:p w14:paraId="5A51F92A" w14:textId="77777777" w:rsidR="007607AD" w:rsidRDefault="00FD4909">
      <w:pPr>
        <w:pStyle w:val="Heading2"/>
        <w:spacing w:before="56"/>
      </w:pPr>
      <w:r>
        <w:rPr>
          <w:noProof/>
        </w:rPr>
        <w:drawing>
          <wp:anchor distT="0" distB="0" distL="0" distR="0" simplePos="0" relativeHeight="251622400" behindDoc="0" locked="0" layoutInCell="1" allowOverlap="1" wp14:anchorId="427BCD65" wp14:editId="2283675F">
            <wp:simplePos x="0" y="0"/>
            <wp:positionH relativeFrom="page">
              <wp:posOffset>850709</wp:posOffset>
            </wp:positionH>
            <wp:positionV relativeFrom="paragraph">
              <wp:posOffset>261391</wp:posOffset>
            </wp:positionV>
            <wp:extent cx="5138183" cy="2321813"/>
            <wp:effectExtent l="0" t="0" r="0" b="0"/>
            <wp:wrapTopAndBottom/>
            <wp:docPr id="5"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8.jpeg"/>
                    <pic:cNvPicPr/>
                  </pic:nvPicPr>
                  <pic:blipFill>
                    <a:blip r:embed="rId14" cstate="print"/>
                    <a:stretch>
                      <a:fillRect/>
                    </a:stretch>
                  </pic:blipFill>
                  <pic:spPr>
                    <a:xfrm>
                      <a:off x="0" y="0"/>
                      <a:ext cx="5138183" cy="2321813"/>
                    </a:xfrm>
                    <a:prstGeom prst="rect">
                      <a:avLst/>
                    </a:prstGeom>
                  </pic:spPr>
                </pic:pic>
              </a:graphicData>
            </a:graphic>
          </wp:anchor>
        </w:drawing>
      </w:r>
      <w:r>
        <w:t>Figure</w:t>
      </w:r>
      <w:r>
        <w:rPr>
          <w:spacing w:val="-1"/>
        </w:rPr>
        <w:t xml:space="preserve"> </w:t>
      </w:r>
      <w:r>
        <w:t>2</w:t>
      </w:r>
    </w:p>
    <w:p w14:paraId="15D0B66C" w14:textId="77777777" w:rsidR="007607AD" w:rsidRDefault="007607AD">
      <w:pPr>
        <w:pStyle w:val="BodyText"/>
        <w:spacing w:before="4"/>
        <w:rPr>
          <w:b/>
          <w:sz w:val="30"/>
        </w:rPr>
      </w:pPr>
    </w:p>
    <w:p w14:paraId="02F311DF" w14:textId="77777777" w:rsidR="007607AD" w:rsidRDefault="00FD4909">
      <w:pPr>
        <w:pStyle w:val="BodyText"/>
        <w:ind w:left="321"/>
      </w:pPr>
      <w:r>
        <w:t>Figure</w:t>
      </w:r>
      <w:r>
        <w:rPr>
          <w:spacing w:val="-2"/>
        </w:rPr>
        <w:t xml:space="preserve"> </w:t>
      </w:r>
      <w:r>
        <w:t>3</w:t>
      </w:r>
    </w:p>
    <w:p w14:paraId="42015A2C" w14:textId="77777777" w:rsidR="007607AD" w:rsidRDefault="007607AD">
      <w:pPr>
        <w:pStyle w:val="BodyText"/>
        <w:spacing w:before="5"/>
        <w:rPr>
          <w:sz w:val="25"/>
        </w:rPr>
      </w:pPr>
    </w:p>
    <w:p w14:paraId="48ED32BC" w14:textId="77777777" w:rsidR="007607AD" w:rsidRDefault="00FD4909">
      <w:pPr>
        <w:pStyle w:val="BodyText"/>
        <w:ind w:left="321"/>
      </w:pPr>
      <w:r>
        <w:rPr>
          <w:noProof/>
        </w:rPr>
        <w:drawing>
          <wp:anchor distT="0" distB="0" distL="0" distR="0" simplePos="0" relativeHeight="251623424" behindDoc="0" locked="0" layoutInCell="1" allowOverlap="1" wp14:anchorId="26216C86" wp14:editId="6B4D0F51">
            <wp:simplePos x="0" y="0"/>
            <wp:positionH relativeFrom="page">
              <wp:posOffset>825500</wp:posOffset>
            </wp:positionH>
            <wp:positionV relativeFrom="paragraph">
              <wp:posOffset>243275</wp:posOffset>
            </wp:positionV>
            <wp:extent cx="5062752" cy="2975610"/>
            <wp:effectExtent l="0" t="0" r="0" b="0"/>
            <wp:wrapTopAndBottom/>
            <wp:docPr id="7"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9.jpeg"/>
                    <pic:cNvPicPr/>
                  </pic:nvPicPr>
                  <pic:blipFill>
                    <a:blip r:embed="rId15" cstate="print"/>
                    <a:stretch>
                      <a:fillRect/>
                    </a:stretch>
                  </pic:blipFill>
                  <pic:spPr>
                    <a:xfrm>
                      <a:off x="0" y="0"/>
                      <a:ext cx="5062752" cy="2975610"/>
                    </a:xfrm>
                    <a:prstGeom prst="rect">
                      <a:avLst/>
                    </a:prstGeom>
                  </pic:spPr>
                </pic:pic>
              </a:graphicData>
            </a:graphic>
          </wp:anchor>
        </w:drawing>
      </w:r>
      <w:r>
        <w:t>Median Sales Price of Single-Family Homes in Utah, 2000-2021</w:t>
      </w:r>
    </w:p>
    <w:p w14:paraId="4EC04497" w14:textId="77777777" w:rsidR="007607AD" w:rsidRDefault="007607AD">
      <w:pPr>
        <w:sectPr w:rsidR="007607AD">
          <w:pgSz w:w="12240" w:h="15840"/>
          <w:pgMar w:top="980" w:right="320" w:bottom="1000" w:left="980" w:header="0" w:footer="796" w:gutter="0"/>
          <w:pgBorders w:offsetFrom="page">
            <w:top w:val="single" w:sz="4" w:space="24" w:color="000000"/>
            <w:left w:val="single" w:sz="4" w:space="24" w:color="000000"/>
            <w:bottom w:val="single" w:sz="4" w:space="24" w:color="000000"/>
            <w:right w:val="single" w:sz="4" w:space="24" w:color="000000"/>
          </w:pgBorders>
          <w:cols w:space="720"/>
        </w:sectPr>
      </w:pPr>
    </w:p>
    <w:p w14:paraId="41143D15" w14:textId="08776A10" w:rsidR="007607AD" w:rsidRDefault="007607AD">
      <w:pPr>
        <w:pStyle w:val="BodyText"/>
        <w:spacing w:line="90" w:lineRule="exact"/>
        <w:ind w:left="112"/>
        <w:rPr>
          <w:sz w:val="9"/>
        </w:rPr>
      </w:pPr>
    </w:p>
    <w:p w14:paraId="40781B81" w14:textId="77777777" w:rsidR="007607AD" w:rsidRDefault="007607AD">
      <w:pPr>
        <w:pStyle w:val="BodyText"/>
        <w:spacing w:before="5"/>
        <w:rPr>
          <w:sz w:val="27"/>
        </w:rPr>
      </w:pPr>
    </w:p>
    <w:p w14:paraId="5AC40BA3" w14:textId="77777777" w:rsidR="007607AD" w:rsidRDefault="00FD4909">
      <w:pPr>
        <w:pStyle w:val="BodyText"/>
        <w:spacing w:before="56"/>
        <w:ind w:left="321"/>
      </w:pPr>
      <w:r>
        <w:t>Figure 4</w:t>
      </w:r>
    </w:p>
    <w:p w14:paraId="2DFF5C02" w14:textId="77777777" w:rsidR="007607AD" w:rsidRDefault="00FD4909">
      <w:pPr>
        <w:pStyle w:val="BodyText"/>
        <w:spacing w:before="8"/>
        <w:rPr>
          <w:sz w:val="27"/>
        </w:rPr>
      </w:pPr>
      <w:r>
        <w:rPr>
          <w:noProof/>
        </w:rPr>
        <w:drawing>
          <wp:anchor distT="0" distB="0" distL="0" distR="0" simplePos="0" relativeHeight="251624448" behindDoc="0" locked="0" layoutInCell="1" allowOverlap="1" wp14:anchorId="52531E77" wp14:editId="59C48F3A">
            <wp:simplePos x="0" y="0"/>
            <wp:positionH relativeFrom="page">
              <wp:posOffset>842100</wp:posOffset>
            </wp:positionH>
            <wp:positionV relativeFrom="paragraph">
              <wp:posOffset>239274</wp:posOffset>
            </wp:positionV>
            <wp:extent cx="5071467" cy="3463861"/>
            <wp:effectExtent l="0" t="0" r="0" b="0"/>
            <wp:wrapTopAndBottom/>
            <wp:docPr id="9"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0.jpeg"/>
                    <pic:cNvPicPr/>
                  </pic:nvPicPr>
                  <pic:blipFill>
                    <a:blip r:embed="rId16" cstate="print"/>
                    <a:stretch>
                      <a:fillRect/>
                    </a:stretch>
                  </pic:blipFill>
                  <pic:spPr>
                    <a:xfrm>
                      <a:off x="0" y="0"/>
                      <a:ext cx="5071467" cy="3463861"/>
                    </a:xfrm>
                    <a:prstGeom prst="rect">
                      <a:avLst/>
                    </a:prstGeom>
                  </pic:spPr>
                </pic:pic>
              </a:graphicData>
            </a:graphic>
          </wp:anchor>
        </w:drawing>
      </w:r>
    </w:p>
    <w:p w14:paraId="387992DE" w14:textId="77777777" w:rsidR="007607AD" w:rsidRDefault="007607AD">
      <w:pPr>
        <w:pStyle w:val="BodyText"/>
        <w:spacing w:before="2"/>
        <w:rPr>
          <w:sz w:val="29"/>
        </w:rPr>
      </w:pPr>
    </w:p>
    <w:p w14:paraId="2B0415D5" w14:textId="77777777" w:rsidR="007607AD" w:rsidRDefault="00FD4909">
      <w:pPr>
        <w:pStyle w:val="BodyText"/>
        <w:spacing w:before="1" w:line="259" w:lineRule="auto"/>
        <w:ind w:left="321" w:right="642"/>
      </w:pPr>
      <w:r>
        <w:t>According to Census data, the average 80% moderate household of four earns $73,362. Taking the HUD recommendation of spending no more than 30% of income on housing costs (mortgage, utilities, insurance) the recommended monthly maximum mortgage or rent payment for a four-person household is $1,834. Using the median Utah County Income, the below table breaks down the recommended maximum mortgage or rent payments for each AMI ratio.</w:t>
      </w:r>
    </w:p>
    <w:p w14:paraId="56C65548" w14:textId="77777777" w:rsidR="007607AD" w:rsidRDefault="007607AD">
      <w:pPr>
        <w:pStyle w:val="BodyText"/>
        <w:spacing w:before="10"/>
        <w:rPr>
          <w:sz w:val="29"/>
        </w:rPr>
      </w:pPr>
    </w:p>
    <w:p w14:paraId="11C2A13F" w14:textId="73BEF4CE" w:rsidR="007607AD" w:rsidRDefault="00FD4909">
      <w:pPr>
        <w:pStyle w:val="BodyText"/>
        <w:spacing w:after="42"/>
        <w:ind w:left="1626"/>
      </w:pPr>
      <w:r>
        <w:t xml:space="preserve">Table </w:t>
      </w:r>
      <w:r w:rsidR="001A4FB4">
        <w:t>4</w:t>
      </w:r>
    </w:p>
    <w:tbl>
      <w:tblPr>
        <w:tblW w:w="0" w:type="auto"/>
        <w:tblInd w:w="3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00"/>
        <w:gridCol w:w="2602"/>
        <w:gridCol w:w="2602"/>
        <w:gridCol w:w="2597"/>
      </w:tblGrid>
      <w:tr w:rsidR="007607AD" w14:paraId="7EB22CDD" w14:textId="77777777">
        <w:trPr>
          <w:trHeight w:val="289"/>
        </w:trPr>
        <w:tc>
          <w:tcPr>
            <w:tcW w:w="10401" w:type="dxa"/>
            <w:gridSpan w:val="4"/>
            <w:tcBorders>
              <w:right w:val="nil"/>
            </w:tcBorders>
            <w:shd w:val="clear" w:color="auto" w:fill="ADD2EB"/>
          </w:tcPr>
          <w:p w14:paraId="72B0AB8D" w14:textId="77777777" w:rsidR="007607AD" w:rsidRDefault="00FD4909">
            <w:pPr>
              <w:pStyle w:val="TableParagraph"/>
              <w:ind w:left="2274"/>
              <w:rPr>
                <w:b/>
              </w:rPr>
            </w:pPr>
            <w:r>
              <w:rPr>
                <w:b/>
              </w:rPr>
              <w:t>AMI Breakdown for a 4-Person Family Household – Utah County</w:t>
            </w:r>
          </w:p>
        </w:tc>
      </w:tr>
      <w:tr w:rsidR="007607AD" w14:paraId="4F7A57C2" w14:textId="77777777">
        <w:trPr>
          <w:trHeight w:val="868"/>
        </w:trPr>
        <w:tc>
          <w:tcPr>
            <w:tcW w:w="2600" w:type="dxa"/>
            <w:shd w:val="clear" w:color="auto" w:fill="ADD2EB"/>
          </w:tcPr>
          <w:p w14:paraId="1470292D" w14:textId="77777777" w:rsidR="007607AD" w:rsidRDefault="00FD4909">
            <w:pPr>
              <w:pStyle w:val="TableParagraph"/>
              <w:ind w:left="107"/>
            </w:pPr>
            <w:r>
              <w:t>AMI Breakdown</w:t>
            </w:r>
          </w:p>
        </w:tc>
        <w:tc>
          <w:tcPr>
            <w:tcW w:w="2602" w:type="dxa"/>
            <w:shd w:val="clear" w:color="auto" w:fill="ADD2EB"/>
          </w:tcPr>
          <w:p w14:paraId="2DE865CF" w14:textId="77777777" w:rsidR="007607AD" w:rsidRDefault="00FD4909">
            <w:pPr>
              <w:pStyle w:val="TableParagraph"/>
              <w:spacing w:line="259" w:lineRule="auto"/>
              <w:ind w:left="107" w:right="186"/>
            </w:pPr>
            <w:r>
              <w:t>AMI Median Utah County Household Income</w:t>
            </w:r>
          </w:p>
        </w:tc>
        <w:tc>
          <w:tcPr>
            <w:tcW w:w="2602" w:type="dxa"/>
            <w:shd w:val="clear" w:color="auto" w:fill="ADD2EB"/>
          </w:tcPr>
          <w:p w14:paraId="47969475" w14:textId="77777777" w:rsidR="007607AD" w:rsidRDefault="00FD4909">
            <w:pPr>
              <w:pStyle w:val="TableParagraph"/>
              <w:ind w:left="107"/>
            </w:pPr>
            <w:r>
              <w:t>30% Yearly Housing Cost</w:t>
            </w:r>
          </w:p>
        </w:tc>
        <w:tc>
          <w:tcPr>
            <w:tcW w:w="2597" w:type="dxa"/>
            <w:tcBorders>
              <w:right w:val="nil"/>
            </w:tcBorders>
            <w:shd w:val="clear" w:color="auto" w:fill="ADD2EB"/>
          </w:tcPr>
          <w:p w14:paraId="76CA39AC" w14:textId="77777777" w:rsidR="007607AD" w:rsidRDefault="00FD4909">
            <w:pPr>
              <w:pStyle w:val="TableParagraph"/>
              <w:ind w:left="107"/>
            </w:pPr>
            <w:r>
              <w:t>30% Monthly</w:t>
            </w:r>
          </w:p>
          <w:p w14:paraId="47136E46" w14:textId="77777777" w:rsidR="007607AD" w:rsidRDefault="00FD4909">
            <w:pPr>
              <w:pStyle w:val="TableParagraph"/>
              <w:spacing w:before="10" w:line="280" w:lineRule="atLeast"/>
              <w:ind w:left="107" w:right="158"/>
            </w:pPr>
            <w:r>
              <w:t xml:space="preserve">Mortgage/Rent (including utilities, insurance, </w:t>
            </w:r>
            <w:proofErr w:type="spellStart"/>
            <w:r>
              <w:t>etc</w:t>
            </w:r>
            <w:proofErr w:type="spellEnd"/>
            <w:r>
              <w:t>)</w:t>
            </w:r>
          </w:p>
        </w:tc>
      </w:tr>
      <w:tr w:rsidR="007607AD" w14:paraId="6426C0C9" w14:textId="77777777">
        <w:trPr>
          <w:trHeight w:val="290"/>
        </w:trPr>
        <w:tc>
          <w:tcPr>
            <w:tcW w:w="2600" w:type="dxa"/>
            <w:shd w:val="clear" w:color="auto" w:fill="D5E9F5"/>
          </w:tcPr>
          <w:p w14:paraId="23858FA2" w14:textId="77777777" w:rsidR="007607AD" w:rsidRDefault="00FD4909">
            <w:pPr>
              <w:pStyle w:val="TableParagraph"/>
              <w:ind w:left="107"/>
            </w:pPr>
            <w:r>
              <w:t>100% AMI</w:t>
            </w:r>
          </w:p>
        </w:tc>
        <w:tc>
          <w:tcPr>
            <w:tcW w:w="2602" w:type="dxa"/>
            <w:shd w:val="clear" w:color="auto" w:fill="D5E9F5"/>
          </w:tcPr>
          <w:p w14:paraId="55E411BE" w14:textId="77777777" w:rsidR="007607AD" w:rsidRDefault="00FD4909">
            <w:pPr>
              <w:pStyle w:val="TableParagraph"/>
              <w:ind w:left="107"/>
            </w:pPr>
            <w:r>
              <w:t>$91,703</w:t>
            </w:r>
          </w:p>
        </w:tc>
        <w:tc>
          <w:tcPr>
            <w:tcW w:w="2602" w:type="dxa"/>
            <w:shd w:val="clear" w:color="auto" w:fill="D5E9F5"/>
          </w:tcPr>
          <w:p w14:paraId="29898256" w14:textId="77777777" w:rsidR="007607AD" w:rsidRDefault="00FD4909">
            <w:pPr>
              <w:pStyle w:val="TableParagraph"/>
              <w:ind w:left="107"/>
            </w:pPr>
            <w:r>
              <w:t>$27,510</w:t>
            </w:r>
          </w:p>
        </w:tc>
        <w:tc>
          <w:tcPr>
            <w:tcW w:w="2597" w:type="dxa"/>
            <w:tcBorders>
              <w:right w:val="nil"/>
            </w:tcBorders>
            <w:shd w:val="clear" w:color="auto" w:fill="D5E9F5"/>
          </w:tcPr>
          <w:p w14:paraId="1B59EEB1" w14:textId="77777777" w:rsidR="007607AD" w:rsidRDefault="00FD4909">
            <w:pPr>
              <w:pStyle w:val="TableParagraph"/>
              <w:ind w:left="107"/>
            </w:pPr>
            <w:r>
              <w:t>$2,292</w:t>
            </w:r>
          </w:p>
        </w:tc>
      </w:tr>
      <w:tr w:rsidR="007607AD" w14:paraId="31322800" w14:textId="77777777">
        <w:trPr>
          <w:trHeight w:val="290"/>
        </w:trPr>
        <w:tc>
          <w:tcPr>
            <w:tcW w:w="2600" w:type="dxa"/>
          </w:tcPr>
          <w:p w14:paraId="3DBEB99C" w14:textId="77777777" w:rsidR="007607AD" w:rsidRDefault="00FD4909">
            <w:pPr>
              <w:pStyle w:val="TableParagraph"/>
              <w:ind w:left="107"/>
            </w:pPr>
            <w:r>
              <w:t>80% AMI</w:t>
            </w:r>
          </w:p>
        </w:tc>
        <w:tc>
          <w:tcPr>
            <w:tcW w:w="2602" w:type="dxa"/>
          </w:tcPr>
          <w:p w14:paraId="58E3604D" w14:textId="77777777" w:rsidR="007607AD" w:rsidRDefault="00FD4909">
            <w:pPr>
              <w:pStyle w:val="TableParagraph"/>
              <w:ind w:left="107"/>
            </w:pPr>
            <w:r>
              <w:t>$73,362</w:t>
            </w:r>
          </w:p>
        </w:tc>
        <w:tc>
          <w:tcPr>
            <w:tcW w:w="2602" w:type="dxa"/>
          </w:tcPr>
          <w:p w14:paraId="25F24084" w14:textId="77777777" w:rsidR="007607AD" w:rsidRDefault="00FD4909">
            <w:pPr>
              <w:pStyle w:val="TableParagraph"/>
              <w:ind w:left="107"/>
            </w:pPr>
            <w:r>
              <w:t>$22,008</w:t>
            </w:r>
          </w:p>
        </w:tc>
        <w:tc>
          <w:tcPr>
            <w:tcW w:w="2597" w:type="dxa"/>
            <w:tcBorders>
              <w:right w:val="nil"/>
            </w:tcBorders>
          </w:tcPr>
          <w:p w14:paraId="59A1D9EC" w14:textId="77777777" w:rsidR="007607AD" w:rsidRDefault="00FD4909">
            <w:pPr>
              <w:pStyle w:val="TableParagraph"/>
              <w:ind w:left="107"/>
            </w:pPr>
            <w:r>
              <w:t>$1,834</w:t>
            </w:r>
          </w:p>
        </w:tc>
      </w:tr>
      <w:tr w:rsidR="007607AD" w14:paraId="79519EBD" w14:textId="77777777">
        <w:trPr>
          <w:trHeight w:val="290"/>
        </w:trPr>
        <w:tc>
          <w:tcPr>
            <w:tcW w:w="2600" w:type="dxa"/>
            <w:shd w:val="clear" w:color="auto" w:fill="D5E9F5"/>
          </w:tcPr>
          <w:p w14:paraId="6C3545BD" w14:textId="77777777" w:rsidR="007607AD" w:rsidRDefault="00FD4909">
            <w:pPr>
              <w:pStyle w:val="TableParagraph"/>
              <w:ind w:left="107"/>
            </w:pPr>
            <w:r>
              <w:t>50% AMI</w:t>
            </w:r>
          </w:p>
        </w:tc>
        <w:tc>
          <w:tcPr>
            <w:tcW w:w="2602" w:type="dxa"/>
            <w:shd w:val="clear" w:color="auto" w:fill="D5E9F5"/>
          </w:tcPr>
          <w:p w14:paraId="52C15746" w14:textId="77777777" w:rsidR="007607AD" w:rsidRDefault="00FD4909">
            <w:pPr>
              <w:pStyle w:val="TableParagraph"/>
              <w:ind w:left="107"/>
            </w:pPr>
            <w:r>
              <w:t>$45,851</w:t>
            </w:r>
          </w:p>
        </w:tc>
        <w:tc>
          <w:tcPr>
            <w:tcW w:w="2602" w:type="dxa"/>
            <w:shd w:val="clear" w:color="auto" w:fill="D5E9F5"/>
          </w:tcPr>
          <w:p w14:paraId="5E3DFCC2" w14:textId="77777777" w:rsidR="007607AD" w:rsidRDefault="00FD4909">
            <w:pPr>
              <w:pStyle w:val="TableParagraph"/>
              <w:ind w:left="107"/>
            </w:pPr>
            <w:r>
              <w:t>$13,755</w:t>
            </w:r>
          </w:p>
        </w:tc>
        <w:tc>
          <w:tcPr>
            <w:tcW w:w="2597" w:type="dxa"/>
            <w:tcBorders>
              <w:right w:val="nil"/>
            </w:tcBorders>
            <w:shd w:val="clear" w:color="auto" w:fill="D5E9F5"/>
          </w:tcPr>
          <w:p w14:paraId="0B1680A3" w14:textId="77777777" w:rsidR="007607AD" w:rsidRDefault="00FD4909">
            <w:pPr>
              <w:pStyle w:val="TableParagraph"/>
              <w:ind w:left="107"/>
            </w:pPr>
            <w:r>
              <w:t>$1,146</w:t>
            </w:r>
          </w:p>
        </w:tc>
      </w:tr>
      <w:tr w:rsidR="007607AD" w14:paraId="6EDAF4C3" w14:textId="77777777">
        <w:trPr>
          <w:trHeight w:val="290"/>
        </w:trPr>
        <w:tc>
          <w:tcPr>
            <w:tcW w:w="2600" w:type="dxa"/>
          </w:tcPr>
          <w:p w14:paraId="4B43BB56" w14:textId="77777777" w:rsidR="007607AD" w:rsidRDefault="00FD4909">
            <w:pPr>
              <w:pStyle w:val="TableParagraph"/>
              <w:ind w:left="107"/>
            </w:pPr>
            <w:r>
              <w:t>30% AMI</w:t>
            </w:r>
          </w:p>
        </w:tc>
        <w:tc>
          <w:tcPr>
            <w:tcW w:w="2602" w:type="dxa"/>
          </w:tcPr>
          <w:p w14:paraId="0076A3B2" w14:textId="77777777" w:rsidR="007607AD" w:rsidRDefault="00FD4909">
            <w:pPr>
              <w:pStyle w:val="TableParagraph"/>
              <w:ind w:left="107"/>
            </w:pPr>
            <w:r>
              <w:t>$27,510</w:t>
            </w:r>
          </w:p>
        </w:tc>
        <w:tc>
          <w:tcPr>
            <w:tcW w:w="2602" w:type="dxa"/>
          </w:tcPr>
          <w:p w14:paraId="627281C9" w14:textId="77777777" w:rsidR="007607AD" w:rsidRDefault="00FD4909">
            <w:pPr>
              <w:pStyle w:val="TableParagraph"/>
              <w:ind w:left="107"/>
            </w:pPr>
            <w:r>
              <w:t>$8,253</w:t>
            </w:r>
          </w:p>
        </w:tc>
        <w:tc>
          <w:tcPr>
            <w:tcW w:w="2597" w:type="dxa"/>
            <w:tcBorders>
              <w:right w:val="nil"/>
            </w:tcBorders>
          </w:tcPr>
          <w:p w14:paraId="5DE9D69C" w14:textId="77777777" w:rsidR="007607AD" w:rsidRDefault="00FD4909">
            <w:pPr>
              <w:pStyle w:val="TableParagraph"/>
              <w:ind w:left="107"/>
            </w:pPr>
            <w:r>
              <w:t>$687</w:t>
            </w:r>
          </w:p>
        </w:tc>
      </w:tr>
    </w:tbl>
    <w:p w14:paraId="60ECD1BA" w14:textId="77777777" w:rsidR="007607AD" w:rsidRDefault="00FD4909">
      <w:pPr>
        <w:pStyle w:val="BodyText"/>
        <w:ind w:left="321"/>
      </w:pPr>
      <w:r>
        <w:t xml:space="preserve">U.S. Census Bureau – </w:t>
      </w:r>
      <w:r w:rsidR="00916654">
        <w:t>Payson</w:t>
      </w:r>
      <w:r>
        <w:t xml:space="preserve"> City 2020</w:t>
      </w:r>
    </w:p>
    <w:p w14:paraId="7836B431" w14:textId="77777777" w:rsidR="007607AD" w:rsidRDefault="007607AD">
      <w:pPr>
        <w:sectPr w:rsidR="007607AD">
          <w:pgSz w:w="12240" w:h="15840"/>
          <w:pgMar w:top="980" w:right="320" w:bottom="1000" w:left="980" w:header="0" w:footer="796" w:gutter="0"/>
          <w:pgBorders w:offsetFrom="page">
            <w:top w:val="single" w:sz="4" w:space="24" w:color="000000"/>
            <w:left w:val="single" w:sz="4" w:space="24" w:color="000000"/>
            <w:bottom w:val="single" w:sz="4" w:space="24" w:color="000000"/>
            <w:right w:val="single" w:sz="4" w:space="24" w:color="000000"/>
          </w:pgBorders>
          <w:cols w:space="720"/>
        </w:sectPr>
      </w:pPr>
    </w:p>
    <w:p w14:paraId="65ABC405" w14:textId="1223F4EA" w:rsidR="007607AD" w:rsidRDefault="007607AD">
      <w:pPr>
        <w:pStyle w:val="BodyText"/>
        <w:spacing w:line="90" w:lineRule="exact"/>
        <w:ind w:left="112"/>
        <w:rPr>
          <w:sz w:val="9"/>
        </w:rPr>
      </w:pPr>
    </w:p>
    <w:p w14:paraId="098BD65A" w14:textId="77777777" w:rsidR="007607AD" w:rsidRDefault="007607AD">
      <w:pPr>
        <w:pStyle w:val="BodyText"/>
        <w:spacing w:before="6"/>
        <w:rPr>
          <w:sz w:val="28"/>
        </w:rPr>
      </w:pPr>
    </w:p>
    <w:p w14:paraId="54AAE8B3" w14:textId="77777777" w:rsidR="007607AD" w:rsidRDefault="00FD4909">
      <w:pPr>
        <w:pStyle w:val="Heading1"/>
        <w:spacing w:before="44"/>
      </w:pPr>
      <w:r>
        <w:t>Housing Needs Assessment</w:t>
      </w:r>
    </w:p>
    <w:p w14:paraId="3BAE0919" w14:textId="77777777" w:rsidR="007607AD" w:rsidRDefault="00FD4909">
      <w:pPr>
        <w:pStyle w:val="Heading2"/>
        <w:spacing w:before="239"/>
        <w:rPr>
          <w:rFonts w:ascii="Arial"/>
        </w:rPr>
      </w:pPr>
      <w:r>
        <w:rPr>
          <w:rFonts w:ascii="Arial"/>
        </w:rPr>
        <w:t>Current Housing Stock</w:t>
      </w:r>
    </w:p>
    <w:p w14:paraId="1E9FD768" w14:textId="2E31C936" w:rsidR="007607AD" w:rsidRDefault="00FD4909">
      <w:pPr>
        <w:pStyle w:val="BodyText"/>
        <w:spacing w:before="37" w:line="259" w:lineRule="auto"/>
        <w:ind w:left="321" w:right="209"/>
      </w:pPr>
      <w:r>
        <w:t xml:space="preserve">The 2020 United State Census estimates that, </w:t>
      </w:r>
      <w:r w:rsidR="00916654">
        <w:t>Payson</w:t>
      </w:r>
      <w:r>
        <w:t xml:space="preserve"> City has </w:t>
      </w:r>
      <w:r w:rsidR="00725A48">
        <w:t>6,256</w:t>
      </w:r>
      <w:r>
        <w:t xml:space="preserve"> housing units. The Census also reports in 2020 that the approximately </w:t>
      </w:r>
      <w:r w:rsidR="00725A48">
        <w:t>80% or 5,011 of the housing units were owner-occupied and approximately 20% or 1,245 were rental units.</w:t>
      </w:r>
      <w:r>
        <w:t xml:space="preserve"> The total number of rental units is often difficult to determine since, at any one time, someone may rent their home, accessory dwelling unit, or condominium unit. </w:t>
      </w:r>
    </w:p>
    <w:p w14:paraId="751763A8" w14:textId="77777777" w:rsidR="007607AD" w:rsidRDefault="007607AD">
      <w:pPr>
        <w:pStyle w:val="BodyText"/>
        <w:spacing w:before="7"/>
        <w:rPr>
          <w:sz w:val="23"/>
        </w:rPr>
      </w:pPr>
    </w:p>
    <w:p w14:paraId="1D570AAF" w14:textId="4E05D0B4" w:rsidR="007607AD" w:rsidRDefault="00FD4909">
      <w:pPr>
        <w:pStyle w:val="BodyText"/>
        <w:spacing w:after="15"/>
        <w:ind w:left="321"/>
      </w:pPr>
      <w:r>
        <w:t xml:space="preserve">Chart </w:t>
      </w:r>
      <w:r w:rsidR="001A4FB4">
        <w:t>4</w:t>
      </w:r>
    </w:p>
    <w:p w14:paraId="2F41AFB8" w14:textId="0FE14E95" w:rsidR="007607AD" w:rsidRDefault="0062538F">
      <w:pPr>
        <w:pStyle w:val="BodyText"/>
        <w:ind w:left="2142"/>
        <w:rPr>
          <w:sz w:val="20"/>
        </w:rPr>
      </w:pPr>
      <w:r>
        <w:rPr>
          <w:noProof/>
        </w:rPr>
        <w:drawing>
          <wp:inline distT="0" distB="0" distL="0" distR="0" wp14:anchorId="519075F5" wp14:editId="2E0A0AF3">
            <wp:extent cx="4572000" cy="2743200"/>
            <wp:effectExtent l="0" t="0" r="0" b="0"/>
            <wp:docPr id="2037876128" name="Chart 1">
              <a:extLst xmlns:a="http://schemas.openxmlformats.org/drawingml/2006/main">
                <a:ext uri="{FF2B5EF4-FFF2-40B4-BE49-F238E27FC236}">
                  <a16:creationId xmlns:a16="http://schemas.microsoft.com/office/drawing/2014/main" id="{5192B9CC-E3C7-428B-BCF3-B728443977C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05FEFF03" w14:textId="6A3EF859" w:rsidR="007607AD" w:rsidRDefault="0062538F">
      <w:pPr>
        <w:pStyle w:val="BodyText"/>
        <w:spacing w:before="24"/>
        <w:ind w:left="1895"/>
      </w:pPr>
      <w:r>
        <w:t>Payson City Building Permits</w:t>
      </w:r>
    </w:p>
    <w:p w14:paraId="6318F0D1" w14:textId="77777777" w:rsidR="001074D6" w:rsidRDefault="001074D6">
      <w:pPr>
        <w:pStyle w:val="BodyText"/>
        <w:spacing w:before="24"/>
        <w:ind w:left="1895"/>
      </w:pPr>
    </w:p>
    <w:p w14:paraId="2289CF6A" w14:textId="42EF3772" w:rsidR="007607AD" w:rsidRDefault="003A24EB" w:rsidP="00E23D98">
      <w:pPr>
        <w:pStyle w:val="BodyText"/>
        <w:ind w:left="360" w:right="500"/>
      </w:pPr>
      <w:r>
        <w:t xml:space="preserve">The above chart shows the </w:t>
      </w:r>
      <w:r w:rsidR="00E23D98">
        <w:t xml:space="preserve">number of housing units given building permits in the last five years in Payson. There continues to be a strong number of single-family detached dwellings being constructed in the city and then an increase in multi-family dwellings as housing costs continue to rise. </w:t>
      </w:r>
    </w:p>
    <w:p w14:paraId="59B0E2CA" w14:textId="77777777" w:rsidR="00FD38DD" w:rsidRDefault="00FD38DD">
      <w:pPr>
        <w:pStyle w:val="BodyText"/>
      </w:pPr>
    </w:p>
    <w:p w14:paraId="3F6DE1CA" w14:textId="77777777" w:rsidR="007607AD" w:rsidRDefault="00FD4909">
      <w:pPr>
        <w:pStyle w:val="Heading2"/>
        <w:spacing w:before="180"/>
      </w:pPr>
      <w:r>
        <w:t>Current Housing Sales and Pricing</w:t>
      </w:r>
    </w:p>
    <w:p w14:paraId="757BCFA2" w14:textId="77777777" w:rsidR="007607AD" w:rsidRDefault="007607AD">
      <w:pPr>
        <w:pStyle w:val="BodyText"/>
        <w:spacing w:before="9"/>
        <w:rPr>
          <w:b/>
          <w:sz w:val="19"/>
        </w:rPr>
      </w:pPr>
    </w:p>
    <w:p w14:paraId="29D95E1B" w14:textId="77777777" w:rsidR="007607AD" w:rsidRDefault="00FD4909">
      <w:pPr>
        <w:pStyle w:val="BodyText"/>
        <w:spacing w:line="259" w:lineRule="auto"/>
        <w:ind w:left="321" w:right="493"/>
        <w:jc w:val="both"/>
      </w:pPr>
      <w:r>
        <w:t>The Salt Lake Tribune, using Wasatch Front Regional Multiple Listing Service data, has tracked 2</w:t>
      </w:r>
      <w:r>
        <w:rPr>
          <w:vertAlign w:val="superscript"/>
        </w:rPr>
        <w:t>nd</w:t>
      </w:r>
      <w:r>
        <w:t xml:space="preserve"> quarter median home prices for Utah Communities from 2003 to 2022. Using this data, the following chart shows the accelerated rate of home prices in </w:t>
      </w:r>
      <w:r w:rsidR="00916654">
        <w:t>Payson</w:t>
      </w:r>
      <w:r>
        <w:t xml:space="preserve"> but are also consistent with other communities.</w:t>
      </w:r>
    </w:p>
    <w:p w14:paraId="12FC0D26" w14:textId="50246D7F" w:rsidR="001A4FB4" w:rsidRDefault="001A4FB4">
      <w:pPr>
        <w:rPr>
          <w:sz w:val="23"/>
        </w:rPr>
      </w:pPr>
      <w:r>
        <w:rPr>
          <w:sz w:val="23"/>
        </w:rPr>
        <w:br w:type="page"/>
      </w:r>
    </w:p>
    <w:p w14:paraId="20896E64" w14:textId="77777777" w:rsidR="007607AD" w:rsidRDefault="007607AD">
      <w:pPr>
        <w:pStyle w:val="BodyText"/>
        <w:spacing w:before="8"/>
        <w:rPr>
          <w:sz w:val="23"/>
        </w:rPr>
      </w:pPr>
    </w:p>
    <w:p w14:paraId="6A912E63" w14:textId="25E12F89" w:rsidR="007607AD" w:rsidRDefault="00FD4909">
      <w:pPr>
        <w:pStyle w:val="BodyText"/>
        <w:spacing w:after="14"/>
        <w:ind w:left="321"/>
      </w:pPr>
      <w:r>
        <w:t xml:space="preserve">Chart </w:t>
      </w:r>
      <w:r w:rsidR="001A4FB4">
        <w:t>5</w:t>
      </w:r>
    </w:p>
    <w:p w14:paraId="5EAD8605" w14:textId="77777777" w:rsidR="007607AD" w:rsidRDefault="00295039">
      <w:pPr>
        <w:pStyle w:val="BodyText"/>
        <w:ind w:left="1918"/>
        <w:rPr>
          <w:sz w:val="20"/>
        </w:rPr>
      </w:pPr>
      <w:r>
        <w:rPr>
          <w:noProof/>
          <w:sz w:val="20"/>
        </w:rPr>
        <mc:AlternateContent>
          <mc:Choice Requires="wpg">
            <w:drawing>
              <wp:inline distT="0" distB="0" distL="0" distR="0" wp14:anchorId="1B48B804" wp14:editId="4FC83A5C">
                <wp:extent cx="4581525" cy="2752725"/>
                <wp:effectExtent l="1905" t="3175" r="7620" b="6350"/>
                <wp:docPr id="123" name="Group 1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81525" cy="2752725"/>
                          <a:chOff x="0" y="0"/>
                          <a:chExt cx="7215" cy="4335"/>
                        </a:xfrm>
                      </wpg:grpSpPr>
                      <wps:wsp>
                        <wps:cNvPr id="124" name="Line 143"/>
                        <wps:cNvCnPr>
                          <a:cxnSpLocks noChangeShapeType="1"/>
                        </wps:cNvCnPr>
                        <wps:spPr bwMode="auto">
                          <a:xfrm>
                            <a:off x="897" y="3516"/>
                            <a:ext cx="6090" cy="0"/>
                          </a:xfrm>
                          <a:prstGeom prst="line">
                            <a:avLst/>
                          </a:prstGeom>
                          <a:noFill/>
                          <a:ln w="9525">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125" name="Line 142"/>
                        <wps:cNvCnPr>
                          <a:cxnSpLocks noChangeShapeType="1"/>
                        </wps:cNvCnPr>
                        <wps:spPr bwMode="auto">
                          <a:xfrm>
                            <a:off x="897" y="3171"/>
                            <a:ext cx="6090" cy="0"/>
                          </a:xfrm>
                          <a:prstGeom prst="line">
                            <a:avLst/>
                          </a:prstGeom>
                          <a:noFill/>
                          <a:ln w="9525">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126" name="Line 141"/>
                        <wps:cNvCnPr>
                          <a:cxnSpLocks noChangeShapeType="1"/>
                        </wps:cNvCnPr>
                        <wps:spPr bwMode="auto">
                          <a:xfrm>
                            <a:off x="897" y="2825"/>
                            <a:ext cx="6090" cy="0"/>
                          </a:xfrm>
                          <a:prstGeom prst="line">
                            <a:avLst/>
                          </a:prstGeom>
                          <a:noFill/>
                          <a:ln w="9525">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127" name="Line 140"/>
                        <wps:cNvCnPr>
                          <a:cxnSpLocks noChangeShapeType="1"/>
                        </wps:cNvCnPr>
                        <wps:spPr bwMode="auto">
                          <a:xfrm>
                            <a:off x="897" y="2480"/>
                            <a:ext cx="6090" cy="0"/>
                          </a:xfrm>
                          <a:prstGeom prst="line">
                            <a:avLst/>
                          </a:prstGeom>
                          <a:noFill/>
                          <a:ln w="9525">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128" name="Line 139"/>
                        <wps:cNvCnPr>
                          <a:cxnSpLocks noChangeShapeType="1"/>
                        </wps:cNvCnPr>
                        <wps:spPr bwMode="auto">
                          <a:xfrm>
                            <a:off x="897" y="2134"/>
                            <a:ext cx="6090" cy="0"/>
                          </a:xfrm>
                          <a:prstGeom prst="line">
                            <a:avLst/>
                          </a:prstGeom>
                          <a:noFill/>
                          <a:ln w="9525">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129" name="Line 138"/>
                        <wps:cNvCnPr>
                          <a:cxnSpLocks noChangeShapeType="1"/>
                        </wps:cNvCnPr>
                        <wps:spPr bwMode="auto">
                          <a:xfrm>
                            <a:off x="897" y="1789"/>
                            <a:ext cx="6090" cy="0"/>
                          </a:xfrm>
                          <a:prstGeom prst="line">
                            <a:avLst/>
                          </a:prstGeom>
                          <a:noFill/>
                          <a:ln w="9525">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130" name="Line 137"/>
                        <wps:cNvCnPr>
                          <a:cxnSpLocks noChangeShapeType="1"/>
                        </wps:cNvCnPr>
                        <wps:spPr bwMode="auto">
                          <a:xfrm>
                            <a:off x="897" y="1441"/>
                            <a:ext cx="6090" cy="0"/>
                          </a:xfrm>
                          <a:prstGeom prst="line">
                            <a:avLst/>
                          </a:prstGeom>
                          <a:noFill/>
                          <a:ln w="9525">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131" name="Line 136"/>
                        <wps:cNvCnPr>
                          <a:cxnSpLocks noChangeShapeType="1"/>
                        </wps:cNvCnPr>
                        <wps:spPr bwMode="auto">
                          <a:xfrm>
                            <a:off x="897" y="1095"/>
                            <a:ext cx="6090" cy="0"/>
                          </a:xfrm>
                          <a:prstGeom prst="line">
                            <a:avLst/>
                          </a:prstGeom>
                          <a:noFill/>
                          <a:ln w="9525">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132" name="Freeform 135"/>
                        <wps:cNvSpPr>
                          <a:spLocks/>
                        </wps:cNvSpPr>
                        <wps:spPr bwMode="auto">
                          <a:xfrm>
                            <a:off x="1505" y="1181"/>
                            <a:ext cx="4873" cy="1291"/>
                          </a:xfrm>
                          <a:custGeom>
                            <a:avLst/>
                            <a:gdLst>
                              <a:gd name="T0" fmla="+- 0 1506 1506"/>
                              <a:gd name="T1" fmla="*/ T0 w 4873"/>
                              <a:gd name="T2" fmla="+- 0 2473 1182"/>
                              <a:gd name="T3" fmla="*/ 2473 h 1291"/>
                              <a:gd name="T4" fmla="+- 0 2724 1506"/>
                              <a:gd name="T5" fmla="*/ T4 w 4873"/>
                              <a:gd name="T6" fmla="+- 0 2398 1182"/>
                              <a:gd name="T7" fmla="*/ 2398 h 1291"/>
                              <a:gd name="T8" fmla="+- 0 3941 1506"/>
                              <a:gd name="T9" fmla="*/ T8 w 4873"/>
                              <a:gd name="T10" fmla="+- 0 2079 1182"/>
                              <a:gd name="T11" fmla="*/ 2079 h 1291"/>
                              <a:gd name="T12" fmla="+- 0 5160 1506"/>
                              <a:gd name="T13" fmla="*/ T12 w 4873"/>
                              <a:gd name="T14" fmla="+- 0 1642 1182"/>
                              <a:gd name="T15" fmla="*/ 1642 h 1291"/>
                              <a:gd name="T16" fmla="+- 0 6379 1506"/>
                              <a:gd name="T17" fmla="*/ T16 w 4873"/>
                              <a:gd name="T18" fmla="+- 0 1182 1182"/>
                              <a:gd name="T19" fmla="*/ 1182 h 1291"/>
                            </a:gdLst>
                            <a:ahLst/>
                            <a:cxnLst>
                              <a:cxn ang="0">
                                <a:pos x="T1" y="T3"/>
                              </a:cxn>
                              <a:cxn ang="0">
                                <a:pos x="T5" y="T7"/>
                              </a:cxn>
                              <a:cxn ang="0">
                                <a:pos x="T9" y="T11"/>
                              </a:cxn>
                              <a:cxn ang="0">
                                <a:pos x="T13" y="T15"/>
                              </a:cxn>
                              <a:cxn ang="0">
                                <a:pos x="T17" y="T19"/>
                              </a:cxn>
                            </a:cxnLst>
                            <a:rect l="0" t="0" r="r" b="b"/>
                            <a:pathLst>
                              <a:path w="4873" h="1291">
                                <a:moveTo>
                                  <a:pt x="0" y="1291"/>
                                </a:moveTo>
                                <a:lnTo>
                                  <a:pt x="1218" y="1216"/>
                                </a:lnTo>
                                <a:lnTo>
                                  <a:pt x="2435" y="897"/>
                                </a:lnTo>
                                <a:lnTo>
                                  <a:pt x="3654" y="460"/>
                                </a:lnTo>
                                <a:lnTo>
                                  <a:pt x="4873" y="0"/>
                                </a:lnTo>
                              </a:path>
                            </a:pathLst>
                          </a:custGeom>
                          <a:noFill/>
                          <a:ln w="28575">
                            <a:solidFill>
                              <a:srgbClr val="4471C4"/>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3" name="Freeform 134"/>
                        <wps:cNvSpPr>
                          <a:spLocks/>
                        </wps:cNvSpPr>
                        <wps:spPr bwMode="auto">
                          <a:xfrm>
                            <a:off x="1505" y="2472"/>
                            <a:ext cx="110" cy="120"/>
                          </a:xfrm>
                          <a:custGeom>
                            <a:avLst/>
                            <a:gdLst>
                              <a:gd name="T0" fmla="+- 0 1506 1506"/>
                              <a:gd name="T1" fmla="*/ T0 w 110"/>
                              <a:gd name="T2" fmla="+- 0 2473 2473"/>
                              <a:gd name="T3" fmla="*/ 2473 h 120"/>
                              <a:gd name="T4" fmla="+- 0 1527 1506"/>
                              <a:gd name="T5" fmla="*/ T4 w 110"/>
                              <a:gd name="T6" fmla="+- 0 2593 2473"/>
                              <a:gd name="T7" fmla="*/ 2593 h 120"/>
                              <a:gd name="T8" fmla="+- 0 1616 1506"/>
                              <a:gd name="T9" fmla="*/ T8 w 110"/>
                              <a:gd name="T10" fmla="+- 0 2593 2473"/>
                              <a:gd name="T11" fmla="*/ 2593 h 120"/>
                            </a:gdLst>
                            <a:ahLst/>
                            <a:cxnLst>
                              <a:cxn ang="0">
                                <a:pos x="T1" y="T3"/>
                              </a:cxn>
                              <a:cxn ang="0">
                                <a:pos x="T5" y="T7"/>
                              </a:cxn>
                              <a:cxn ang="0">
                                <a:pos x="T9" y="T11"/>
                              </a:cxn>
                            </a:cxnLst>
                            <a:rect l="0" t="0" r="r" b="b"/>
                            <a:pathLst>
                              <a:path w="110" h="120">
                                <a:moveTo>
                                  <a:pt x="0" y="0"/>
                                </a:moveTo>
                                <a:lnTo>
                                  <a:pt x="21" y="120"/>
                                </a:lnTo>
                                <a:lnTo>
                                  <a:pt x="110" y="120"/>
                                </a:lnTo>
                              </a:path>
                            </a:pathLst>
                          </a:custGeom>
                          <a:noFill/>
                          <a:ln w="9525">
                            <a:solidFill>
                              <a:srgbClr val="A6A6A6"/>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4" name="Freeform 133"/>
                        <wps:cNvSpPr>
                          <a:spLocks/>
                        </wps:cNvSpPr>
                        <wps:spPr bwMode="auto">
                          <a:xfrm>
                            <a:off x="2723" y="2399"/>
                            <a:ext cx="110" cy="120"/>
                          </a:xfrm>
                          <a:custGeom>
                            <a:avLst/>
                            <a:gdLst>
                              <a:gd name="T0" fmla="+- 0 2724 2724"/>
                              <a:gd name="T1" fmla="*/ T0 w 110"/>
                              <a:gd name="T2" fmla="+- 0 2399 2399"/>
                              <a:gd name="T3" fmla="*/ 2399 h 120"/>
                              <a:gd name="T4" fmla="+- 0 2744 2724"/>
                              <a:gd name="T5" fmla="*/ T4 w 110"/>
                              <a:gd name="T6" fmla="+- 0 2519 2399"/>
                              <a:gd name="T7" fmla="*/ 2519 h 120"/>
                              <a:gd name="T8" fmla="+- 0 2834 2724"/>
                              <a:gd name="T9" fmla="*/ T8 w 110"/>
                              <a:gd name="T10" fmla="+- 0 2519 2399"/>
                              <a:gd name="T11" fmla="*/ 2519 h 120"/>
                            </a:gdLst>
                            <a:ahLst/>
                            <a:cxnLst>
                              <a:cxn ang="0">
                                <a:pos x="T1" y="T3"/>
                              </a:cxn>
                              <a:cxn ang="0">
                                <a:pos x="T5" y="T7"/>
                              </a:cxn>
                              <a:cxn ang="0">
                                <a:pos x="T9" y="T11"/>
                              </a:cxn>
                            </a:cxnLst>
                            <a:rect l="0" t="0" r="r" b="b"/>
                            <a:pathLst>
                              <a:path w="110" h="120">
                                <a:moveTo>
                                  <a:pt x="0" y="0"/>
                                </a:moveTo>
                                <a:lnTo>
                                  <a:pt x="20" y="120"/>
                                </a:lnTo>
                                <a:lnTo>
                                  <a:pt x="110" y="120"/>
                                </a:lnTo>
                              </a:path>
                            </a:pathLst>
                          </a:custGeom>
                          <a:noFill/>
                          <a:ln w="9525">
                            <a:solidFill>
                              <a:srgbClr val="A6A6A6"/>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5" name="Freeform 132"/>
                        <wps:cNvSpPr>
                          <a:spLocks/>
                        </wps:cNvSpPr>
                        <wps:spPr bwMode="auto">
                          <a:xfrm>
                            <a:off x="3942" y="2077"/>
                            <a:ext cx="110" cy="180"/>
                          </a:xfrm>
                          <a:custGeom>
                            <a:avLst/>
                            <a:gdLst>
                              <a:gd name="T0" fmla="+- 0 3942 3942"/>
                              <a:gd name="T1" fmla="*/ T0 w 110"/>
                              <a:gd name="T2" fmla="+- 0 2078 2078"/>
                              <a:gd name="T3" fmla="*/ 2078 h 180"/>
                              <a:gd name="T4" fmla="+- 0 3963 3942"/>
                              <a:gd name="T5" fmla="*/ T4 w 110"/>
                              <a:gd name="T6" fmla="+- 0 2258 2078"/>
                              <a:gd name="T7" fmla="*/ 2258 h 180"/>
                              <a:gd name="T8" fmla="+- 0 4052 3942"/>
                              <a:gd name="T9" fmla="*/ T8 w 110"/>
                              <a:gd name="T10" fmla="+- 0 2258 2078"/>
                              <a:gd name="T11" fmla="*/ 2258 h 180"/>
                            </a:gdLst>
                            <a:ahLst/>
                            <a:cxnLst>
                              <a:cxn ang="0">
                                <a:pos x="T1" y="T3"/>
                              </a:cxn>
                              <a:cxn ang="0">
                                <a:pos x="T5" y="T7"/>
                              </a:cxn>
                              <a:cxn ang="0">
                                <a:pos x="T9" y="T11"/>
                              </a:cxn>
                            </a:cxnLst>
                            <a:rect l="0" t="0" r="r" b="b"/>
                            <a:pathLst>
                              <a:path w="110" h="180">
                                <a:moveTo>
                                  <a:pt x="0" y="0"/>
                                </a:moveTo>
                                <a:lnTo>
                                  <a:pt x="21" y="180"/>
                                </a:lnTo>
                                <a:lnTo>
                                  <a:pt x="110" y="180"/>
                                </a:lnTo>
                              </a:path>
                            </a:pathLst>
                          </a:custGeom>
                          <a:noFill/>
                          <a:ln w="9525">
                            <a:solidFill>
                              <a:srgbClr val="A6A6A6"/>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6" name="Freeform 131"/>
                        <wps:cNvSpPr>
                          <a:spLocks/>
                        </wps:cNvSpPr>
                        <wps:spPr bwMode="auto">
                          <a:xfrm>
                            <a:off x="5160" y="1642"/>
                            <a:ext cx="110" cy="180"/>
                          </a:xfrm>
                          <a:custGeom>
                            <a:avLst/>
                            <a:gdLst>
                              <a:gd name="T0" fmla="+- 0 5160 5160"/>
                              <a:gd name="T1" fmla="*/ T0 w 110"/>
                              <a:gd name="T2" fmla="+- 0 1643 1643"/>
                              <a:gd name="T3" fmla="*/ 1643 h 180"/>
                              <a:gd name="T4" fmla="+- 0 5180 5160"/>
                              <a:gd name="T5" fmla="*/ T4 w 110"/>
                              <a:gd name="T6" fmla="+- 0 1823 1643"/>
                              <a:gd name="T7" fmla="*/ 1823 h 180"/>
                              <a:gd name="T8" fmla="+- 0 5270 5160"/>
                              <a:gd name="T9" fmla="*/ T8 w 110"/>
                              <a:gd name="T10" fmla="+- 0 1823 1643"/>
                              <a:gd name="T11" fmla="*/ 1823 h 180"/>
                            </a:gdLst>
                            <a:ahLst/>
                            <a:cxnLst>
                              <a:cxn ang="0">
                                <a:pos x="T1" y="T3"/>
                              </a:cxn>
                              <a:cxn ang="0">
                                <a:pos x="T5" y="T7"/>
                              </a:cxn>
                              <a:cxn ang="0">
                                <a:pos x="T9" y="T11"/>
                              </a:cxn>
                            </a:cxnLst>
                            <a:rect l="0" t="0" r="r" b="b"/>
                            <a:pathLst>
                              <a:path w="110" h="180">
                                <a:moveTo>
                                  <a:pt x="0" y="0"/>
                                </a:moveTo>
                                <a:lnTo>
                                  <a:pt x="20" y="180"/>
                                </a:lnTo>
                                <a:lnTo>
                                  <a:pt x="110" y="180"/>
                                </a:lnTo>
                              </a:path>
                            </a:pathLst>
                          </a:custGeom>
                          <a:noFill/>
                          <a:ln w="9525">
                            <a:solidFill>
                              <a:srgbClr val="A6A6A6"/>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7" name="Line 130"/>
                        <wps:cNvCnPr>
                          <a:cxnSpLocks noChangeShapeType="1"/>
                        </wps:cNvCnPr>
                        <wps:spPr bwMode="auto">
                          <a:xfrm>
                            <a:off x="897" y="749"/>
                            <a:ext cx="6090" cy="0"/>
                          </a:xfrm>
                          <a:prstGeom prst="line">
                            <a:avLst/>
                          </a:prstGeom>
                          <a:noFill/>
                          <a:ln w="9525">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138" name="Line 129"/>
                        <wps:cNvCnPr>
                          <a:cxnSpLocks noChangeShapeType="1"/>
                        </wps:cNvCnPr>
                        <wps:spPr bwMode="auto">
                          <a:xfrm>
                            <a:off x="897" y="3864"/>
                            <a:ext cx="6090" cy="0"/>
                          </a:xfrm>
                          <a:prstGeom prst="line">
                            <a:avLst/>
                          </a:prstGeom>
                          <a:noFill/>
                          <a:ln w="9525">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139" name="Rectangle 128"/>
                        <wps:cNvSpPr>
                          <a:spLocks noChangeArrowheads="1"/>
                        </wps:cNvSpPr>
                        <wps:spPr bwMode="auto">
                          <a:xfrm>
                            <a:off x="7" y="7"/>
                            <a:ext cx="7200" cy="4320"/>
                          </a:xfrm>
                          <a:prstGeom prst="rect">
                            <a:avLst/>
                          </a:prstGeom>
                          <a:noFill/>
                          <a:ln w="9525">
                            <a:solidFill>
                              <a:srgbClr val="D9D9D9"/>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0" name="Text Box 127"/>
                        <wps:cNvSpPr txBox="1">
                          <a:spLocks noChangeArrowheads="1"/>
                        </wps:cNvSpPr>
                        <wps:spPr bwMode="auto">
                          <a:xfrm>
                            <a:off x="6197" y="4014"/>
                            <a:ext cx="385"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570363" w14:textId="77777777" w:rsidR="00D930C7" w:rsidRDefault="00D930C7">
                              <w:pPr>
                                <w:spacing w:line="180" w:lineRule="exact"/>
                                <w:rPr>
                                  <w:sz w:val="18"/>
                                </w:rPr>
                              </w:pPr>
                              <w:r>
                                <w:rPr>
                                  <w:color w:val="585858"/>
                                  <w:sz w:val="18"/>
                                </w:rPr>
                                <w:t>2022</w:t>
                              </w:r>
                            </w:p>
                          </w:txbxContent>
                        </wps:txbx>
                        <wps:bodyPr rot="0" vert="horz" wrap="square" lIns="0" tIns="0" rIns="0" bIns="0" anchor="t" anchorCtr="0" upright="1">
                          <a:noAutofit/>
                        </wps:bodyPr>
                      </wps:wsp>
                      <wps:wsp>
                        <wps:cNvPr id="141" name="Text Box 126"/>
                        <wps:cNvSpPr txBox="1">
                          <a:spLocks noChangeArrowheads="1"/>
                        </wps:cNvSpPr>
                        <wps:spPr bwMode="auto">
                          <a:xfrm>
                            <a:off x="4979" y="4014"/>
                            <a:ext cx="385"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2EF6E" w14:textId="77777777" w:rsidR="00D930C7" w:rsidRDefault="00D930C7">
                              <w:pPr>
                                <w:spacing w:line="180" w:lineRule="exact"/>
                                <w:rPr>
                                  <w:sz w:val="18"/>
                                </w:rPr>
                              </w:pPr>
                              <w:r>
                                <w:rPr>
                                  <w:color w:val="585858"/>
                                  <w:sz w:val="18"/>
                                </w:rPr>
                                <w:t>2021</w:t>
                              </w:r>
                            </w:p>
                          </w:txbxContent>
                        </wps:txbx>
                        <wps:bodyPr rot="0" vert="horz" wrap="square" lIns="0" tIns="0" rIns="0" bIns="0" anchor="t" anchorCtr="0" upright="1">
                          <a:noAutofit/>
                        </wps:bodyPr>
                      </wps:wsp>
                      <wps:wsp>
                        <wps:cNvPr id="142" name="Text Box 125"/>
                        <wps:cNvSpPr txBox="1">
                          <a:spLocks noChangeArrowheads="1"/>
                        </wps:cNvSpPr>
                        <wps:spPr bwMode="auto">
                          <a:xfrm>
                            <a:off x="3761" y="4014"/>
                            <a:ext cx="385"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9B176D" w14:textId="77777777" w:rsidR="00D930C7" w:rsidRDefault="00D930C7">
                              <w:pPr>
                                <w:spacing w:line="180" w:lineRule="exact"/>
                                <w:rPr>
                                  <w:sz w:val="18"/>
                                </w:rPr>
                              </w:pPr>
                              <w:r>
                                <w:rPr>
                                  <w:color w:val="585858"/>
                                  <w:sz w:val="18"/>
                                </w:rPr>
                                <w:t>2020</w:t>
                              </w:r>
                            </w:p>
                          </w:txbxContent>
                        </wps:txbx>
                        <wps:bodyPr rot="0" vert="horz" wrap="square" lIns="0" tIns="0" rIns="0" bIns="0" anchor="t" anchorCtr="0" upright="1">
                          <a:noAutofit/>
                        </wps:bodyPr>
                      </wps:wsp>
                      <wps:wsp>
                        <wps:cNvPr id="143" name="Text Box 124"/>
                        <wps:cNvSpPr txBox="1">
                          <a:spLocks noChangeArrowheads="1"/>
                        </wps:cNvSpPr>
                        <wps:spPr bwMode="auto">
                          <a:xfrm>
                            <a:off x="2542" y="4014"/>
                            <a:ext cx="385"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736BBD" w14:textId="77777777" w:rsidR="00D930C7" w:rsidRDefault="00D930C7">
                              <w:pPr>
                                <w:spacing w:line="180" w:lineRule="exact"/>
                                <w:rPr>
                                  <w:sz w:val="18"/>
                                </w:rPr>
                              </w:pPr>
                              <w:r>
                                <w:rPr>
                                  <w:color w:val="585858"/>
                                  <w:sz w:val="18"/>
                                </w:rPr>
                                <w:t>2019</w:t>
                              </w:r>
                            </w:p>
                          </w:txbxContent>
                        </wps:txbx>
                        <wps:bodyPr rot="0" vert="horz" wrap="square" lIns="0" tIns="0" rIns="0" bIns="0" anchor="t" anchorCtr="0" upright="1">
                          <a:noAutofit/>
                        </wps:bodyPr>
                      </wps:wsp>
                      <wps:wsp>
                        <wps:cNvPr id="144" name="Text Box 123"/>
                        <wps:cNvSpPr txBox="1">
                          <a:spLocks noChangeArrowheads="1"/>
                        </wps:cNvSpPr>
                        <wps:spPr bwMode="auto">
                          <a:xfrm>
                            <a:off x="1324" y="4014"/>
                            <a:ext cx="385"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475835" w14:textId="77777777" w:rsidR="00D930C7" w:rsidRDefault="00D930C7">
                              <w:pPr>
                                <w:spacing w:line="180" w:lineRule="exact"/>
                                <w:rPr>
                                  <w:sz w:val="18"/>
                                </w:rPr>
                              </w:pPr>
                              <w:r>
                                <w:rPr>
                                  <w:color w:val="585858"/>
                                  <w:sz w:val="18"/>
                                </w:rPr>
                                <w:t>2018</w:t>
                              </w:r>
                            </w:p>
                          </w:txbxContent>
                        </wps:txbx>
                        <wps:bodyPr rot="0" vert="horz" wrap="square" lIns="0" tIns="0" rIns="0" bIns="0" anchor="t" anchorCtr="0" upright="1">
                          <a:noAutofit/>
                        </wps:bodyPr>
                      </wps:wsp>
                      <wps:wsp>
                        <wps:cNvPr id="145" name="Text Box 122"/>
                        <wps:cNvSpPr txBox="1">
                          <a:spLocks noChangeArrowheads="1"/>
                        </wps:cNvSpPr>
                        <wps:spPr bwMode="auto">
                          <a:xfrm>
                            <a:off x="138" y="2742"/>
                            <a:ext cx="613" cy="12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132B8E" w14:textId="77777777" w:rsidR="00D930C7" w:rsidRDefault="00D930C7">
                              <w:pPr>
                                <w:spacing w:line="183" w:lineRule="exact"/>
                                <w:rPr>
                                  <w:sz w:val="18"/>
                                </w:rPr>
                              </w:pPr>
                              <w:r>
                                <w:rPr>
                                  <w:color w:val="585858"/>
                                  <w:sz w:val="18"/>
                                </w:rPr>
                                <w:t>300,000</w:t>
                              </w:r>
                            </w:p>
                            <w:p w14:paraId="3D7A9A5D" w14:textId="77777777" w:rsidR="00D930C7" w:rsidRDefault="00D930C7">
                              <w:pPr>
                                <w:spacing w:before="126"/>
                                <w:rPr>
                                  <w:sz w:val="18"/>
                                </w:rPr>
                              </w:pPr>
                              <w:r>
                                <w:rPr>
                                  <w:color w:val="585858"/>
                                  <w:sz w:val="18"/>
                                </w:rPr>
                                <w:t>200,000</w:t>
                              </w:r>
                            </w:p>
                            <w:p w14:paraId="2380A8F8" w14:textId="77777777" w:rsidR="00D930C7" w:rsidRDefault="00D930C7">
                              <w:pPr>
                                <w:spacing w:before="126"/>
                                <w:rPr>
                                  <w:sz w:val="18"/>
                                </w:rPr>
                              </w:pPr>
                              <w:r>
                                <w:rPr>
                                  <w:color w:val="585858"/>
                                  <w:sz w:val="18"/>
                                </w:rPr>
                                <w:t>100,000</w:t>
                              </w:r>
                            </w:p>
                            <w:p w14:paraId="19DEFB00" w14:textId="77777777" w:rsidR="00D930C7" w:rsidRDefault="00D930C7">
                              <w:pPr>
                                <w:spacing w:before="127" w:line="216" w:lineRule="exact"/>
                                <w:ind w:right="18"/>
                                <w:jc w:val="right"/>
                                <w:rPr>
                                  <w:sz w:val="18"/>
                                </w:rPr>
                              </w:pPr>
                              <w:r>
                                <w:rPr>
                                  <w:color w:val="585858"/>
                                  <w:sz w:val="18"/>
                                </w:rPr>
                                <w:t>0</w:t>
                              </w:r>
                            </w:p>
                          </w:txbxContent>
                        </wps:txbx>
                        <wps:bodyPr rot="0" vert="horz" wrap="square" lIns="0" tIns="0" rIns="0" bIns="0" anchor="t" anchorCtr="0" upright="1">
                          <a:noAutofit/>
                        </wps:bodyPr>
                      </wps:wsp>
                      <wps:wsp>
                        <wps:cNvPr id="146" name="Text Box 121"/>
                        <wps:cNvSpPr txBox="1">
                          <a:spLocks noChangeArrowheads="1"/>
                        </wps:cNvSpPr>
                        <wps:spPr bwMode="auto">
                          <a:xfrm>
                            <a:off x="2893" y="2445"/>
                            <a:ext cx="613"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EBE33D" w14:textId="77777777" w:rsidR="00D930C7" w:rsidRDefault="00D930C7">
                              <w:pPr>
                                <w:spacing w:line="180" w:lineRule="exact"/>
                                <w:rPr>
                                  <w:sz w:val="18"/>
                                </w:rPr>
                              </w:pPr>
                              <w:r>
                                <w:rPr>
                                  <w:color w:val="404040"/>
                                  <w:sz w:val="18"/>
                                </w:rPr>
                                <w:t>423,200</w:t>
                              </w:r>
                            </w:p>
                          </w:txbxContent>
                        </wps:txbx>
                        <wps:bodyPr rot="0" vert="horz" wrap="square" lIns="0" tIns="0" rIns="0" bIns="0" anchor="t" anchorCtr="0" upright="1">
                          <a:noAutofit/>
                        </wps:bodyPr>
                      </wps:wsp>
                      <wps:wsp>
                        <wps:cNvPr id="147" name="Text Box 120"/>
                        <wps:cNvSpPr txBox="1">
                          <a:spLocks noChangeArrowheads="1"/>
                        </wps:cNvSpPr>
                        <wps:spPr bwMode="auto">
                          <a:xfrm>
                            <a:off x="1675" y="2519"/>
                            <a:ext cx="613"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9C146E" w14:textId="77777777" w:rsidR="00D930C7" w:rsidRDefault="00D930C7">
                              <w:pPr>
                                <w:spacing w:line="180" w:lineRule="exact"/>
                                <w:rPr>
                                  <w:sz w:val="18"/>
                                </w:rPr>
                              </w:pPr>
                              <w:r>
                                <w:rPr>
                                  <w:color w:val="404040"/>
                                  <w:sz w:val="18"/>
                                </w:rPr>
                                <w:t>402,000</w:t>
                              </w:r>
                            </w:p>
                          </w:txbxContent>
                        </wps:txbx>
                        <wps:bodyPr rot="0" vert="horz" wrap="square" lIns="0" tIns="0" rIns="0" bIns="0" anchor="t" anchorCtr="0" upright="1">
                          <a:noAutofit/>
                        </wps:bodyPr>
                      </wps:wsp>
                      <wps:wsp>
                        <wps:cNvPr id="148" name="Text Box 119"/>
                        <wps:cNvSpPr txBox="1">
                          <a:spLocks noChangeArrowheads="1"/>
                        </wps:cNvSpPr>
                        <wps:spPr bwMode="auto">
                          <a:xfrm>
                            <a:off x="138" y="2396"/>
                            <a:ext cx="613"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26BFAD" w14:textId="77777777" w:rsidR="00D930C7" w:rsidRDefault="00D930C7">
                              <w:pPr>
                                <w:spacing w:line="180" w:lineRule="exact"/>
                                <w:rPr>
                                  <w:sz w:val="18"/>
                                </w:rPr>
                              </w:pPr>
                              <w:r>
                                <w:rPr>
                                  <w:color w:val="585858"/>
                                  <w:sz w:val="18"/>
                                </w:rPr>
                                <w:t>400,000</w:t>
                              </w:r>
                            </w:p>
                          </w:txbxContent>
                        </wps:txbx>
                        <wps:bodyPr rot="0" vert="horz" wrap="square" lIns="0" tIns="0" rIns="0" bIns="0" anchor="t" anchorCtr="0" upright="1">
                          <a:noAutofit/>
                        </wps:bodyPr>
                      </wps:wsp>
                      <wps:wsp>
                        <wps:cNvPr id="149" name="Text Box 118"/>
                        <wps:cNvSpPr txBox="1">
                          <a:spLocks noChangeArrowheads="1"/>
                        </wps:cNvSpPr>
                        <wps:spPr bwMode="auto">
                          <a:xfrm>
                            <a:off x="4111" y="2184"/>
                            <a:ext cx="613"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349B73" w14:textId="77777777" w:rsidR="00D930C7" w:rsidRDefault="00D930C7">
                              <w:pPr>
                                <w:spacing w:line="180" w:lineRule="exact"/>
                                <w:rPr>
                                  <w:sz w:val="18"/>
                                </w:rPr>
                              </w:pPr>
                              <w:r>
                                <w:rPr>
                                  <w:color w:val="404040"/>
                                  <w:sz w:val="18"/>
                                </w:rPr>
                                <w:t>516,058</w:t>
                              </w:r>
                            </w:p>
                          </w:txbxContent>
                        </wps:txbx>
                        <wps:bodyPr rot="0" vert="horz" wrap="square" lIns="0" tIns="0" rIns="0" bIns="0" anchor="t" anchorCtr="0" upright="1">
                          <a:noAutofit/>
                        </wps:bodyPr>
                      </wps:wsp>
                      <wps:wsp>
                        <wps:cNvPr id="150" name="Text Box 117"/>
                        <wps:cNvSpPr txBox="1">
                          <a:spLocks noChangeArrowheads="1"/>
                        </wps:cNvSpPr>
                        <wps:spPr bwMode="auto">
                          <a:xfrm>
                            <a:off x="138" y="2050"/>
                            <a:ext cx="613"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8172CB" w14:textId="77777777" w:rsidR="00D930C7" w:rsidRDefault="00D930C7">
                              <w:pPr>
                                <w:spacing w:line="180" w:lineRule="exact"/>
                                <w:rPr>
                                  <w:sz w:val="18"/>
                                </w:rPr>
                              </w:pPr>
                              <w:r>
                                <w:rPr>
                                  <w:color w:val="585858"/>
                                  <w:sz w:val="18"/>
                                </w:rPr>
                                <w:t>500,000</w:t>
                              </w:r>
                            </w:p>
                          </w:txbxContent>
                        </wps:txbx>
                        <wps:bodyPr rot="0" vert="horz" wrap="square" lIns="0" tIns="0" rIns="0" bIns="0" anchor="t" anchorCtr="0" upright="1">
                          <a:noAutofit/>
                        </wps:bodyPr>
                      </wps:wsp>
                      <wps:wsp>
                        <wps:cNvPr id="151" name="Text Box 116"/>
                        <wps:cNvSpPr txBox="1">
                          <a:spLocks noChangeArrowheads="1"/>
                        </wps:cNvSpPr>
                        <wps:spPr bwMode="auto">
                          <a:xfrm>
                            <a:off x="5330" y="1749"/>
                            <a:ext cx="613"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58579C" w14:textId="77777777" w:rsidR="00D930C7" w:rsidRDefault="00D930C7">
                              <w:pPr>
                                <w:spacing w:line="180" w:lineRule="exact"/>
                                <w:rPr>
                                  <w:sz w:val="18"/>
                                </w:rPr>
                              </w:pPr>
                              <w:r>
                                <w:rPr>
                                  <w:color w:val="404040"/>
                                  <w:sz w:val="18"/>
                                </w:rPr>
                                <w:t>641,900</w:t>
                              </w:r>
                            </w:p>
                          </w:txbxContent>
                        </wps:txbx>
                        <wps:bodyPr rot="0" vert="horz" wrap="square" lIns="0" tIns="0" rIns="0" bIns="0" anchor="t" anchorCtr="0" upright="1">
                          <a:noAutofit/>
                        </wps:bodyPr>
                      </wps:wsp>
                      <wps:wsp>
                        <wps:cNvPr id="152" name="Text Box 115"/>
                        <wps:cNvSpPr txBox="1">
                          <a:spLocks noChangeArrowheads="1"/>
                        </wps:cNvSpPr>
                        <wps:spPr bwMode="auto">
                          <a:xfrm>
                            <a:off x="138" y="1358"/>
                            <a:ext cx="613" cy="5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A4BB82" w14:textId="77777777" w:rsidR="00D930C7" w:rsidRDefault="00D930C7">
                              <w:pPr>
                                <w:spacing w:line="183" w:lineRule="exact"/>
                                <w:rPr>
                                  <w:sz w:val="18"/>
                                </w:rPr>
                              </w:pPr>
                              <w:r>
                                <w:rPr>
                                  <w:color w:val="585858"/>
                                  <w:sz w:val="18"/>
                                </w:rPr>
                                <w:t>700,000</w:t>
                              </w:r>
                            </w:p>
                            <w:p w14:paraId="3ABA329C" w14:textId="77777777" w:rsidR="00D930C7" w:rsidRDefault="00D930C7">
                              <w:pPr>
                                <w:spacing w:before="126" w:line="216" w:lineRule="exact"/>
                                <w:rPr>
                                  <w:sz w:val="18"/>
                                </w:rPr>
                              </w:pPr>
                              <w:r>
                                <w:rPr>
                                  <w:color w:val="585858"/>
                                  <w:sz w:val="18"/>
                                </w:rPr>
                                <w:t>600,000</w:t>
                              </w:r>
                            </w:p>
                          </w:txbxContent>
                        </wps:txbx>
                        <wps:bodyPr rot="0" vert="horz" wrap="square" lIns="0" tIns="0" rIns="0" bIns="0" anchor="t" anchorCtr="0" upright="1">
                          <a:noAutofit/>
                        </wps:bodyPr>
                      </wps:wsp>
                      <wps:wsp>
                        <wps:cNvPr id="153" name="Text Box 114"/>
                        <wps:cNvSpPr txBox="1">
                          <a:spLocks noChangeArrowheads="1"/>
                        </wps:cNvSpPr>
                        <wps:spPr bwMode="auto">
                          <a:xfrm>
                            <a:off x="6464" y="1108"/>
                            <a:ext cx="704"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ED2AB3" w14:textId="77777777" w:rsidR="00D930C7" w:rsidRDefault="00D930C7">
                              <w:pPr>
                                <w:spacing w:line="180" w:lineRule="exact"/>
                                <w:rPr>
                                  <w:sz w:val="18"/>
                                </w:rPr>
                              </w:pPr>
                              <w:r>
                                <w:rPr>
                                  <w:color w:val="404040"/>
                                  <w:sz w:val="18"/>
                                </w:rPr>
                                <w:t>$775,000</w:t>
                              </w:r>
                            </w:p>
                          </w:txbxContent>
                        </wps:txbx>
                        <wps:bodyPr rot="0" vert="horz" wrap="square" lIns="0" tIns="0" rIns="0" bIns="0" anchor="t" anchorCtr="0" upright="1">
                          <a:noAutofit/>
                        </wps:bodyPr>
                      </wps:wsp>
                      <wps:wsp>
                        <wps:cNvPr id="154" name="Text Box 113"/>
                        <wps:cNvSpPr txBox="1">
                          <a:spLocks noChangeArrowheads="1"/>
                        </wps:cNvSpPr>
                        <wps:spPr bwMode="auto">
                          <a:xfrm>
                            <a:off x="138" y="666"/>
                            <a:ext cx="613" cy="5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04B29A" w14:textId="77777777" w:rsidR="00D930C7" w:rsidRDefault="00D930C7">
                              <w:pPr>
                                <w:spacing w:line="183" w:lineRule="exact"/>
                                <w:rPr>
                                  <w:sz w:val="18"/>
                                </w:rPr>
                              </w:pPr>
                              <w:r>
                                <w:rPr>
                                  <w:color w:val="585858"/>
                                  <w:sz w:val="18"/>
                                </w:rPr>
                                <w:t>900,000</w:t>
                              </w:r>
                            </w:p>
                            <w:p w14:paraId="35448F8B" w14:textId="77777777" w:rsidR="00D930C7" w:rsidRDefault="00D930C7">
                              <w:pPr>
                                <w:spacing w:before="126" w:line="216" w:lineRule="exact"/>
                                <w:rPr>
                                  <w:sz w:val="18"/>
                                </w:rPr>
                              </w:pPr>
                              <w:r>
                                <w:rPr>
                                  <w:color w:val="585858"/>
                                  <w:sz w:val="18"/>
                                </w:rPr>
                                <w:t>800,000</w:t>
                              </w:r>
                            </w:p>
                          </w:txbxContent>
                        </wps:txbx>
                        <wps:bodyPr rot="0" vert="horz" wrap="square" lIns="0" tIns="0" rIns="0" bIns="0" anchor="t" anchorCtr="0" upright="1">
                          <a:noAutofit/>
                        </wps:bodyPr>
                      </wps:wsp>
                      <wps:wsp>
                        <wps:cNvPr id="155" name="Text Box 112"/>
                        <wps:cNvSpPr txBox="1">
                          <a:spLocks noChangeArrowheads="1"/>
                        </wps:cNvSpPr>
                        <wps:spPr bwMode="auto">
                          <a:xfrm>
                            <a:off x="1208" y="214"/>
                            <a:ext cx="4818"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749EB8" w14:textId="77777777" w:rsidR="00D930C7" w:rsidRDefault="00D930C7">
                              <w:pPr>
                                <w:spacing w:line="281" w:lineRule="exact"/>
                                <w:rPr>
                                  <w:sz w:val="28"/>
                                </w:rPr>
                              </w:pPr>
                              <w:r>
                                <w:rPr>
                                  <w:color w:val="585858"/>
                                  <w:sz w:val="28"/>
                                </w:rPr>
                                <w:t>2nd Quarter Median Home Prices - Payson</w:t>
                              </w:r>
                            </w:p>
                          </w:txbxContent>
                        </wps:txbx>
                        <wps:bodyPr rot="0" vert="horz" wrap="square" lIns="0" tIns="0" rIns="0" bIns="0" anchor="t" anchorCtr="0" upright="1">
                          <a:noAutofit/>
                        </wps:bodyPr>
                      </wps:wsp>
                    </wpg:wgp>
                  </a:graphicData>
                </a:graphic>
              </wp:inline>
            </w:drawing>
          </mc:Choice>
          <mc:Fallback>
            <w:pict>
              <v:group w14:anchorId="1B48B804" id="Group 111" o:spid="_x0000_s1027" style="width:360.75pt;height:216.75pt;mso-position-horizontal-relative:char;mso-position-vertical-relative:line" coordsize="7215,4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">
                <v:line id="Line 143" o:spid="_x0000_s1028" style="position:absolute;visibility:visible;mso-wrap-style:square" from="897,3516" to="6987,35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" strokecolor="#d9d9d9"/>
                <v:line id="Line 142" o:spid="_x0000_s1029" style="position:absolute;visibility:visible;mso-wrap-style:square" from="897,3171" to="6987,31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" strokecolor="#d9d9d9"/>
                <v:line id="Line 141" o:spid="_x0000_s1030" style="position:absolute;visibility:visible;mso-wrap-style:square" from="897,2825" to="6987,28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" strokecolor="#d9d9d9"/>
                <v:line id="Line 140" o:spid="_x0000_s1031" style="position:absolute;visibility:visible;mso-wrap-style:square" from="897,2480" to="6987,2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" strokecolor="#d9d9d9"/>
                <v:line id="Line 139" o:spid="_x0000_s1032" style="position:absolute;visibility:visible;mso-wrap-style:square" from="897,2134" to="6987,21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" strokecolor="#d9d9d9"/>
                <v:line id="Line 138" o:spid="_x0000_s1033" style="position:absolute;visibility:visible;mso-wrap-style:square" from="897,1789" to="6987,17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" strokecolor="#d9d9d9"/>
                <v:line id="Line 137" o:spid="_x0000_s1034" style="position:absolute;visibility:visible;mso-wrap-style:square" from="897,1441" to="6987,14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" strokecolor="#d9d9d9"/>
                <v:line id="Line 136" o:spid="_x0000_s1035" style="position:absolute;visibility:visible;mso-wrap-style:square" from="897,1095" to="6987,10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" strokecolor="#d9d9d9"/>
                <v:shape id="Freeform 135" o:spid="_x0000_s1036" style="position:absolute;left:1505;top:1181;width:4873;height:1291;visibility:visible;mso-wrap-style:square;v-text-anchor:top" coordsize="4873,12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" path="m,1291r1218,-75l2435,897,3654,460,4873,e" filled="f" strokecolor="#4471c4" strokeweight="2.25pt">
                  <v:path arrowok="t" o:connecttype="custom" o:connectlocs="0,2473;1218,2398;2435,2079;3654,1642;4873,1182" o:connectangles="0,0,0,0,0"/>
                </v:shape>
                <v:shape id="Freeform 134" o:spid="_x0000_s1037" style="position:absolute;left:1505;top:2472;width:110;height:120;visibility:visible;mso-wrap-style:square;v-text-anchor:top" coordsize="110,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" path="m,l21,120r89,e" filled="f" strokecolor="#a6a6a6">
                  <v:path arrowok="t" o:connecttype="custom" o:connectlocs="0,2473;21,2593;110,2593" o:connectangles="0,0,0"/>
                </v:shape>
                <v:shape id="Freeform 133" o:spid="_x0000_s1038" style="position:absolute;left:2723;top:2399;width:110;height:120;visibility:visible;mso-wrap-style:square;v-text-anchor:top" coordsize="110,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" path="m,l20,120r90,e" filled="f" strokecolor="#a6a6a6">
                  <v:path arrowok="t" o:connecttype="custom" o:connectlocs="0,2399;20,2519;110,2519" o:connectangles="0,0,0"/>
                </v:shape>
                <v:shape id="Freeform 132" o:spid="_x0000_s1039" style="position:absolute;left:3942;top:2077;width:110;height:180;visibility:visible;mso-wrap-style:square;v-text-anchor:top" coordsize="110,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" path="m,l21,180r89,e" filled="f" strokecolor="#a6a6a6">
                  <v:path arrowok="t" o:connecttype="custom" o:connectlocs="0,2078;21,2258;110,2258" o:connectangles="0,0,0"/>
                </v:shape>
                <v:shape id="Freeform 131" o:spid="_x0000_s1040" style="position:absolute;left:5160;top:1642;width:110;height:180;visibility:visible;mso-wrap-style:square;v-text-anchor:top" coordsize="110,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" path="m,l20,180r90,e" filled="f" strokecolor="#a6a6a6">
                  <v:path arrowok="t" o:connecttype="custom" o:connectlocs="0,1643;20,1823;110,1823" o:connectangles="0,0,0"/>
                </v:shape>
                <v:line id="Line 130" o:spid="_x0000_s1041" style="position:absolute;visibility:visible;mso-wrap-style:square" from="897,749" to="6987,7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" strokecolor="#d9d9d9"/>
                <v:line id="Line 129" o:spid="_x0000_s1042" style="position:absolute;visibility:visible;mso-wrap-style:square" from="897,3864" to="6987,38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" strokecolor="#d9d9d9"/>
                <v:rect id="Rectangle 128" o:spid="_x0000_s1043" style="position:absolute;left:7;top:7;width:7200;height: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" filled="f" strokecolor="#d9d9d9"/>
                <v:shape id="Text Box 127" o:spid="_x0000_s1044" type="#_x0000_t202" style="position:absolute;left:6197;top:4014;width:385;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" filled="f" stroked="f">
                  <v:textbox inset="0,0,0,0">
                    <w:txbxContent>
                      <w:p w14:paraId="5F570363" w14:textId="77777777" w:rsidR="00D930C7" w:rsidRDefault="00D930C7">
                        <w:pPr>
                          <w:spacing w:line="180" w:lineRule="exact"/>
                          <w:rPr>
                            <w:sz w:val="18"/>
                          </w:rPr>
                        </w:pPr>
                        <w:r>
                          <w:rPr>
                            <w:color w:val="585858"/>
                            <w:sz w:val="18"/>
                          </w:rPr>
                          <w:t>2022</w:t>
                        </w:r>
                      </w:p>
                    </w:txbxContent>
                  </v:textbox>
                </v:shape>
                <v:shape id="Text Box 126" o:spid="_x0000_s1045" type="#_x0000_t202" style="position:absolute;left:4979;top:4014;width:385;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" filled="f" stroked="f">
                  <v:textbox inset="0,0,0,0">
                    <w:txbxContent>
                      <w:p w14:paraId="69D2EF6E" w14:textId="77777777" w:rsidR="00D930C7" w:rsidRDefault="00D930C7">
                        <w:pPr>
                          <w:spacing w:line="180" w:lineRule="exact"/>
                          <w:rPr>
                            <w:sz w:val="18"/>
                          </w:rPr>
                        </w:pPr>
                        <w:r>
                          <w:rPr>
                            <w:color w:val="585858"/>
                            <w:sz w:val="18"/>
                          </w:rPr>
                          <w:t>2021</w:t>
                        </w:r>
                      </w:p>
                    </w:txbxContent>
                  </v:textbox>
                </v:shape>
                <v:shape id="Text Box 125" o:spid="_x0000_s1046" type="#_x0000_t202" style="position:absolute;left:3761;top:4014;width:385;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" filled="f" stroked="f">
                  <v:textbox inset="0,0,0,0">
                    <w:txbxContent>
                      <w:p w14:paraId="769B176D" w14:textId="77777777" w:rsidR="00D930C7" w:rsidRDefault="00D930C7">
                        <w:pPr>
                          <w:spacing w:line="180" w:lineRule="exact"/>
                          <w:rPr>
                            <w:sz w:val="18"/>
                          </w:rPr>
                        </w:pPr>
                        <w:r>
                          <w:rPr>
                            <w:color w:val="585858"/>
                            <w:sz w:val="18"/>
                          </w:rPr>
                          <w:t>2020</w:t>
                        </w:r>
                      </w:p>
                    </w:txbxContent>
                  </v:textbox>
                </v:shape>
                <v:shape id="Text Box 124" o:spid="_x0000_s1047" type="#_x0000_t202" style="position:absolute;left:2542;top:4014;width:385;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" filled="f" stroked="f">
                  <v:textbox inset="0,0,0,0">
                    <w:txbxContent>
                      <w:p w14:paraId="19736BBD" w14:textId="77777777" w:rsidR="00D930C7" w:rsidRDefault="00D930C7">
                        <w:pPr>
                          <w:spacing w:line="180" w:lineRule="exact"/>
                          <w:rPr>
                            <w:sz w:val="18"/>
                          </w:rPr>
                        </w:pPr>
                        <w:r>
                          <w:rPr>
                            <w:color w:val="585858"/>
                            <w:sz w:val="18"/>
                          </w:rPr>
                          <w:t>2019</w:t>
                        </w:r>
                      </w:p>
                    </w:txbxContent>
                  </v:textbox>
                </v:shape>
                <v:shape id="Text Box 123" o:spid="_x0000_s1048" type="#_x0000_t202" style="position:absolute;left:1324;top:4014;width:385;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" filled="f" stroked="f">
                  <v:textbox inset="0,0,0,0">
                    <w:txbxContent>
                      <w:p w14:paraId="17475835" w14:textId="77777777" w:rsidR="00D930C7" w:rsidRDefault="00D930C7">
                        <w:pPr>
                          <w:spacing w:line="180" w:lineRule="exact"/>
                          <w:rPr>
                            <w:sz w:val="18"/>
                          </w:rPr>
                        </w:pPr>
                        <w:r>
                          <w:rPr>
                            <w:color w:val="585858"/>
                            <w:sz w:val="18"/>
                          </w:rPr>
                          <w:t>2018</w:t>
                        </w:r>
                      </w:p>
                    </w:txbxContent>
                  </v:textbox>
                </v:shape>
                <v:shape id="Text Box 122" o:spid="_x0000_s1049" type="#_x0000_t202" style="position:absolute;left:138;top:2742;width:613;height:12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" filled="f" stroked="f">
                  <v:textbox inset="0,0,0,0">
                    <w:txbxContent>
                      <w:p w14:paraId="1F132B8E" w14:textId="77777777" w:rsidR="00D930C7" w:rsidRDefault="00D930C7">
                        <w:pPr>
                          <w:spacing w:line="183" w:lineRule="exact"/>
                          <w:rPr>
                            <w:sz w:val="18"/>
                          </w:rPr>
                        </w:pPr>
                        <w:r>
                          <w:rPr>
                            <w:color w:val="585858"/>
                            <w:sz w:val="18"/>
                          </w:rPr>
                          <w:t>300,000</w:t>
                        </w:r>
                      </w:p>
                      <w:p w14:paraId="3D7A9A5D" w14:textId="77777777" w:rsidR="00D930C7" w:rsidRDefault="00D930C7">
                        <w:pPr>
                          <w:spacing w:before="126"/>
                          <w:rPr>
                            <w:sz w:val="18"/>
                          </w:rPr>
                        </w:pPr>
                        <w:r>
                          <w:rPr>
                            <w:color w:val="585858"/>
                            <w:sz w:val="18"/>
                          </w:rPr>
                          <w:t>200,000</w:t>
                        </w:r>
                      </w:p>
                      <w:p w14:paraId="2380A8F8" w14:textId="77777777" w:rsidR="00D930C7" w:rsidRDefault="00D930C7">
                        <w:pPr>
                          <w:spacing w:before="126"/>
                          <w:rPr>
                            <w:sz w:val="18"/>
                          </w:rPr>
                        </w:pPr>
                        <w:r>
                          <w:rPr>
                            <w:color w:val="585858"/>
                            <w:sz w:val="18"/>
                          </w:rPr>
                          <w:t>100,000</w:t>
                        </w:r>
                      </w:p>
                      <w:p w14:paraId="19DEFB00" w14:textId="77777777" w:rsidR="00D930C7" w:rsidRDefault="00D930C7">
                        <w:pPr>
                          <w:spacing w:before="127" w:line="216" w:lineRule="exact"/>
                          <w:ind w:right="18"/>
                          <w:jc w:val="right"/>
                          <w:rPr>
                            <w:sz w:val="18"/>
                          </w:rPr>
                        </w:pPr>
                        <w:r>
                          <w:rPr>
                            <w:color w:val="585858"/>
                            <w:sz w:val="18"/>
                          </w:rPr>
                          <w:t>0</w:t>
                        </w:r>
                      </w:p>
                    </w:txbxContent>
                  </v:textbox>
                </v:shape>
                <v:shape id="Text Box 121" o:spid="_x0000_s1050" type="#_x0000_t202" style="position:absolute;left:2893;top:2445;width:613;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" filled="f" stroked="f">
                  <v:textbox inset="0,0,0,0">
                    <w:txbxContent>
                      <w:p w14:paraId="09EBE33D" w14:textId="77777777" w:rsidR="00D930C7" w:rsidRDefault="00D930C7">
                        <w:pPr>
                          <w:spacing w:line="180" w:lineRule="exact"/>
                          <w:rPr>
                            <w:sz w:val="18"/>
                          </w:rPr>
                        </w:pPr>
                        <w:r>
                          <w:rPr>
                            <w:color w:val="404040"/>
                            <w:sz w:val="18"/>
                          </w:rPr>
                          <w:t>423,200</w:t>
                        </w:r>
                      </w:p>
                    </w:txbxContent>
                  </v:textbox>
                </v:shape>
                <v:shape id="Text Box 120" o:spid="_x0000_s1051" type="#_x0000_t202" style="position:absolute;left:1675;top:2519;width:613;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" filled="f" stroked="f">
                  <v:textbox inset="0,0,0,0">
                    <w:txbxContent>
                      <w:p w14:paraId="009C146E" w14:textId="77777777" w:rsidR="00D930C7" w:rsidRDefault="00D930C7">
                        <w:pPr>
                          <w:spacing w:line="180" w:lineRule="exact"/>
                          <w:rPr>
                            <w:sz w:val="18"/>
                          </w:rPr>
                        </w:pPr>
                        <w:r>
                          <w:rPr>
                            <w:color w:val="404040"/>
                            <w:sz w:val="18"/>
                          </w:rPr>
                          <w:t>402,000</w:t>
                        </w:r>
                      </w:p>
                    </w:txbxContent>
                  </v:textbox>
                </v:shape>
                <v:shape id="Text Box 119" o:spid="_x0000_s1052" type="#_x0000_t202" style="position:absolute;left:138;top:2396;width:613;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" filled="f" stroked="f">
                  <v:textbox inset="0,0,0,0">
                    <w:txbxContent>
                      <w:p w14:paraId="6B26BFAD" w14:textId="77777777" w:rsidR="00D930C7" w:rsidRDefault="00D930C7">
                        <w:pPr>
                          <w:spacing w:line="180" w:lineRule="exact"/>
                          <w:rPr>
                            <w:sz w:val="18"/>
                          </w:rPr>
                        </w:pPr>
                        <w:r>
                          <w:rPr>
                            <w:color w:val="585858"/>
                            <w:sz w:val="18"/>
                          </w:rPr>
                          <w:t>400,000</w:t>
                        </w:r>
                      </w:p>
                    </w:txbxContent>
                  </v:textbox>
                </v:shape>
                <v:shape id="Text Box 118" o:spid="_x0000_s1053" type="#_x0000_t202" style="position:absolute;left:4111;top:2184;width:613;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" filled="f" stroked="f">
                  <v:textbox inset="0,0,0,0">
                    <w:txbxContent>
                      <w:p w14:paraId="7C349B73" w14:textId="77777777" w:rsidR="00D930C7" w:rsidRDefault="00D930C7">
                        <w:pPr>
                          <w:spacing w:line="180" w:lineRule="exact"/>
                          <w:rPr>
                            <w:sz w:val="18"/>
                          </w:rPr>
                        </w:pPr>
                        <w:r>
                          <w:rPr>
                            <w:color w:val="404040"/>
                            <w:sz w:val="18"/>
                          </w:rPr>
                          <w:t>516,058</w:t>
                        </w:r>
                      </w:p>
                    </w:txbxContent>
                  </v:textbox>
                </v:shape>
                <v:shape id="Text Box 117" o:spid="_x0000_s1054" type="#_x0000_t202" style="position:absolute;left:138;top:2050;width:613;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" filled="f" stroked="f">
                  <v:textbox inset="0,0,0,0">
                    <w:txbxContent>
                      <w:p w14:paraId="728172CB" w14:textId="77777777" w:rsidR="00D930C7" w:rsidRDefault="00D930C7">
                        <w:pPr>
                          <w:spacing w:line="180" w:lineRule="exact"/>
                          <w:rPr>
                            <w:sz w:val="18"/>
                          </w:rPr>
                        </w:pPr>
                        <w:r>
                          <w:rPr>
                            <w:color w:val="585858"/>
                            <w:sz w:val="18"/>
                          </w:rPr>
                          <w:t>500,000</w:t>
                        </w:r>
                      </w:p>
                    </w:txbxContent>
                  </v:textbox>
                </v:shape>
                <v:shape id="Text Box 116" o:spid="_x0000_s1055" type="#_x0000_t202" style="position:absolute;left:5330;top:1749;width:613;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" filled="f" stroked="f">
                  <v:textbox inset="0,0,0,0">
                    <w:txbxContent>
                      <w:p w14:paraId="7058579C" w14:textId="77777777" w:rsidR="00D930C7" w:rsidRDefault="00D930C7">
                        <w:pPr>
                          <w:spacing w:line="180" w:lineRule="exact"/>
                          <w:rPr>
                            <w:sz w:val="18"/>
                          </w:rPr>
                        </w:pPr>
                        <w:r>
                          <w:rPr>
                            <w:color w:val="404040"/>
                            <w:sz w:val="18"/>
                          </w:rPr>
                          <w:t>641,900</w:t>
                        </w:r>
                      </w:p>
                    </w:txbxContent>
                  </v:textbox>
                </v:shape>
                <v:shape id="Text Box 115" o:spid="_x0000_s1056" type="#_x0000_t202" style="position:absolute;left:138;top:1358;width:613;height:5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" filled="f" stroked="f">
                  <v:textbox inset="0,0,0,0">
                    <w:txbxContent>
                      <w:p w14:paraId="30A4BB82" w14:textId="77777777" w:rsidR="00D930C7" w:rsidRDefault="00D930C7">
                        <w:pPr>
                          <w:spacing w:line="183" w:lineRule="exact"/>
                          <w:rPr>
                            <w:sz w:val="18"/>
                          </w:rPr>
                        </w:pPr>
                        <w:r>
                          <w:rPr>
                            <w:color w:val="585858"/>
                            <w:sz w:val="18"/>
                          </w:rPr>
                          <w:t>700,000</w:t>
                        </w:r>
                      </w:p>
                      <w:p w14:paraId="3ABA329C" w14:textId="77777777" w:rsidR="00D930C7" w:rsidRDefault="00D930C7">
                        <w:pPr>
                          <w:spacing w:before="126" w:line="216" w:lineRule="exact"/>
                          <w:rPr>
                            <w:sz w:val="18"/>
                          </w:rPr>
                        </w:pPr>
                        <w:r>
                          <w:rPr>
                            <w:color w:val="585858"/>
                            <w:sz w:val="18"/>
                          </w:rPr>
                          <w:t>600,000</w:t>
                        </w:r>
                      </w:p>
                    </w:txbxContent>
                  </v:textbox>
                </v:shape>
                <v:shape id="Text Box 114" o:spid="_x0000_s1057" type="#_x0000_t202" style="position:absolute;left:6464;top:1108;width:704;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" filled="f" stroked="f">
                  <v:textbox inset="0,0,0,0">
                    <w:txbxContent>
                      <w:p w14:paraId="35ED2AB3" w14:textId="77777777" w:rsidR="00D930C7" w:rsidRDefault="00D930C7">
                        <w:pPr>
                          <w:spacing w:line="180" w:lineRule="exact"/>
                          <w:rPr>
                            <w:sz w:val="18"/>
                          </w:rPr>
                        </w:pPr>
                        <w:r>
                          <w:rPr>
                            <w:color w:val="404040"/>
                            <w:sz w:val="18"/>
                          </w:rPr>
                          <w:t>$775,000</w:t>
                        </w:r>
                      </w:p>
                    </w:txbxContent>
                  </v:textbox>
                </v:shape>
                <v:shape id="Text Box 113" o:spid="_x0000_s1058" type="#_x0000_t202" style="position:absolute;left:138;top:666;width:613;height:5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" filled="f" stroked="f">
                  <v:textbox inset="0,0,0,0">
                    <w:txbxContent>
                      <w:p w14:paraId="1E04B29A" w14:textId="77777777" w:rsidR="00D930C7" w:rsidRDefault="00D930C7">
                        <w:pPr>
                          <w:spacing w:line="183" w:lineRule="exact"/>
                          <w:rPr>
                            <w:sz w:val="18"/>
                          </w:rPr>
                        </w:pPr>
                        <w:r>
                          <w:rPr>
                            <w:color w:val="585858"/>
                            <w:sz w:val="18"/>
                          </w:rPr>
                          <w:t>900,000</w:t>
                        </w:r>
                      </w:p>
                      <w:p w14:paraId="35448F8B" w14:textId="77777777" w:rsidR="00D930C7" w:rsidRDefault="00D930C7">
                        <w:pPr>
                          <w:spacing w:before="126" w:line="216" w:lineRule="exact"/>
                          <w:rPr>
                            <w:sz w:val="18"/>
                          </w:rPr>
                        </w:pPr>
                        <w:r>
                          <w:rPr>
                            <w:color w:val="585858"/>
                            <w:sz w:val="18"/>
                          </w:rPr>
                          <w:t>800,000</w:t>
                        </w:r>
                      </w:p>
                    </w:txbxContent>
                  </v:textbox>
                </v:shape>
                <v:shape id="Text Box 112" o:spid="_x0000_s1059" type="#_x0000_t202" style="position:absolute;left:1208;top:214;width:4818;height: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" filled="f" stroked="f">
                  <v:textbox inset="0,0,0,0">
                    <w:txbxContent>
                      <w:p w14:paraId="16749EB8" w14:textId="77777777" w:rsidR="00D930C7" w:rsidRDefault="00D930C7">
                        <w:pPr>
                          <w:spacing w:line="281" w:lineRule="exact"/>
                          <w:rPr>
                            <w:sz w:val="28"/>
                          </w:rPr>
                        </w:pPr>
                        <w:r>
                          <w:rPr>
                            <w:color w:val="585858"/>
                            <w:sz w:val="28"/>
                          </w:rPr>
                          <w:t>2nd Quarter Median Home Prices - Payson</w:t>
                        </w:r>
                      </w:p>
                    </w:txbxContent>
                  </v:textbox>
                </v:shape>
                <w10:anchorlock/>
              </v:group>
            </w:pict>
          </mc:Fallback>
        </mc:AlternateContent>
      </w:r>
    </w:p>
    <w:p w14:paraId="41FB69E6" w14:textId="77777777" w:rsidR="007607AD" w:rsidRDefault="007607AD">
      <w:pPr>
        <w:pStyle w:val="BodyText"/>
        <w:spacing w:before="7"/>
      </w:pPr>
    </w:p>
    <w:p w14:paraId="4211DFD0" w14:textId="092EC135" w:rsidR="007607AD" w:rsidRDefault="00FD4909" w:rsidP="00E96F37">
      <w:pPr>
        <w:pStyle w:val="BodyText"/>
        <w:spacing w:line="259" w:lineRule="auto"/>
        <w:ind w:left="321" w:right="281"/>
      </w:pPr>
      <w:r>
        <w:t>Currently, Utahrealestate.com show</w:t>
      </w:r>
      <w:r w:rsidR="00725A48">
        <w:t>s</w:t>
      </w:r>
      <w:r>
        <w:t xml:space="preserve"> </w:t>
      </w:r>
      <w:r w:rsidR="001E508A" w:rsidRPr="007574D8">
        <w:rPr>
          <w:color w:val="FF0000"/>
        </w:rPr>
        <w:t>97</w:t>
      </w:r>
      <w:r w:rsidRPr="007574D8">
        <w:rPr>
          <w:color w:val="FF0000"/>
        </w:rPr>
        <w:t xml:space="preserve"> </w:t>
      </w:r>
      <w:r>
        <w:t xml:space="preserve">homes for sale in </w:t>
      </w:r>
      <w:r w:rsidR="00916654">
        <w:t>Payson</w:t>
      </w:r>
      <w:r>
        <w:t xml:space="preserve">. The average listed </w:t>
      </w:r>
      <w:r w:rsidR="00E96F37">
        <w:t xml:space="preserve">is </w:t>
      </w:r>
      <w:r w:rsidR="005175AB">
        <w:t>$551,170 and the median listing price is $480,000</w:t>
      </w:r>
      <w:r>
        <w:t>. Home prices range from $</w:t>
      </w:r>
      <w:r w:rsidR="005175AB">
        <w:t>295</w:t>
      </w:r>
      <w:r>
        <w:t>,000 to $</w:t>
      </w:r>
      <w:r w:rsidR="005175AB">
        <w:t>1.8</w:t>
      </w:r>
      <w:r>
        <w:t xml:space="preserve"> million. </w:t>
      </w:r>
    </w:p>
    <w:p w14:paraId="42C40E8C" w14:textId="77777777" w:rsidR="007607AD" w:rsidRDefault="007607AD">
      <w:pPr>
        <w:pStyle w:val="BodyText"/>
        <w:spacing w:before="9"/>
        <w:rPr>
          <w:sz w:val="23"/>
        </w:rPr>
      </w:pPr>
    </w:p>
    <w:p w14:paraId="766EDE7B" w14:textId="24CFE3B8" w:rsidR="007607AD" w:rsidRDefault="00FD4909">
      <w:pPr>
        <w:pStyle w:val="BodyText"/>
        <w:spacing w:before="1" w:line="256" w:lineRule="auto"/>
        <w:ind w:left="321" w:right="254"/>
      </w:pPr>
      <w:r>
        <w:t>Using KSL.com this report looks at the number of rental properties available. Below is a summary and rental price comparisons:</w:t>
      </w:r>
    </w:p>
    <w:p w14:paraId="16C2E1EC" w14:textId="1F1E7325" w:rsidR="007607AD" w:rsidRDefault="00FD4909">
      <w:pPr>
        <w:pStyle w:val="ListParagraph"/>
        <w:numPr>
          <w:ilvl w:val="2"/>
          <w:numId w:val="2"/>
        </w:numPr>
        <w:tabs>
          <w:tab w:val="left" w:pos="1041"/>
          <w:tab w:val="left" w:pos="1042"/>
        </w:tabs>
        <w:spacing w:before="101"/>
      </w:pPr>
      <w:r>
        <w:t xml:space="preserve">KSL.com – </w:t>
      </w:r>
      <w:r w:rsidR="009268E1">
        <w:t>29</w:t>
      </w:r>
      <w:r>
        <w:t xml:space="preserve"> available rentals and prices range from $</w:t>
      </w:r>
      <w:r w:rsidR="009268E1">
        <w:t>1,05</w:t>
      </w:r>
      <w:r>
        <w:t>0 - $</w:t>
      </w:r>
      <w:r w:rsidR="009268E1">
        <w:t>3</w:t>
      </w:r>
      <w:r>
        <w:t>,</w:t>
      </w:r>
      <w:r w:rsidR="009268E1">
        <w:t>0</w:t>
      </w:r>
      <w:r>
        <w:t>00 a</w:t>
      </w:r>
      <w:r>
        <w:rPr>
          <w:spacing w:val="-15"/>
        </w:rPr>
        <w:t xml:space="preserve"> </w:t>
      </w:r>
      <w:r>
        <w:t>month</w:t>
      </w:r>
    </w:p>
    <w:p w14:paraId="6F811DFB" w14:textId="7F98EBB2" w:rsidR="007607AD" w:rsidRDefault="009268E1">
      <w:pPr>
        <w:pStyle w:val="BodyText"/>
        <w:spacing w:before="180" w:line="259" w:lineRule="auto"/>
        <w:ind w:left="321" w:right="322"/>
      </w:pPr>
      <w:r>
        <w:t>T</w:t>
      </w:r>
      <w:r w:rsidR="00FD4909">
        <w:t xml:space="preserve">he vacancy rate for rentals in </w:t>
      </w:r>
      <w:r w:rsidR="00916654">
        <w:t>Payson</w:t>
      </w:r>
      <w:r w:rsidR="00FD4909">
        <w:t xml:space="preserve"> is </w:t>
      </w:r>
      <w:r>
        <w:t>slightly higher than surrounding communities</w:t>
      </w:r>
      <w:r w:rsidR="00FD4909">
        <w:t xml:space="preserve">. Using </w:t>
      </w:r>
      <w:r w:rsidR="00916654">
        <w:t>Payson</w:t>
      </w:r>
      <w:r w:rsidR="00FD4909">
        <w:t xml:space="preserve"> City calculations of current and future/entitled multi-family developments of more than a single-family home, the city currently has </w:t>
      </w:r>
      <w:r>
        <w:t>1,245</w:t>
      </w:r>
      <w:r w:rsidR="00FD4909">
        <w:t xml:space="preserve"> multi-family units </w:t>
      </w:r>
      <w:r>
        <w:t>and will more than double that with planned units entitled</w:t>
      </w:r>
      <w:r w:rsidR="00FD4909">
        <w:t xml:space="preserve">. </w:t>
      </w:r>
    </w:p>
    <w:p w14:paraId="2C955442" w14:textId="28971994" w:rsidR="009268E1" w:rsidRDefault="009268E1">
      <w:pPr>
        <w:rPr>
          <w:sz w:val="23"/>
        </w:rPr>
      </w:pPr>
      <w:r>
        <w:rPr>
          <w:sz w:val="23"/>
        </w:rPr>
        <w:br w:type="page"/>
      </w:r>
    </w:p>
    <w:p w14:paraId="47BD1DCE" w14:textId="77777777" w:rsidR="007607AD" w:rsidRDefault="007607AD">
      <w:pPr>
        <w:pStyle w:val="BodyText"/>
        <w:spacing w:before="4"/>
        <w:rPr>
          <w:sz w:val="23"/>
        </w:rPr>
      </w:pPr>
    </w:p>
    <w:p w14:paraId="77CE2E55" w14:textId="77777777" w:rsidR="007607AD" w:rsidRDefault="00FD4909">
      <w:pPr>
        <w:pStyle w:val="Heading1"/>
      </w:pPr>
      <w:r>
        <w:t>Moderate-Income Housing Analysis</w:t>
      </w:r>
    </w:p>
    <w:p w14:paraId="3BD46239" w14:textId="77777777" w:rsidR="007607AD" w:rsidRDefault="00FD4909">
      <w:pPr>
        <w:pStyle w:val="Heading1"/>
        <w:spacing w:before="109"/>
      </w:pPr>
      <w:r>
        <w:t>Housing Cost Burdens</w:t>
      </w:r>
    </w:p>
    <w:p w14:paraId="5DC8FB8C" w14:textId="274EBAF6" w:rsidR="007607AD" w:rsidRDefault="00FD4909">
      <w:pPr>
        <w:pStyle w:val="BodyText"/>
        <w:spacing w:before="241" w:line="259" w:lineRule="auto"/>
        <w:ind w:left="321" w:right="247"/>
      </w:pPr>
      <w:r>
        <w:t xml:space="preserve">City staff used Census data to compile the monthly housing costs as a percentage of household income over a twelve-month period provided in </w:t>
      </w:r>
      <w:r w:rsidR="00DA7544">
        <w:t>the Table below</w:t>
      </w:r>
      <w:r>
        <w:t xml:space="preserve">. This </w:t>
      </w:r>
      <w:r w:rsidR="00CE6851">
        <w:t>table</w:t>
      </w:r>
      <w:r>
        <w:t xml:space="preserve"> reveals that approximately 2</w:t>
      </w:r>
      <w:r w:rsidR="00CE6851">
        <w:t>5</w:t>
      </w:r>
      <w:r>
        <w:t xml:space="preserve">% of </w:t>
      </w:r>
      <w:r w:rsidR="00916654">
        <w:t>Payson</w:t>
      </w:r>
      <w:r>
        <w:t xml:space="preserve"> households use more than 30% of their monthly income on housing</w:t>
      </w:r>
      <w:r w:rsidR="00CE6851">
        <w:t xml:space="preserve">; however, it also shows that, in general, as </w:t>
      </w:r>
      <w:r w:rsidR="00A23940">
        <w:t xml:space="preserve">household income increases the amount of income devoted to housing costs decreases. </w:t>
      </w:r>
    </w:p>
    <w:p w14:paraId="026717B5" w14:textId="77777777" w:rsidR="007607AD" w:rsidRDefault="007607AD">
      <w:pPr>
        <w:pStyle w:val="BodyText"/>
        <w:spacing w:before="3"/>
        <w:rPr>
          <w:sz w:val="25"/>
        </w:rPr>
      </w:pPr>
    </w:p>
    <w:p w14:paraId="4805392B" w14:textId="636F10DC" w:rsidR="007607AD" w:rsidRDefault="00CE6851">
      <w:pPr>
        <w:pStyle w:val="BodyText"/>
        <w:ind w:right="6312"/>
        <w:jc w:val="center"/>
      </w:pPr>
      <w:r>
        <w:t xml:space="preserve">Table </w:t>
      </w:r>
      <w:r w:rsidR="001A4FB4">
        <w:t>5</w:t>
      </w:r>
    </w:p>
    <w:p w14:paraId="77A3EC62" w14:textId="77777777" w:rsidR="00CE6851" w:rsidRDefault="00CE6851">
      <w:pPr>
        <w:pStyle w:val="BodyText"/>
        <w:ind w:right="6312"/>
        <w:jc w:val="center"/>
      </w:pPr>
    </w:p>
    <w:p w14:paraId="0B6F0C3B" w14:textId="0D9A88F6" w:rsidR="007607AD" w:rsidRDefault="00CE6851">
      <w:pPr>
        <w:pStyle w:val="BodyText"/>
        <w:rPr>
          <w:sz w:val="20"/>
        </w:rPr>
      </w:pPr>
      <w:r w:rsidRPr="00CE6851">
        <w:rPr>
          <w:noProof/>
        </w:rPr>
        <w:drawing>
          <wp:inline distT="0" distB="0" distL="0" distR="0" wp14:anchorId="7C850CFF" wp14:editId="175090DB">
            <wp:extent cx="6522720" cy="859790"/>
            <wp:effectExtent l="0" t="0" r="0" b="0"/>
            <wp:docPr id="380" name="Picture 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522956" cy="859821"/>
                    </a:xfrm>
                    <a:prstGeom prst="rect">
                      <a:avLst/>
                    </a:prstGeom>
                    <a:noFill/>
                    <a:ln>
                      <a:noFill/>
                    </a:ln>
                  </pic:spPr>
                </pic:pic>
              </a:graphicData>
            </a:graphic>
          </wp:inline>
        </w:drawing>
      </w:r>
    </w:p>
    <w:p w14:paraId="443D54D2" w14:textId="77777777" w:rsidR="007607AD" w:rsidRDefault="00FD4909" w:rsidP="00CE6851">
      <w:pPr>
        <w:pStyle w:val="BodyText"/>
        <w:spacing w:before="142"/>
      </w:pPr>
      <w:r>
        <w:t xml:space="preserve">U.S. Census Bureau – </w:t>
      </w:r>
      <w:r w:rsidR="00916654">
        <w:t>Payson</w:t>
      </w:r>
      <w:r>
        <w:t xml:space="preserve"> City 2020</w:t>
      </w:r>
    </w:p>
    <w:p w14:paraId="3818A999" w14:textId="77777777" w:rsidR="007607AD" w:rsidRDefault="007607AD">
      <w:pPr>
        <w:pStyle w:val="BodyText"/>
        <w:rPr>
          <w:sz w:val="27"/>
        </w:rPr>
      </w:pPr>
    </w:p>
    <w:p w14:paraId="252F36EA" w14:textId="77777777" w:rsidR="007607AD" w:rsidRDefault="00FD4909">
      <w:pPr>
        <w:pStyle w:val="Heading2"/>
      </w:pPr>
      <w:r>
        <w:t>What does Moderate-Income Housing Income Look Like?</w:t>
      </w:r>
    </w:p>
    <w:p w14:paraId="1F5A6ACE" w14:textId="77777777" w:rsidR="007607AD" w:rsidRDefault="007607AD">
      <w:pPr>
        <w:pStyle w:val="BodyText"/>
        <w:spacing w:before="7"/>
        <w:rPr>
          <w:b/>
          <w:sz w:val="25"/>
        </w:rPr>
      </w:pPr>
    </w:p>
    <w:p w14:paraId="6AC0125C" w14:textId="44A3B42F" w:rsidR="007607AD" w:rsidRDefault="00FD4909">
      <w:pPr>
        <w:pStyle w:val="BodyText"/>
        <w:spacing w:line="259" w:lineRule="auto"/>
        <w:ind w:left="321" w:right="267"/>
      </w:pPr>
      <w:r>
        <w:t xml:space="preserve">Moderate-income housing is determined from the Utah County Median income which is </w:t>
      </w:r>
      <w:r w:rsidRPr="00CB260E">
        <w:rPr>
          <w:color w:val="FF0000"/>
        </w:rPr>
        <w:t>$</w:t>
      </w:r>
      <w:r w:rsidR="00CB260E" w:rsidRPr="00CB260E">
        <w:rPr>
          <w:color w:val="FF0000"/>
        </w:rPr>
        <w:t>96,877</w:t>
      </w:r>
      <w:r w:rsidRPr="00CB260E">
        <w:rPr>
          <w:color w:val="FF0000"/>
        </w:rPr>
        <w:t xml:space="preserve"> </w:t>
      </w:r>
      <w:r>
        <w:t>per year</w:t>
      </w:r>
      <w:r w:rsidR="00CB260E">
        <w:t xml:space="preserve"> </w:t>
      </w:r>
      <w:r w:rsidR="00CB260E" w:rsidRPr="00CB260E">
        <w:rPr>
          <w:color w:val="FF0000"/>
        </w:rPr>
        <w:t>as per the U.S. Census 2023 American Community Survey</w:t>
      </w:r>
      <w:r>
        <w:t xml:space="preserve">. Moderate-income housing is defined as housing for individuals that earn 80% of the county area median income which would be </w:t>
      </w:r>
      <w:r w:rsidR="00CB260E" w:rsidRPr="00CB260E">
        <w:rPr>
          <w:color w:val="FF0000"/>
        </w:rPr>
        <w:t>$77,502</w:t>
      </w:r>
      <w:r>
        <w:t xml:space="preserve">. Using the recommendation to not spend more than 30% of your annual salary on housing, an annual mortgage or rent payment would be </w:t>
      </w:r>
      <w:r w:rsidRPr="00CB260E">
        <w:rPr>
          <w:color w:val="FF0000"/>
        </w:rPr>
        <w:t>$</w:t>
      </w:r>
      <w:r w:rsidR="00CB260E" w:rsidRPr="00CB260E">
        <w:rPr>
          <w:color w:val="FF0000"/>
        </w:rPr>
        <w:t>23,250</w:t>
      </w:r>
      <w:r w:rsidRPr="00CB260E">
        <w:rPr>
          <w:color w:val="FF0000"/>
        </w:rPr>
        <w:t xml:space="preserve"> </w:t>
      </w:r>
      <w:r>
        <w:t xml:space="preserve">or </w:t>
      </w:r>
      <w:r w:rsidR="00AB4D10" w:rsidRPr="00CB260E">
        <w:rPr>
          <w:color w:val="FF0000"/>
        </w:rPr>
        <w:t>$</w:t>
      </w:r>
      <w:r w:rsidR="00CB260E" w:rsidRPr="00CB260E">
        <w:rPr>
          <w:color w:val="FF0000"/>
        </w:rPr>
        <w:t>1,938</w:t>
      </w:r>
      <w:r w:rsidRPr="00CB260E">
        <w:rPr>
          <w:color w:val="FF0000"/>
        </w:rPr>
        <w:t xml:space="preserve"> </w:t>
      </w:r>
      <w:r>
        <w:t>per month or less.</w:t>
      </w:r>
    </w:p>
    <w:p w14:paraId="658D5618" w14:textId="77777777" w:rsidR="007607AD" w:rsidRDefault="007607AD">
      <w:pPr>
        <w:pStyle w:val="BodyText"/>
      </w:pPr>
    </w:p>
    <w:p w14:paraId="7A2CCE87" w14:textId="77777777" w:rsidR="007607AD" w:rsidRDefault="007607AD">
      <w:pPr>
        <w:pStyle w:val="BodyText"/>
        <w:spacing w:before="5"/>
        <w:rPr>
          <w:sz w:val="21"/>
        </w:rPr>
      </w:pPr>
    </w:p>
    <w:p w14:paraId="23FBFBE5" w14:textId="77777777" w:rsidR="007607AD" w:rsidRDefault="00FD4909">
      <w:pPr>
        <w:pStyle w:val="Heading1"/>
      </w:pPr>
      <w:r>
        <w:t>Housing Needs Assessment</w:t>
      </w:r>
    </w:p>
    <w:p w14:paraId="14FB3492" w14:textId="6FA2519F" w:rsidR="007607AD" w:rsidRDefault="00FD4909">
      <w:pPr>
        <w:spacing w:before="109" w:line="276" w:lineRule="auto"/>
        <w:ind w:left="321" w:right="359"/>
        <w:rPr>
          <w:sz w:val="24"/>
        </w:rPr>
      </w:pPr>
      <w:r>
        <w:rPr>
          <w:sz w:val="24"/>
        </w:rPr>
        <w:t xml:space="preserve">In evaluating the existing housing sales, pricing, rental rates and moderate-income limits from the previous section, </w:t>
      </w:r>
      <w:r w:rsidR="00916654">
        <w:rPr>
          <w:sz w:val="24"/>
        </w:rPr>
        <w:t>Payson</w:t>
      </w:r>
      <w:r>
        <w:rPr>
          <w:sz w:val="24"/>
        </w:rPr>
        <w:t xml:space="preserve"> City does not currently have sufficient affordable housing to meet current or future needs for individuals of various income levels wanting to live in the community. </w:t>
      </w:r>
      <w:r w:rsidR="00CF7CAE">
        <w:rPr>
          <w:sz w:val="24"/>
        </w:rPr>
        <w:t xml:space="preserve">However, the anticipated number of additional rental units slated to be constructed in coming years will significantly help with that. Additionally, currently the city is aware of </w:t>
      </w:r>
      <w:r w:rsidR="008D3C23" w:rsidRPr="008D3C23">
        <w:rPr>
          <w:color w:val="FF0000"/>
          <w:sz w:val="24"/>
        </w:rPr>
        <w:t>46</w:t>
      </w:r>
      <w:r w:rsidR="00CF7CAE">
        <w:rPr>
          <w:sz w:val="24"/>
        </w:rPr>
        <w:t xml:space="preserve"> legal accessory apartments; however, rental rate information is not readily available. </w:t>
      </w:r>
    </w:p>
    <w:p w14:paraId="041C773F" w14:textId="77777777" w:rsidR="007607AD" w:rsidRDefault="007607AD">
      <w:pPr>
        <w:pStyle w:val="BodyText"/>
        <w:spacing w:before="8"/>
        <w:rPr>
          <w:sz w:val="19"/>
        </w:rPr>
      </w:pPr>
    </w:p>
    <w:p w14:paraId="25A64D46" w14:textId="4AC6F144" w:rsidR="001A4FB4" w:rsidRDefault="001A4FB4">
      <w:pPr>
        <w:rPr>
          <w:sz w:val="28"/>
        </w:rPr>
      </w:pPr>
      <w:r>
        <w:rPr>
          <w:sz w:val="28"/>
        </w:rPr>
        <w:br w:type="page"/>
      </w:r>
    </w:p>
    <w:p w14:paraId="4D22AB2C" w14:textId="77777777" w:rsidR="007607AD" w:rsidRDefault="007607AD">
      <w:pPr>
        <w:pStyle w:val="BodyText"/>
        <w:spacing w:before="3"/>
        <w:rPr>
          <w:sz w:val="28"/>
        </w:rPr>
      </w:pPr>
    </w:p>
    <w:p w14:paraId="77EF45A0" w14:textId="6FA288B8" w:rsidR="007607AD" w:rsidRDefault="00FD4909">
      <w:pPr>
        <w:pStyle w:val="Heading1"/>
        <w:ind w:left="4850"/>
        <w:rPr>
          <w:rFonts w:ascii="Arial"/>
        </w:rPr>
      </w:pPr>
      <w:r>
        <w:rPr>
          <w:rFonts w:ascii="Arial"/>
        </w:rPr>
        <w:t>Section I</w:t>
      </w:r>
      <w:r w:rsidR="00CF7CAE">
        <w:rPr>
          <w:rFonts w:ascii="Arial"/>
        </w:rPr>
        <w:t>II</w:t>
      </w:r>
    </w:p>
    <w:p w14:paraId="314F0B1B" w14:textId="77777777" w:rsidR="007607AD" w:rsidRDefault="00FD4909">
      <w:pPr>
        <w:pStyle w:val="Heading1"/>
        <w:spacing w:before="111"/>
      </w:pPr>
      <w:r>
        <w:t>Compliance with Utah Code 10-9a-403 –HB462 (2022)</w:t>
      </w:r>
    </w:p>
    <w:p w14:paraId="4069C793" w14:textId="15CF8180" w:rsidR="007607AD" w:rsidRDefault="00FD4909">
      <w:pPr>
        <w:pStyle w:val="BodyText"/>
        <w:spacing w:before="238" w:line="259" w:lineRule="auto"/>
        <w:ind w:left="321" w:right="199"/>
      </w:pPr>
      <w:r>
        <w:t xml:space="preserve">In 2019, the Utah Legislature passed House Bill 34 which required municipalities to updated their moderate-income housing plans as well as select three housing affordability strategies to implement in their community. During the 2022 legislative session, the legislature passed House Bill 462 which requires cities to update their moderate-income housing strategies and adopt benchmarks and implementation plans as part of their housing strategies. </w:t>
      </w:r>
      <w:r w:rsidR="00916654">
        <w:t>Payson</w:t>
      </w:r>
      <w:r>
        <w:t xml:space="preserve"> City has selected the following </w:t>
      </w:r>
      <w:del w:id="0" w:author="Michael Bryant" w:date="2025-01-08T16:38:00Z" w16du:dateUtc="2025-01-08T23:38:00Z">
        <w:r w:rsidR="00CF7CAE" w:rsidDel="004D2004">
          <w:delText>three</w:delText>
        </w:r>
        <w:r w:rsidDel="004D2004">
          <w:delText xml:space="preserve"> </w:delText>
        </w:r>
      </w:del>
      <w:r>
        <w:t>strategies for implementing moderate- income housing in the community.</w:t>
      </w:r>
    </w:p>
    <w:p w14:paraId="351A3828" w14:textId="77777777" w:rsidR="007607AD" w:rsidRDefault="007607AD">
      <w:pPr>
        <w:pStyle w:val="BodyText"/>
        <w:spacing w:before="11"/>
        <w:rPr>
          <w:sz w:val="23"/>
        </w:rPr>
      </w:pPr>
    </w:p>
    <w:p w14:paraId="49E923A2" w14:textId="13A4875E" w:rsidR="007607AD" w:rsidRDefault="00FD4909">
      <w:pPr>
        <w:pStyle w:val="Heading1"/>
        <w:spacing w:line="259" w:lineRule="auto"/>
      </w:pPr>
      <w:r>
        <w:t xml:space="preserve">Strategy One: </w:t>
      </w:r>
      <w:r w:rsidR="00CF7CAE" w:rsidRPr="00CF7CAE">
        <w:t xml:space="preserve">Demonstrate investment in the rehabilitation or expansion of infrastructure that facilitates the construction of </w:t>
      </w:r>
      <w:r w:rsidR="001A4FB4" w:rsidRPr="00CF7CAE">
        <w:t>moderate-income</w:t>
      </w:r>
      <w:r w:rsidR="00CF7CAE" w:rsidRPr="00CF7CAE">
        <w:t xml:space="preserve"> housing</w:t>
      </w:r>
      <w:r w:rsidR="00CF7CAE">
        <w:t>.</w:t>
      </w:r>
    </w:p>
    <w:p w14:paraId="1008D42C" w14:textId="77777777" w:rsidR="007607AD" w:rsidRDefault="007607AD">
      <w:pPr>
        <w:pStyle w:val="BodyText"/>
        <w:spacing w:before="7"/>
        <w:rPr>
          <w:b/>
          <w:sz w:val="25"/>
        </w:rPr>
      </w:pPr>
    </w:p>
    <w:p w14:paraId="74795743" w14:textId="53CB856A" w:rsidR="007607AD" w:rsidRDefault="00CF7CAE">
      <w:pPr>
        <w:pStyle w:val="BodyText"/>
        <w:spacing w:before="56" w:line="259" w:lineRule="auto"/>
        <w:ind w:left="321" w:right="210"/>
      </w:pPr>
      <w:r>
        <w:t xml:space="preserve">Payson City is committed to providing adequate infrastructure facilities to allow for the expansion and growth of the city in a systematic and stable way. Currently, Payson City is </w:t>
      </w:r>
      <w:r w:rsidR="007B0D99">
        <w:t xml:space="preserve">finalizing contracts and bonding to allow for over $50 million in improvements to the sewer treatment plant. The improvements will allow the facility to comply with all state-mandated requirements, but, significantly allow for the future growth and expansion of moderate-income housing within the city. This investment is crucial in allowing the over 1,200 additional units proposed for the Red Bridge project, as well as several other significant developments in the city. </w:t>
      </w:r>
    </w:p>
    <w:p w14:paraId="6E15A158" w14:textId="77777777" w:rsidR="007607AD" w:rsidRDefault="007607AD">
      <w:pPr>
        <w:pStyle w:val="BodyText"/>
        <w:spacing w:before="9"/>
        <w:rPr>
          <w:sz w:val="23"/>
        </w:rPr>
      </w:pPr>
    </w:p>
    <w:p w14:paraId="1116CDB9" w14:textId="77777777" w:rsidR="007607AD" w:rsidRDefault="00FD4909">
      <w:pPr>
        <w:pStyle w:val="BodyText"/>
        <w:ind w:left="321"/>
      </w:pPr>
      <w:r>
        <w:t>Implementation Plan:</w:t>
      </w:r>
    </w:p>
    <w:p w14:paraId="32DEFF9C" w14:textId="7774F673" w:rsidR="007607AD" w:rsidRPr="00CA6757" w:rsidRDefault="00916654">
      <w:pPr>
        <w:pStyle w:val="ListParagraph"/>
        <w:numPr>
          <w:ilvl w:val="2"/>
          <w:numId w:val="2"/>
        </w:numPr>
        <w:tabs>
          <w:tab w:val="left" w:pos="1041"/>
          <w:tab w:val="left" w:pos="1042"/>
        </w:tabs>
        <w:spacing w:before="180" w:line="259" w:lineRule="auto"/>
        <w:ind w:right="268"/>
        <w:rPr>
          <w:color w:val="FF0000"/>
        </w:rPr>
      </w:pPr>
      <w:r w:rsidRPr="00CA6757">
        <w:rPr>
          <w:color w:val="FF0000"/>
        </w:rPr>
        <w:t>Payson</w:t>
      </w:r>
      <w:r w:rsidR="00FD4909" w:rsidRPr="00CA6757">
        <w:rPr>
          <w:color w:val="FF0000"/>
        </w:rPr>
        <w:t xml:space="preserve"> City </w:t>
      </w:r>
      <w:r w:rsidR="00E45090" w:rsidRPr="00CA6757">
        <w:rPr>
          <w:color w:val="FF0000"/>
        </w:rPr>
        <w:t xml:space="preserve">has begun the construction of sewer system improvements as of 2024. Improvements are anticipated to be completed by </w:t>
      </w:r>
      <w:r w:rsidR="00CA6757" w:rsidRPr="00CA6757">
        <w:rPr>
          <w:color w:val="FF0000"/>
        </w:rPr>
        <w:t>the end of 202</w:t>
      </w:r>
      <w:r w:rsidR="00B640DE">
        <w:rPr>
          <w:color w:val="FF0000"/>
        </w:rPr>
        <w:t>6</w:t>
      </w:r>
      <w:r w:rsidR="00CA6757" w:rsidRPr="00CA6757">
        <w:rPr>
          <w:color w:val="FF0000"/>
        </w:rPr>
        <w:t>.</w:t>
      </w:r>
    </w:p>
    <w:p w14:paraId="417A513E" w14:textId="5DDCB963" w:rsidR="007607AD" w:rsidRDefault="007B0D99" w:rsidP="00680CF3">
      <w:pPr>
        <w:pStyle w:val="ListParagraph"/>
        <w:numPr>
          <w:ilvl w:val="2"/>
          <w:numId w:val="2"/>
        </w:numPr>
        <w:tabs>
          <w:tab w:val="left" w:pos="1041"/>
          <w:tab w:val="left" w:pos="1042"/>
        </w:tabs>
        <w:spacing w:before="20"/>
      </w:pPr>
      <w:r>
        <w:t xml:space="preserve">The city will </w:t>
      </w:r>
      <w:r w:rsidR="00CA6757" w:rsidRPr="00CA6757">
        <w:rPr>
          <w:color w:val="FF0000"/>
        </w:rPr>
        <w:t xml:space="preserve">continue to </w:t>
      </w:r>
      <w:r>
        <w:t xml:space="preserve">manage contract obligations to ensure timeline milestones are met. Without this critical infrastructure improvement, additional development within the city will not be possible. </w:t>
      </w:r>
    </w:p>
    <w:p w14:paraId="0C8B89B9" w14:textId="77777777" w:rsidR="007607AD" w:rsidRDefault="007607AD">
      <w:pPr>
        <w:pStyle w:val="BodyText"/>
        <w:rPr>
          <w:sz w:val="28"/>
        </w:rPr>
      </w:pPr>
    </w:p>
    <w:p w14:paraId="602F3BA6" w14:textId="72C0A302" w:rsidR="007607AD" w:rsidRDefault="00FD4909">
      <w:pPr>
        <w:pStyle w:val="Heading1"/>
        <w:spacing w:before="211" w:line="259" w:lineRule="auto"/>
      </w:pPr>
      <w:r>
        <w:t xml:space="preserve">Strategy Two: </w:t>
      </w:r>
      <w:r w:rsidR="007B0D99" w:rsidRPr="001D5DCE">
        <w:t xml:space="preserve">Zone or rezone for higher density or </w:t>
      </w:r>
      <w:r w:rsidR="00DE76D3" w:rsidRPr="001D5DCE">
        <w:t>moderate-income</w:t>
      </w:r>
      <w:r w:rsidR="007B0D99" w:rsidRPr="001D5DCE">
        <w:t xml:space="preserve"> residential development in commercial or mixed-use zones near major transit investment corridors, commercial centers, or employment centers.</w:t>
      </w:r>
    </w:p>
    <w:p w14:paraId="0F10270D" w14:textId="77777777" w:rsidR="007607AD" w:rsidRDefault="007607AD">
      <w:pPr>
        <w:pStyle w:val="BodyText"/>
        <w:spacing w:before="9"/>
        <w:rPr>
          <w:b/>
          <w:sz w:val="25"/>
        </w:rPr>
      </w:pPr>
    </w:p>
    <w:p w14:paraId="79B6C5BB" w14:textId="09536483" w:rsidR="007607AD" w:rsidRDefault="007B0D99">
      <w:pPr>
        <w:pStyle w:val="BodyText"/>
        <w:spacing w:line="259" w:lineRule="auto"/>
        <w:ind w:left="321" w:right="214"/>
      </w:pPr>
      <w:bookmarkStart w:id="1" w:name="_Hlk193187962"/>
      <w:r>
        <w:t>Payson City has been very receptive to rezone requests to allow higher</w:t>
      </w:r>
      <w:r w:rsidR="00466E46">
        <w:t xml:space="preserve"> residential</w:t>
      </w:r>
      <w:r>
        <w:t xml:space="preserve"> density </w:t>
      </w:r>
      <w:r w:rsidR="00466E46">
        <w:t xml:space="preserve">where specifically appropriate. In recent years, </w:t>
      </w:r>
      <w:bookmarkEnd w:id="1"/>
      <w:r w:rsidR="00466E46">
        <w:t xml:space="preserve">Payson City Council and staff have focused the efforts of rezoning to higher densities in a nodal pattern around major transportation corridors and intersections. The recently adopted Payson General Plan identifies specific areas where increased density should be encouraged. </w:t>
      </w:r>
    </w:p>
    <w:p w14:paraId="73CC96FC" w14:textId="77777777" w:rsidR="007607AD" w:rsidRDefault="007607AD">
      <w:pPr>
        <w:pStyle w:val="BodyText"/>
        <w:spacing w:before="7"/>
        <w:rPr>
          <w:sz w:val="23"/>
        </w:rPr>
      </w:pPr>
    </w:p>
    <w:p w14:paraId="0AC92BB9" w14:textId="77777777" w:rsidR="007607AD" w:rsidRDefault="00FD4909">
      <w:pPr>
        <w:pStyle w:val="BodyText"/>
        <w:ind w:left="321"/>
      </w:pPr>
      <w:r>
        <w:t>Implementation Plan:</w:t>
      </w:r>
    </w:p>
    <w:p w14:paraId="18DEF575" w14:textId="73BAD016" w:rsidR="00B073EA" w:rsidRDefault="00FD4909">
      <w:pPr>
        <w:pStyle w:val="ListParagraph"/>
        <w:numPr>
          <w:ilvl w:val="2"/>
          <w:numId w:val="2"/>
        </w:numPr>
        <w:tabs>
          <w:tab w:val="left" w:pos="1041"/>
          <w:tab w:val="left" w:pos="1042"/>
        </w:tabs>
        <w:spacing w:before="183" w:line="259" w:lineRule="auto"/>
        <w:ind w:right="528"/>
      </w:pPr>
      <w:r>
        <w:t xml:space="preserve">The city </w:t>
      </w:r>
      <w:r w:rsidR="00466E46">
        <w:t xml:space="preserve">is actively working with the Utah Department of Transportation (UDOT) to implement planned interchange improvements at the North Main Street interchange. </w:t>
      </w:r>
      <w:r w:rsidR="00970927">
        <w:t xml:space="preserve">City </w:t>
      </w:r>
      <w:r w:rsidR="00B073EA">
        <w:t>staff will continue to meet with UDOT staff at least quarterly for the next several years to monitor progress.</w:t>
      </w:r>
      <w:r w:rsidR="00D84B7A">
        <w:t xml:space="preserve"> The </w:t>
      </w:r>
      <w:r w:rsidR="003151D2">
        <w:t xml:space="preserve">project timeline is anticipated to be phased over several years, with the first phase being funded within the next five years. City administration staff will work closely with the State Legislature in </w:t>
      </w:r>
      <w:r w:rsidR="001D5DCE">
        <w:t xml:space="preserve">upcoming legislative </w:t>
      </w:r>
      <w:r w:rsidR="003151D2">
        <w:t>session</w:t>
      </w:r>
      <w:r w:rsidR="001D5DCE">
        <w:t>s</w:t>
      </w:r>
      <w:r w:rsidR="003151D2">
        <w:t xml:space="preserve"> to hopefully receive </w:t>
      </w:r>
      <w:r w:rsidR="001D5DCE">
        <w:t xml:space="preserve">additional </w:t>
      </w:r>
      <w:r w:rsidR="003151D2">
        <w:t>funding</w:t>
      </w:r>
      <w:r w:rsidR="005D0A94">
        <w:t xml:space="preserve"> for other phases of the project. </w:t>
      </w:r>
      <w:r w:rsidR="003151D2">
        <w:t>This is a critical improvement to allow access to additional areas already planned to include higher density housing.</w:t>
      </w:r>
    </w:p>
    <w:p w14:paraId="1D5BD2A1" w14:textId="4DED3789" w:rsidR="007607AD" w:rsidRDefault="00466E46" w:rsidP="009319F1">
      <w:pPr>
        <w:pStyle w:val="ListParagraph"/>
        <w:numPr>
          <w:ilvl w:val="2"/>
          <w:numId w:val="2"/>
        </w:numPr>
        <w:tabs>
          <w:tab w:val="left" w:pos="1041"/>
          <w:tab w:val="left" w:pos="1042"/>
        </w:tabs>
        <w:spacing w:before="22" w:line="279" w:lineRule="exact"/>
      </w:pPr>
      <w:r>
        <w:t xml:space="preserve">UTA, in conjunction with Payson City, has already begun the station area planning process for the future high-speed rail stop for Payson. </w:t>
      </w:r>
      <w:r w:rsidR="003151D2">
        <w:t xml:space="preserve">The timeline for completion of the plan is 9 to 12 months with an </w:t>
      </w:r>
      <w:r w:rsidR="003151D2">
        <w:lastRenderedPageBreak/>
        <w:t xml:space="preserve">anticipated adoption in </w:t>
      </w:r>
      <w:proofErr w:type="spellStart"/>
      <w:r w:rsidR="005D0A94">
        <w:t>mid 2025</w:t>
      </w:r>
      <w:proofErr w:type="spellEnd"/>
      <w:r w:rsidR="003151D2">
        <w:t xml:space="preserve">. City staff meets at least monthly with the consultant team to monitor progress. </w:t>
      </w:r>
      <w:r>
        <w:t xml:space="preserve">Part of the planning will include an assessment of plausible locations for additional high-density housing which will be supported by the future transit system. </w:t>
      </w:r>
    </w:p>
    <w:p w14:paraId="66AC362A" w14:textId="233DD199" w:rsidR="007607AD" w:rsidRDefault="00FD4909">
      <w:pPr>
        <w:pStyle w:val="ListParagraph"/>
        <w:numPr>
          <w:ilvl w:val="2"/>
          <w:numId w:val="2"/>
        </w:numPr>
        <w:tabs>
          <w:tab w:val="left" w:pos="1041"/>
          <w:tab w:val="left" w:pos="1042"/>
        </w:tabs>
        <w:spacing w:before="20" w:line="259" w:lineRule="auto"/>
        <w:ind w:right="232"/>
      </w:pPr>
      <w:r>
        <w:t xml:space="preserve">The city will </w:t>
      </w:r>
      <w:r w:rsidR="00466E46">
        <w:t xml:space="preserve">continue to follow the guidance of the Future Land Use Map in the General Plan which identifies those areas to allow higher density residential uses and will work with property owners and potential developers to ensure these areas are strategically developed to address housing needs for a variety of income levels. </w:t>
      </w:r>
      <w:r w:rsidR="008C282E">
        <w:t xml:space="preserve">The General Plan was adopted in 2020 and is generally updated every five years. Staff </w:t>
      </w:r>
      <w:proofErr w:type="gramStart"/>
      <w:r w:rsidR="008C282E">
        <w:t>anticipates</w:t>
      </w:r>
      <w:proofErr w:type="gramEnd"/>
      <w:r w:rsidR="008C282E">
        <w:t xml:space="preserve"> that revisions to the General Plan will start in early 202</w:t>
      </w:r>
      <w:r w:rsidR="005D0A94">
        <w:t>6</w:t>
      </w:r>
      <w:r w:rsidR="008C282E">
        <w:t xml:space="preserve"> with an anticipated adoption in late Fall of 202</w:t>
      </w:r>
      <w:r w:rsidR="005D0A94">
        <w:t>6</w:t>
      </w:r>
      <w:r w:rsidR="008C282E">
        <w:t xml:space="preserve">. </w:t>
      </w:r>
    </w:p>
    <w:p w14:paraId="0A0D6860" w14:textId="754F12BC" w:rsidR="004D2004" w:rsidRPr="008D3C23" w:rsidRDefault="004D2004" w:rsidP="008D3C23">
      <w:pPr>
        <w:pStyle w:val="ListParagraph"/>
        <w:numPr>
          <w:ilvl w:val="2"/>
          <w:numId w:val="2"/>
        </w:numPr>
        <w:tabs>
          <w:tab w:val="left" w:pos="1041"/>
          <w:tab w:val="left" w:pos="1042"/>
        </w:tabs>
        <w:spacing w:before="8" w:line="259" w:lineRule="auto"/>
        <w:ind w:right="452"/>
        <w:rPr>
          <w:color w:val="FF0000"/>
        </w:rPr>
      </w:pPr>
      <w:r w:rsidRPr="004D2004">
        <w:rPr>
          <w:color w:val="FF0000"/>
        </w:rPr>
        <w:t>Evaluate the requirements necessary to allow attached and detached accessory dwelling unit</w:t>
      </w:r>
      <w:r w:rsidR="00476581">
        <w:rPr>
          <w:color w:val="FF0000"/>
        </w:rPr>
        <w:t>s</w:t>
      </w:r>
      <w:r w:rsidRPr="004D2004">
        <w:rPr>
          <w:color w:val="FF0000"/>
        </w:rPr>
        <w:t xml:space="preserve"> in commercial zones.</w:t>
      </w:r>
      <w:r>
        <w:rPr>
          <w:color w:val="FF0000"/>
        </w:rPr>
        <w:t xml:space="preserve"> Payson does not currently allow for accessory dwelling units in commercial zones; however there has been some interest from the public on this issue and the city is considering it.</w:t>
      </w:r>
      <w:r w:rsidRPr="004D2004">
        <w:rPr>
          <w:color w:val="FF0000"/>
        </w:rPr>
        <w:t xml:space="preserve"> </w:t>
      </w:r>
    </w:p>
    <w:p w14:paraId="77A6D4A1" w14:textId="63C07283" w:rsidR="007607AD" w:rsidRDefault="00FD4909">
      <w:pPr>
        <w:pStyle w:val="Heading1"/>
        <w:spacing w:before="162" w:line="259" w:lineRule="auto"/>
        <w:ind w:right="441"/>
      </w:pPr>
      <w:bookmarkStart w:id="2" w:name="_Hlk187246735"/>
      <w:r>
        <w:t xml:space="preserve">Strategy Three: </w:t>
      </w:r>
      <w:r w:rsidR="00466E46" w:rsidRPr="00466E46">
        <w:t>Create or allow for, and reduce regulations related to, internal or detached accessory dwelling units in residential zones</w:t>
      </w:r>
      <w:r w:rsidR="00466E46">
        <w:t>.</w:t>
      </w:r>
    </w:p>
    <w:p w14:paraId="5638097E" w14:textId="77777777" w:rsidR="007607AD" w:rsidRDefault="007607AD">
      <w:pPr>
        <w:pStyle w:val="BodyText"/>
        <w:spacing w:before="8"/>
        <w:rPr>
          <w:b/>
          <w:sz w:val="25"/>
        </w:rPr>
      </w:pPr>
    </w:p>
    <w:p w14:paraId="0E67A970" w14:textId="68EB2E3F" w:rsidR="007607AD" w:rsidRDefault="00916654" w:rsidP="00F30735">
      <w:pPr>
        <w:pStyle w:val="BodyText"/>
        <w:spacing w:line="259" w:lineRule="auto"/>
        <w:ind w:left="321" w:right="215"/>
      </w:pPr>
      <w:r>
        <w:t>Payson</w:t>
      </w:r>
      <w:r w:rsidR="00FD4909">
        <w:t xml:space="preserve"> City </w:t>
      </w:r>
      <w:r w:rsidR="00F30735">
        <w:t xml:space="preserve">allowed for accessory dwelling units prior to the state-wide requirements to allow them in most residential areas. Currently there are 23 legally established accessory dwellings in the city. The city will be undertaking a major overall of the zoning and development code and, as part of that overall, will be identifying ways to reduce regulatory requirements for accessory dwelling units. </w:t>
      </w:r>
    </w:p>
    <w:p w14:paraId="39DBE55C" w14:textId="77777777" w:rsidR="007607AD" w:rsidRDefault="007607AD">
      <w:pPr>
        <w:pStyle w:val="BodyText"/>
        <w:spacing w:before="10"/>
        <w:rPr>
          <w:sz w:val="25"/>
        </w:rPr>
      </w:pPr>
    </w:p>
    <w:p w14:paraId="43FAD2B0" w14:textId="77777777" w:rsidR="007607AD" w:rsidRDefault="00FD4909">
      <w:pPr>
        <w:pStyle w:val="BodyText"/>
        <w:spacing w:before="1"/>
        <w:ind w:left="321"/>
      </w:pPr>
      <w:r>
        <w:t>Implementation:</w:t>
      </w:r>
    </w:p>
    <w:p w14:paraId="7230E3A5" w14:textId="3AA4CCDA" w:rsidR="007607AD" w:rsidRDefault="008C282E" w:rsidP="00F30735">
      <w:pPr>
        <w:pStyle w:val="ListParagraph"/>
        <w:numPr>
          <w:ilvl w:val="2"/>
          <w:numId w:val="2"/>
        </w:numPr>
        <w:tabs>
          <w:tab w:val="left" w:pos="1041"/>
          <w:tab w:val="left" w:pos="1042"/>
        </w:tabs>
        <w:spacing w:before="183" w:line="259" w:lineRule="auto"/>
        <w:ind w:right="278"/>
      </w:pPr>
      <w:r>
        <w:t>A Request for Proposal will be posted in early 20</w:t>
      </w:r>
      <w:r w:rsidR="00C95BA8">
        <w:t>25</w:t>
      </w:r>
      <w:r>
        <w:t xml:space="preserve"> seeking consulting services to rewrite the Payson City Code</w:t>
      </w:r>
      <w:bookmarkEnd w:id="2"/>
      <w:r>
        <w:t>. The Code rewrite has already been included in the 202</w:t>
      </w:r>
      <w:r w:rsidR="00C95BA8">
        <w:t>4</w:t>
      </w:r>
      <w:r>
        <w:t>-202</w:t>
      </w:r>
      <w:r w:rsidR="00C95BA8">
        <w:t>5</w:t>
      </w:r>
      <w:r>
        <w:t xml:space="preserve"> budget. The rewrite is anticipated to require approximately 12 months, with an adoption date of early 202</w:t>
      </w:r>
      <w:r w:rsidR="00C95BA8">
        <w:t>6</w:t>
      </w:r>
      <w:r>
        <w:t>. A critical component of the Code rewrite will i</w:t>
      </w:r>
      <w:r w:rsidR="00F30735">
        <w:t xml:space="preserve">nclude evaluation measures to specifically examine accessory dwelling unit </w:t>
      </w:r>
      <w:r>
        <w:t>regulations and incentives</w:t>
      </w:r>
      <w:r w:rsidR="00F30735">
        <w:t>.</w:t>
      </w:r>
    </w:p>
    <w:p w14:paraId="21CCC44C" w14:textId="7209845B" w:rsidR="00F51221" w:rsidRDefault="00C95BA8" w:rsidP="004D2004">
      <w:pPr>
        <w:pStyle w:val="ListParagraph"/>
        <w:numPr>
          <w:ilvl w:val="2"/>
          <w:numId w:val="2"/>
        </w:numPr>
        <w:tabs>
          <w:tab w:val="left" w:pos="1041"/>
          <w:tab w:val="left" w:pos="1042"/>
        </w:tabs>
        <w:spacing w:before="8" w:line="259" w:lineRule="auto"/>
        <w:ind w:right="452"/>
        <w:rPr>
          <w:color w:val="FF0000"/>
        </w:rPr>
      </w:pPr>
      <w:r w:rsidRPr="00F04681">
        <w:rPr>
          <w:color w:val="FF0000"/>
        </w:rPr>
        <w:t>As part of this strategy Payson City has recently adopted code regulations to allow for the construction of detached accessory dwelling units within various residential zones. This was a suggested implementation strategy in previous years and has now come to pass as of November 2024.</w:t>
      </w:r>
      <w:r w:rsidR="00B640DE">
        <w:rPr>
          <w:color w:val="FF0000"/>
        </w:rPr>
        <w:t xml:space="preserve"> Now that this code has been implemented it is an ongoing strategy to encourage accessory dwelling units.</w:t>
      </w:r>
    </w:p>
    <w:p w14:paraId="67FB8483" w14:textId="44430CB2" w:rsidR="00E45090" w:rsidRPr="00B640DE" w:rsidRDefault="00E45090" w:rsidP="004D2004">
      <w:pPr>
        <w:pStyle w:val="ListParagraph"/>
        <w:numPr>
          <w:ilvl w:val="2"/>
          <w:numId w:val="2"/>
        </w:numPr>
        <w:tabs>
          <w:tab w:val="left" w:pos="1041"/>
          <w:tab w:val="left" w:pos="1042"/>
        </w:tabs>
        <w:spacing w:before="8" w:line="259" w:lineRule="auto"/>
        <w:ind w:right="452"/>
        <w:rPr>
          <w:color w:val="FF0000"/>
        </w:rPr>
      </w:pPr>
      <w:r w:rsidRPr="00B640DE">
        <w:rPr>
          <w:color w:val="FF0000"/>
        </w:rPr>
        <w:t>Payson City encourages the development of accessory dwelling units. This is evidenced by the fact that the city does not charge impact fees for accessory dwellings units.</w:t>
      </w:r>
    </w:p>
    <w:p w14:paraId="799F7507" w14:textId="174F8115" w:rsidR="00782AF9" w:rsidRPr="00F04681" w:rsidRDefault="004D2004" w:rsidP="00782AF9">
      <w:pPr>
        <w:pStyle w:val="Heading1"/>
        <w:spacing w:before="162" w:line="259" w:lineRule="auto"/>
        <w:ind w:right="441"/>
        <w:rPr>
          <w:color w:val="FF0000"/>
        </w:rPr>
      </w:pPr>
      <w:r w:rsidRPr="00F04681">
        <w:rPr>
          <w:color w:val="FF0000"/>
        </w:rPr>
        <w:t>Strategy Four</w:t>
      </w:r>
      <w:r w:rsidR="00C95BA8" w:rsidRPr="00F04681">
        <w:rPr>
          <w:color w:val="FF0000"/>
        </w:rPr>
        <w:t xml:space="preserve">: Develop and implement zoning incentives for moderate income residential units in new residential and </w:t>
      </w:r>
      <w:r w:rsidR="00FA592C" w:rsidRPr="00F04681">
        <w:rPr>
          <w:color w:val="FF0000"/>
        </w:rPr>
        <w:t>mixed-use</w:t>
      </w:r>
      <w:r w:rsidR="00C95BA8" w:rsidRPr="00F04681">
        <w:rPr>
          <w:color w:val="FF0000"/>
        </w:rPr>
        <w:t xml:space="preserve"> developments.</w:t>
      </w:r>
    </w:p>
    <w:p w14:paraId="62CAEE38" w14:textId="6BB626FD" w:rsidR="00B562FD" w:rsidRPr="00F04681" w:rsidRDefault="00B562FD" w:rsidP="00782AF9">
      <w:pPr>
        <w:pStyle w:val="Heading1"/>
        <w:spacing w:before="162" w:line="259" w:lineRule="auto"/>
        <w:ind w:right="441"/>
        <w:rPr>
          <w:b w:val="0"/>
          <w:bCs w:val="0"/>
          <w:color w:val="FF0000"/>
          <w:sz w:val="22"/>
          <w:szCs w:val="22"/>
        </w:rPr>
      </w:pPr>
      <w:r w:rsidRPr="00F04681">
        <w:rPr>
          <w:b w:val="0"/>
          <w:bCs w:val="0"/>
          <w:color w:val="FF0000"/>
          <w:sz w:val="22"/>
          <w:szCs w:val="22"/>
        </w:rPr>
        <w:t>Payson City has seen a lot of growth over the las several years. Many times, development requests have come to the city seeking additional density or mixed-use land designations. City staff are very interested in developing an incentives package for development requests within the city.</w:t>
      </w:r>
    </w:p>
    <w:p w14:paraId="708F0B97" w14:textId="48BA870C" w:rsidR="00B562FD" w:rsidRPr="00F04681" w:rsidRDefault="00B562FD" w:rsidP="00782AF9">
      <w:pPr>
        <w:pStyle w:val="Heading1"/>
        <w:spacing w:before="162" w:line="259" w:lineRule="auto"/>
        <w:ind w:right="441"/>
        <w:rPr>
          <w:b w:val="0"/>
          <w:bCs w:val="0"/>
          <w:color w:val="FF0000"/>
          <w:sz w:val="22"/>
          <w:szCs w:val="22"/>
        </w:rPr>
      </w:pPr>
      <w:r w:rsidRPr="00F04681">
        <w:rPr>
          <w:b w:val="0"/>
          <w:bCs w:val="0"/>
          <w:color w:val="FF0000"/>
          <w:sz w:val="22"/>
          <w:szCs w:val="22"/>
        </w:rPr>
        <w:t>Implementation:</w:t>
      </w:r>
    </w:p>
    <w:p w14:paraId="25889EEF" w14:textId="23C386C5" w:rsidR="00B562FD" w:rsidRPr="00F04681" w:rsidRDefault="00B562FD" w:rsidP="00B562FD">
      <w:pPr>
        <w:pStyle w:val="Heading1"/>
        <w:numPr>
          <w:ilvl w:val="0"/>
          <w:numId w:val="4"/>
        </w:numPr>
        <w:spacing w:before="162" w:line="259" w:lineRule="auto"/>
        <w:ind w:right="441"/>
        <w:rPr>
          <w:b w:val="0"/>
          <w:bCs w:val="0"/>
          <w:color w:val="FF0000"/>
          <w:sz w:val="22"/>
          <w:szCs w:val="22"/>
        </w:rPr>
      </w:pPr>
      <w:r w:rsidRPr="00F04681">
        <w:rPr>
          <w:b w:val="0"/>
          <w:bCs w:val="0"/>
          <w:color w:val="FF0000"/>
          <w:sz w:val="22"/>
          <w:szCs w:val="22"/>
        </w:rPr>
        <w:t>A land use code revision process has begun with the planning commission to identify portions of the city zoning code that need to be revised. One</w:t>
      </w:r>
      <w:r w:rsidR="0059024D" w:rsidRPr="00F04681">
        <w:rPr>
          <w:b w:val="0"/>
          <w:bCs w:val="0"/>
          <w:color w:val="FF0000"/>
          <w:sz w:val="22"/>
          <w:szCs w:val="22"/>
        </w:rPr>
        <w:t xml:space="preserve"> portion of the code that is lacking is zoning incentives for increased density, amenities, and public utilities. As mentioned in Strategy 3 above a Request for Proposal will be posted in 2025 seeking consulting services to rewrite the Payson City Code. An emphasis on density bonuses </w:t>
      </w:r>
      <w:r w:rsidR="008D3C23" w:rsidRPr="00F04681">
        <w:rPr>
          <w:b w:val="0"/>
          <w:bCs w:val="0"/>
          <w:color w:val="FF0000"/>
          <w:sz w:val="22"/>
          <w:szCs w:val="22"/>
        </w:rPr>
        <w:t>should</w:t>
      </w:r>
      <w:r w:rsidR="0059024D" w:rsidRPr="00F04681">
        <w:rPr>
          <w:b w:val="0"/>
          <w:bCs w:val="0"/>
          <w:color w:val="FF0000"/>
          <w:sz w:val="22"/>
          <w:szCs w:val="22"/>
        </w:rPr>
        <w:t xml:space="preserve"> also be made to consider incentives for moderate income housing units.</w:t>
      </w:r>
    </w:p>
    <w:p w14:paraId="6FEEA287" w14:textId="1A9FDA4B" w:rsidR="0059024D" w:rsidRDefault="0059024D" w:rsidP="00B562FD">
      <w:pPr>
        <w:pStyle w:val="Heading1"/>
        <w:numPr>
          <w:ilvl w:val="0"/>
          <w:numId w:val="4"/>
        </w:numPr>
        <w:spacing w:before="162" w:line="259" w:lineRule="auto"/>
        <w:ind w:right="441"/>
        <w:rPr>
          <w:b w:val="0"/>
          <w:bCs w:val="0"/>
          <w:color w:val="FF0000"/>
          <w:sz w:val="22"/>
          <w:szCs w:val="22"/>
        </w:rPr>
      </w:pPr>
      <w:r w:rsidRPr="00F04681">
        <w:rPr>
          <w:b w:val="0"/>
          <w:bCs w:val="0"/>
          <w:color w:val="FF0000"/>
          <w:sz w:val="22"/>
          <w:szCs w:val="22"/>
        </w:rPr>
        <w:lastRenderedPageBreak/>
        <w:t xml:space="preserve">Staff meet regularly with prospective developers, who ask what will be necessary to implement and build various development proposals. One ask that staff </w:t>
      </w:r>
      <w:r w:rsidR="00F04681" w:rsidRPr="00F04681">
        <w:rPr>
          <w:b w:val="0"/>
          <w:bCs w:val="0"/>
          <w:color w:val="FF0000"/>
          <w:sz w:val="22"/>
          <w:szCs w:val="22"/>
        </w:rPr>
        <w:t>often</w:t>
      </w:r>
      <w:r w:rsidRPr="00F04681">
        <w:rPr>
          <w:b w:val="0"/>
          <w:bCs w:val="0"/>
          <w:color w:val="FF0000"/>
          <w:sz w:val="22"/>
          <w:szCs w:val="22"/>
        </w:rPr>
        <w:t xml:space="preserve"> make as part of development approvals includes the development of “whole communities” in which people can age in place, while having the flexibility of “moving up or down” in their choices of housing availability. These choices include choices of affordability and lifestyle</w:t>
      </w:r>
      <w:r w:rsidR="00F04681" w:rsidRPr="00F04681">
        <w:rPr>
          <w:b w:val="0"/>
          <w:bCs w:val="0"/>
          <w:color w:val="FF0000"/>
          <w:sz w:val="22"/>
          <w:szCs w:val="22"/>
        </w:rPr>
        <w:t xml:space="preserve"> within a community. Codifying zoning incentives can help bring clarity to </w:t>
      </w:r>
      <w:r w:rsidR="00E45090" w:rsidRPr="00F04681">
        <w:rPr>
          <w:b w:val="0"/>
          <w:bCs w:val="0"/>
          <w:color w:val="FF0000"/>
          <w:sz w:val="22"/>
          <w:szCs w:val="22"/>
        </w:rPr>
        <w:t>developers</w:t>
      </w:r>
      <w:r w:rsidR="00F04681" w:rsidRPr="00F04681">
        <w:rPr>
          <w:b w:val="0"/>
          <w:bCs w:val="0"/>
          <w:color w:val="FF0000"/>
          <w:sz w:val="22"/>
          <w:szCs w:val="22"/>
        </w:rPr>
        <w:t xml:space="preserve"> and city council and staff.</w:t>
      </w:r>
    </w:p>
    <w:p w14:paraId="269EE5F3" w14:textId="29C0E885" w:rsidR="00B64DF6" w:rsidRPr="00F04681" w:rsidRDefault="00B64DF6" w:rsidP="00B562FD">
      <w:pPr>
        <w:pStyle w:val="Heading1"/>
        <w:numPr>
          <w:ilvl w:val="0"/>
          <w:numId w:val="4"/>
        </w:numPr>
        <w:spacing w:before="162" w:line="259" w:lineRule="auto"/>
        <w:ind w:right="441"/>
        <w:rPr>
          <w:b w:val="0"/>
          <w:bCs w:val="0"/>
          <w:color w:val="FF0000"/>
          <w:sz w:val="22"/>
          <w:szCs w:val="22"/>
        </w:rPr>
      </w:pPr>
      <w:r>
        <w:rPr>
          <w:b w:val="0"/>
          <w:bCs w:val="0"/>
          <w:color w:val="FF0000"/>
          <w:sz w:val="22"/>
          <w:szCs w:val="22"/>
        </w:rPr>
        <w:t xml:space="preserve">Explore the receptiveness to establishing annual meetings with surrounding communities to know and understand how to best meet each municipality’s </w:t>
      </w:r>
      <w:r w:rsidR="008D3C23">
        <w:rPr>
          <w:b w:val="0"/>
          <w:bCs w:val="0"/>
          <w:color w:val="FF0000"/>
          <w:sz w:val="22"/>
          <w:szCs w:val="22"/>
        </w:rPr>
        <w:t>moderate-income</w:t>
      </w:r>
      <w:r>
        <w:rPr>
          <w:b w:val="0"/>
          <w:bCs w:val="0"/>
          <w:color w:val="FF0000"/>
          <w:sz w:val="22"/>
          <w:szCs w:val="22"/>
        </w:rPr>
        <w:t xml:space="preserve"> plans and coordinate on a regional scale.</w:t>
      </w:r>
    </w:p>
    <w:p w14:paraId="6E129AB7" w14:textId="6017D1AD" w:rsidR="00C95BA8" w:rsidRPr="00B64DF6" w:rsidRDefault="00C95BA8" w:rsidP="00782AF9">
      <w:pPr>
        <w:pStyle w:val="Heading1"/>
        <w:spacing w:before="162" w:line="259" w:lineRule="auto"/>
        <w:ind w:right="441"/>
        <w:rPr>
          <w:color w:val="FF0000"/>
        </w:rPr>
      </w:pPr>
      <w:r w:rsidRPr="00B64DF6">
        <w:rPr>
          <w:color w:val="FF0000"/>
        </w:rPr>
        <w:t xml:space="preserve">Strategy Five: </w:t>
      </w:r>
      <w:r w:rsidR="00FA592C" w:rsidRPr="00B64DF6">
        <w:rPr>
          <w:color w:val="FF0000"/>
        </w:rPr>
        <w:t>Apply for, or partner with an entity that applies for state and/or federal funds or tax incentives to promote the construction of moderate-income housing.</w:t>
      </w:r>
    </w:p>
    <w:p w14:paraId="01CEC6E1" w14:textId="0B586AC7" w:rsidR="00B562FD" w:rsidRDefault="00B64DF6" w:rsidP="00F04681">
      <w:pPr>
        <w:pStyle w:val="Heading1"/>
        <w:spacing w:before="162" w:line="259" w:lineRule="auto"/>
        <w:ind w:right="441"/>
        <w:rPr>
          <w:b w:val="0"/>
          <w:bCs w:val="0"/>
          <w:color w:val="FF0000"/>
          <w:sz w:val="22"/>
          <w:szCs w:val="22"/>
        </w:rPr>
      </w:pPr>
      <w:r>
        <w:rPr>
          <w:b w:val="0"/>
          <w:bCs w:val="0"/>
          <w:color w:val="FF0000"/>
          <w:sz w:val="22"/>
          <w:szCs w:val="22"/>
        </w:rPr>
        <w:t>Implementation:</w:t>
      </w:r>
    </w:p>
    <w:p w14:paraId="1A4A98C4" w14:textId="5F1AD358" w:rsidR="00B64DF6" w:rsidRDefault="00B64DF6" w:rsidP="00B64DF6">
      <w:pPr>
        <w:pStyle w:val="Heading1"/>
        <w:numPr>
          <w:ilvl w:val="0"/>
          <w:numId w:val="4"/>
        </w:numPr>
        <w:spacing w:before="162" w:line="259" w:lineRule="auto"/>
        <w:ind w:right="441"/>
        <w:rPr>
          <w:b w:val="0"/>
          <w:bCs w:val="0"/>
          <w:color w:val="FF0000"/>
          <w:sz w:val="22"/>
          <w:szCs w:val="22"/>
        </w:rPr>
      </w:pPr>
      <w:r>
        <w:rPr>
          <w:b w:val="0"/>
          <w:bCs w:val="0"/>
          <w:color w:val="FF0000"/>
          <w:sz w:val="22"/>
          <w:szCs w:val="22"/>
        </w:rPr>
        <w:t>Identify possible entities and partners to provide tax incentives and funding mechanisms for moderate income housing.</w:t>
      </w:r>
    </w:p>
    <w:p w14:paraId="38719F80" w14:textId="26E98901" w:rsidR="00B64DF6" w:rsidRDefault="00B64DF6" w:rsidP="00B64DF6">
      <w:pPr>
        <w:pStyle w:val="Heading1"/>
        <w:numPr>
          <w:ilvl w:val="0"/>
          <w:numId w:val="4"/>
        </w:numPr>
        <w:spacing w:before="162" w:line="259" w:lineRule="auto"/>
        <w:ind w:right="441"/>
        <w:rPr>
          <w:b w:val="0"/>
          <w:bCs w:val="0"/>
          <w:color w:val="FF0000"/>
          <w:sz w:val="22"/>
          <w:szCs w:val="22"/>
        </w:rPr>
      </w:pPr>
      <w:r>
        <w:rPr>
          <w:b w:val="0"/>
          <w:bCs w:val="0"/>
          <w:color w:val="FF0000"/>
          <w:sz w:val="22"/>
          <w:szCs w:val="22"/>
        </w:rPr>
        <w:t xml:space="preserve">Draft strategies with identified partners to provide tax incentives and other funding mechanisms for the construction of </w:t>
      </w:r>
      <w:r w:rsidR="008D3C23">
        <w:rPr>
          <w:b w:val="0"/>
          <w:bCs w:val="0"/>
          <w:color w:val="FF0000"/>
          <w:sz w:val="22"/>
          <w:szCs w:val="22"/>
        </w:rPr>
        <w:t>moderate-income</w:t>
      </w:r>
      <w:r>
        <w:rPr>
          <w:b w:val="0"/>
          <w:bCs w:val="0"/>
          <w:color w:val="FF0000"/>
          <w:sz w:val="22"/>
          <w:szCs w:val="22"/>
        </w:rPr>
        <w:t xml:space="preserve"> housing.</w:t>
      </w:r>
    </w:p>
    <w:p w14:paraId="73AC854F" w14:textId="2C1330C0" w:rsidR="00B64DF6" w:rsidRPr="004440F9" w:rsidRDefault="00B64DF6" w:rsidP="004440F9">
      <w:pPr>
        <w:pStyle w:val="Heading1"/>
        <w:numPr>
          <w:ilvl w:val="0"/>
          <w:numId w:val="4"/>
        </w:numPr>
        <w:spacing w:before="162" w:line="259" w:lineRule="auto"/>
        <w:ind w:right="441"/>
        <w:rPr>
          <w:b w:val="0"/>
          <w:bCs w:val="0"/>
          <w:color w:val="FF0000"/>
          <w:sz w:val="22"/>
          <w:szCs w:val="22"/>
        </w:rPr>
      </w:pPr>
      <w:r>
        <w:rPr>
          <w:b w:val="0"/>
          <w:bCs w:val="0"/>
          <w:color w:val="FF0000"/>
          <w:sz w:val="22"/>
          <w:szCs w:val="22"/>
        </w:rPr>
        <w:t xml:space="preserve">Explore the receptiveness to establishing annual meetings with surrounding communities to know and understand how to best meet each municipality’s </w:t>
      </w:r>
      <w:r w:rsidR="008D3C23">
        <w:rPr>
          <w:b w:val="0"/>
          <w:bCs w:val="0"/>
          <w:color w:val="FF0000"/>
          <w:sz w:val="22"/>
          <w:szCs w:val="22"/>
        </w:rPr>
        <w:t>moderate-income</w:t>
      </w:r>
      <w:r>
        <w:rPr>
          <w:b w:val="0"/>
          <w:bCs w:val="0"/>
          <w:color w:val="FF0000"/>
          <w:sz w:val="22"/>
          <w:szCs w:val="22"/>
        </w:rPr>
        <w:t xml:space="preserve"> plans and coordinate on a regional scale. Utilize these meetings to coordinate with regional, state and federal entities</w:t>
      </w:r>
    </w:p>
    <w:p w14:paraId="33359A1B" w14:textId="55657FD7" w:rsidR="00F04681" w:rsidRPr="00E45090" w:rsidRDefault="00F04681" w:rsidP="00F04681">
      <w:pPr>
        <w:pStyle w:val="Heading1"/>
        <w:spacing w:before="162" w:line="259" w:lineRule="auto"/>
        <w:ind w:right="441"/>
        <w:rPr>
          <w:color w:val="FF0000"/>
        </w:rPr>
      </w:pPr>
      <w:r w:rsidRPr="00E45090">
        <w:rPr>
          <w:color w:val="FF0000"/>
        </w:rPr>
        <w:t xml:space="preserve">Strategy Six: Develop and adopt a station area plan in accordance with Section 10-9a-403-1 of </w:t>
      </w:r>
      <w:r w:rsidR="00E45090" w:rsidRPr="00E45090">
        <w:rPr>
          <w:color w:val="FF0000"/>
        </w:rPr>
        <w:t>the Utah</w:t>
      </w:r>
      <w:r w:rsidRPr="00E45090">
        <w:rPr>
          <w:color w:val="FF0000"/>
        </w:rPr>
        <w:t xml:space="preserve"> State Code.</w:t>
      </w:r>
    </w:p>
    <w:p w14:paraId="2A65C85D" w14:textId="04CFA8C5" w:rsidR="00F04681" w:rsidRPr="00E45090" w:rsidRDefault="00F04681" w:rsidP="00F04681">
      <w:pPr>
        <w:pStyle w:val="Heading1"/>
        <w:spacing w:before="162" w:line="259" w:lineRule="auto"/>
        <w:ind w:right="441"/>
        <w:rPr>
          <w:b w:val="0"/>
          <w:bCs w:val="0"/>
          <w:color w:val="FF0000"/>
          <w:sz w:val="22"/>
          <w:szCs w:val="22"/>
        </w:rPr>
      </w:pPr>
      <w:r w:rsidRPr="00E45090">
        <w:rPr>
          <w:b w:val="0"/>
          <w:bCs w:val="0"/>
          <w:color w:val="FF0000"/>
          <w:sz w:val="22"/>
          <w:szCs w:val="22"/>
        </w:rPr>
        <w:t>Payson City has been working with Utah Transit Authority (UTA) and a private consultant to develop a station area plan over the last few years. With the UTA Commuter Rail stop being identified within Payson City, this plan has become a priority.</w:t>
      </w:r>
    </w:p>
    <w:p w14:paraId="64A1A3B9" w14:textId="722AD822" w:rsidR="00F04681" w:rsidRPr="00E45090" w:rsidRDefault="00F04681" w:rsidP="00F04681">
      <w:pPr>
        <w:pStyle w:val="Heading1"/>
        <w:spacing w:before="162" w:line="259" w:lineRule="auto"/>
        <w:ind w:right="441"/>
        <w:rPr>
          <w:b w:val="0"/>
          <w:bCs w:val="0"/>
          <w:color w:val="FF0000"/>
          <w:sz w:val="22"/>
          <w:szCs w:val="22"/>
        </w:rPr>
      </w:pPr>
      <w:r w:rsidRPr="00E45090">
        <w:rPr>
          <w:b w:val="0"/>
          <w:bCs w:val="0"/>
          <w:color w:val="FF0000"/>
          <w:sz w:val="22"/>
          <w:szCs w:val="22"/>
        </w:rPr>
        <w:t>Implementation:</w:t>
      </w:r>
    </w:p>
    <w:p w14:paraId="2AAC2327" w14:textId="77B44E31" w:rsidR="00F04681" w:rsidRPr="00E45090" w:rsidRDefault="00F04681" w:rsidP="00F04681">
      <w:pPr>
        <w:pStyle w:val="Heading1"/>
        <w:numPr>
          <w:ilvl w:val="0"/>
          <w:numId w:val="5"/>
        </w:numPr>
        <w:spacing w:before="162" w:line="259" w:lineRule="auto"/>
        <w:ind w:right="441"/>
        <w:rPr>
          <w:b w:val="0"/>
          <w:bCs w:val="0"/>
          <w:color w:val="FF0000"/>
          <w:sz w:val="22"/>
          <w:szCs w:val="22"/>
        </w:rPr>
      </w:pPr>
      <w:r w:rsidRPr="00E45090">
        <w:rPr>
          <w:b w:val="0"/>
          <w:bCs w:val="0"/>
          <w:color w:val="FF0000"/>
          <w:sz w:val="22"/>
          <w:szCs w:val="22"/>
        </w:rPr>
        <w:t>The Payson City Station Area Plan has been under development for the last few years. It is anticipated that the plan will be adopted in</w:t>
      </w:r>
      <w:r w:rsidR="00E45090" w:rsidRPr="00E45090">
        <w:rPr>
          <w:b w:val="0"/>
          <w:bCs w:val="0"/>
          <w:color w:val="FF0000"/>
          <w:sz w:val="22"/>
          <w:szCs w:val="22"/>
        </w:rPr>
        <w:t xml:space="preserve"> the middle of 2025.</w:t>
      </w:r>
    </w:p>
    <w:p w14:paraId="41E796B3" w14:textId="73819094" w:rsidR="00E45090" w:rsidRPr="00E45090" w:rsidRDefault="00E45090" w:rsidP="00F04681">
      <w:pPr>
        <w:pStyle w:val="Heading1"/>
        <w:numPr>
          <w:ilvl w:val="0"/>
          <w:numId w:val="5"/>
        </w:numPr>
        <w:spacing w:before="162" w:line="259" w:lineRule="auto"/>
        <w:ind w:right="441"/>
        <w:rPr>
          <w:b w:val="0"/>
          <w:bCs w:val="0"/>
          <w:color w:val="FF0000"/>
          <w:sz w:val="22"/>
          <w:szCs w:val="22"/>
        </w:rPr>
      </w:pPr>
      <w:r w:rsidRPr="00E45090">
        <w:rPr>
          <w:b w:val="0"/>
          <w:bCs w:val="0"/>
          <w:color w:val="FF0000"/>
          <w:sz w:val="22"/>
          <w:szCs w:val="22"/>
        </w:rPr>
        <w:t>Payson City has received funding from Utah Department of Transportation UDOT for the construction of a new I-15 interchange. This interchange will be near the UTA commuter rail stop identified in the Payson Station Area Plan. This funding and planning for the interchange will further emphasize the adoption of the Payson Station Area Plan and allow for further planning and refinement of the area as engineering and planning are done for interchange improvements.</w:t>
      </w:r>
    </w:p>
    <w:p w14:paraId="0F04BFCF" w14:textId="41C7ED8F" w:rsidR="00B562FD" w:rsidRPr="00C35374" w:rsidRDefault="00FA592C" w:rsidP="00782AF9">
      <w:pPr>
        <w:pStyle w:val="Heading1"/>
        <w:spacing w:before="162" w:line="259" w:lineRule="auto"/>
        <w:ind w:right="441"/>
        <w:rPr>
          <w:color w:val="FF0000"/>
        </w:rPr>
      </w:pPr>
      <w:r w:rsidRPr="00C35374">
        <w:rPr>
          <w:color w:val="FF0000"/>
        </w:rPr>
        <w:t xml:space="preserve">Strategy </w:t>
      </w:r>
      <w:r w:rsidR="00F04681" w:rsidRPr="00C35374">
        <w:rPr>
          <w:color w:val="FF0000"/>
        </w:rPr>
        <w:t>Seven</w:t>
      </w:r>
      <w:r w:rsidRPr="00C35374">
        <w:rPr>
          <w:color w:val="FF0000"/>
        </w:rPr>
        <w:t>: Consider the creation and implementation of a housing and transit reinvestment zone</w:t>
      </w:r>
      <w:r w:rsidR="00B562FD" w:rsidRPr="00C35374">
        <w:rPr>
          <w:color w:val="FF0000"/>
        </w:rPr>
        <w:t>.</w:t>
      </w:r>
    </w:p>
    <w:p w14:paraId="2CD9DEF7" w14:textId="4371FDB6" w:rsidR="00B562FD" w:rsidRDefault="00C35374" w:rsidP="00782AF9">
      <w:pPr>
        <w:pStyle w:val="Heading1"/>
        <w:spacing w:before="162" w:line="259" w:lineRule="auto"/>
        <w:ind w:right="441"/>
        <w:rPr>
          <w:b w:val="0"/>
          <w:bCs w:val="0"/>
          <w:color w:val="FF0000"/>
          <w:sz w:val="22"/>
          <w:szCs w:val="22"/>
        </w:rPr>
      </w:pPr>
      <w:r>
        <w:rPr>
          <w:b w:val="0"/>
          <w:bCs w:val="0"/>
          <w:color w:val="FF0000"/>
          <w:sz w:val="22"/>
          <w:szCs w:val="22"/>
        </w:rPr>
        <w:t>Implementation:</w:t>
      </w:r>
    </w:p>
    <w:p w14:paraId="0EEA99FD" w14:textId="703F7DF2" w:rsidR="00C35374" w:rsidRDefault="00C35374" w:rsidP="00C35374">
      <w:pPr>
        <w:pStyle w:val="Heading1"/>
        <w:numPr>
          <w:ilvl w:val="0"/>
          <w:numId w:val="7"/>
        </w:numPr>
        <w:spacing w:before="162" w:line="259" w:lineRule="auto"/>
        <w:ind w:right="441"/>
        <w:rPr>
          <w:b w:val="0"/>
          <w:bCs w:val="0"/>
          <w:color w:val="FF0000"/>
          <w:sz w:val="22"/>
          <w:szCs w:val="22"/>
        </w:rPr>
      </w:pPr>
      <w:r>
        <w:rPr>
          <w:b w:val="0"/>
          <w:bCs w:val="0"/>
          <w:color w:val="FF0000"/>
          <w:sz w:val="22"/>
          <w:szCs w:val="22"/>
        </w:rPr>
        <w:t xml:space="preserve">Research and evaluate the requirements necessary to </w:t>
      </w:r>
      <w:r w:rsidR="004440F9">
        <w:rPr>
          <w:b w:val="0"/>
          <w:bCs w:val="0"/>
          <w:color w:val="FF0000"/>
          <w:sz w:val="22"/>
          <w:szCs w:val="22"/>
        </w:rPr>
        <w:t>implement</w:t>
      </w:r>
      <w:r>
        <w:rPr>
          <w:b w:val="0"/>
          <w:bCs w:val="0"/>
          <w:color w:val="FF0000"/>
          <w:sz w:val="22"/>
          <w:szCs w:val="22"/>
        </w:rPr>
        <w:t xml:space="preserve"> a housing and transit reinvestment zone.</w:t>
      </w:r>
    </w:p>
    <w:p w14:paraId="66E8C480" w14:textId="6E7D2CCB" w:rsidR="00C35374" w:rsidRDefault="00C35374" w:rsidP="00C35374">
      <w:pPr>
        <w:pStyle w:val="Heading1"/>
        <w:numPr>
          <w:ilvl w:val="0"/>
          <w:numId w:val="7"/>
        </w:numPr>
        <w:spacing w:before="162" w:line="259" w:lineRule="auto"/>
        <w:ind w:right="441"/>
        <w:rPr>
          <w:b w:val="0"/>
          <w:bCs w:val="0"/>
          <w:color w:val="FF0000"/>
          <w:sz w:val="22"/>
          <w:szCs w:val="22"/>
        </w:rPr>
      </w:pPr>
      <w:r>
        <w:rPr>
          <w:b w:val="0"/>
          <w:bCs w:val="0"/>
          <w:color w:val="FF0000"/>
          <w:sz w:val="22"/>
          <w:szCs w:val="22"/>
        </w:rPr>
        <w:t xml:space="preserve">Coordinate with the planning commission, city council and staff on the feasibility of implementing a housing and transit reinvestment (HTRZ) zone. This will be done through multiple planning </w:t>
      </w:r>
      <w:r>
        <w:rPr>
          <w:b w:val="0"/>
          <w:bCs w:val="0"/>
          <w:color w:val="FF0000"/>
          <w:sz w:val="22"/>
          <w:szCs w:val="22"/>
        </w:rPr>
        <w:lastRenderedPageBreak/>
        <w:t>commission meetings and city council work sessions throughout the 2025 calendar year. To receive feedback on concerns and opportunities in implementing the zone.</w:t>
      </w:r>
    </w:p>
    <w:p w14:paraId="68EA6F0A" w14:textId="1D796293" w:rsidR="00C35374" w:rsidRPr="00F04681" w:rsidRDefault="00C35374" w:rsidP="00C35374">
      <w:pPr>
        <w:pStyle w:val="Heading1"/>
        <w:numPr>
          <w:ilvl w:val="0"/>
          <w:numId w:val="7"/>
        </w:numPr>
        <w:spacing w:before="162" w:line="259" w:lineRule="auto"/>
        <w:ind w:right="441"/>
        <w:rPr>
          <w:b w:val="0"/>
          <w:bCs w:val="0"/>
          <w:color w:val="FF0000"/>
          <w:sz w:val="22"/>
          <w:szCs w:val="22"/>
        </w:rPr>
      </w:pPr>
      <w:r>
        <w:rPr>
          <w:b w:val="0"/>
          <w:bCs w:val="0"/>
          <w:color w:val="FF0000"/>
          <w:sz w:val="22"/>
          <w:szCs w:val="22"/>
        </w:rPr>
        <w:t>If the planning commission and city council desire to move forward with the creation of this zone staff will begin the process of data gathering and drafting a proposed ordinance amendment to implement the zone within the Payson City Zoning Code. We anticipate this process would involve most of the calendar year 2026.</w:t>
      </w:r>
    </w:p>
    <w:p w14:paraId="4F88F224" w14:textId="1521F383" w:rsidR="00FA592C" w:rsidRPr="001D5DCE" w:rsidRDefault="00B562FD" w:rsidP="00782AF9">
      <w:pPr>
        <w:pStyle w:val="Heading1"/>
        <w:spacing w:before="162" w:line="259" w:lineRule="auto"/>
        <w:ind w:right="441"/>
        <w:rPr>
          <w:color w:val="FF0000"/>
        </w:rPr>
      </w:pPr>
      <w:r w:rsidRPr="001D5DCE">
        <w:rPr>
          <w:color w:val="FF0000"/>
        </w:rPr>
        <w:t xml:space="preserve">Strategy </w:t>
      </w:r>
      <w:r w:rsidR="00F04681" w:rsidRPr="001D5DCE">
        <w:rPr>
          <w:color w:val="FF0000"/>
        </w:rPr>
        <w:t>Eight</w:t>
      </w:r>
      <w:r w:rsidRPr="001D5DCE">
        <w:rPr>
          <w:color w:val="FF0000"/>
        </w:rPr>
        <w:t>: Consider the creation and adoption of</w:t>
      </w:r>
      <w:r w:rsidR="00FA592C" w:rsidRPr="001D5DCE">
        <w:rPr>
          <w:color w:val="FF0000"/>
        </w:rPr>
        <w:t xml:space="preserve"> a home ownership promotion zone</w:t>
      </w:r>
      <w:r w:rsidRPr="001D5DCE">
        <w:rPr>
          <w:color w:val="FF0000"/>
        </w:rPr>
        <w:t xml:space="preserve"> and/or a first home investment zone.</w:t>
      </w:r>
    </w:p>
    <w:p w14:paraId="7A8ABAB0" w14:textId="4494B974" w:rsidR="00B562FD" w:rsidRPr="001D5DCE" w:rsidRDefault="00B562FD" w:rsidP="00782AF9">
      <w:pPr>
        <w:pStyle w:val="Heading1"/>
        <w:spacing w:before="162" w:line="259" w:lineRule="auto"/>
        <w:ind w:right="441"/>
        <w:rPr>
          <w:b w:val="0"/>
          <w:bCs w:val="0"/>
          <w:color w:val="FF0000"/>
          <w:sz w:val="22"/>
          <w:szCs w:val="22"/>
        </w:rPr>
      </w:pPr>
      <w:r w:rsidRPr="001D5DCE">
        <w:rPr>
          <w:b w:val="0"/>
          <w:bCs w:val="0"/>
          <w:color w:val="FF0000"/>
          <w:sz w:val="22"/>
          <w:szCs w:val="22"/>
        </w:rPr>
        <w:t xml:space="preserve">Payson City </w:t>
      </w:r>
      <w:r w:rsidR="00CA6757" w:rsidRPr="001D5DCE">
        <w:rPr>
          <w:b w:val="0"/>
          <w:bCs w:val="0"/>
          <w:color w:val="FF0000"/>
          <w:sz w:val="22"/>
          <w:szCs w:val="22"/>
        </w:rPr>
        <w:t>has begun a land use code review and revision process. The city seeks to hire a consultant to address the various concerns with the existing code as well as consider new zones and tools to better address the affordable housing needs of the community.</w:t>
      </w:r>
    </w:p>
    <w:p w14:paraId="61176B5E" w14:textId="0E957001" w:rsidR="00CA6757" w:rsidRPr="001D5DCE" w:rsidRDefault="00CA6757" w:rsidP="00782AF9">
      <w:pPr>
        <w:pStyle w:val="Heading1"/>
        <w:spacing w:before="162" w:line="259" w:lineRule="auto"/>
        <w:ind w:right="441"/>
        <w:rPr>
          <w:b w:val="0"/>
          <w:bCs w:val="0"/>
          <w:color w:val="FF0000"/>
          <w:sz w:val="22"/>
          <w:szCs w:val="22"/>
        </w:rPr>
      </w:pPr>
      <w:r w:rsidRPr="001D5DCE">
        <w:rPr>
          <w:b w:val="0"/>
          <w:bCs w:val="0"/>
          <w:color w:val="FF0000"/>
          <w:sz w:val="22"/>
          <w:szCs w:val="22"/>
        </w:rPr>
        <w:t>Implementation:</w:t>
      </w:r>
    </w:p>
    <w:p w14:paraId="20D9815F" w14:textId="50C4AFB5" w:rsidR="00CA6757" w:rsidRDefault="00CA6757" w:rsidP="00CA6757">
      <w:pPr>
        <w:pStyle w:val="Heading1"/>
        <w:numPr>
          <w:ilvl w:val="0"/>
          <w:numId w:val="6"/>
        </w:numPr>
        <w:spacing w:before="162" w:line="259" w:lineRule="auto"/>
        <w:ind w:right="441"/>
        <w:rPr>
          <w:b w:val="0"/>
          <w:bCs w:val="0"/>
          <w:color w:val="FF0000"/>
          <w:sz w:val="22"/>
          <w:szCs w:val="22"/>
        </w:rPr>
      </w:pPr>
      <w:r w:rsidRPr="001D5DCE">
        <w:rPr>
          <w:b w:val="0"/>
          <w:bCs w:val="0"/>
          <w:color w:val="FF0000"/>
          <w:sz w:val="22"/>
          <w:szCs w:val="22"/>
        </w:rPr>
        <w:t>As a part of the Request for Proposals, Payson City will ask that consultants be willing to draft code language for a home ownership promotion zone and a first home investment zone. Both of which will be consistent with state law concerning these types of zones.</w:t>
      </w:r>
    </w:p>
    <w:p w14:paraId="629956C4" w14:textId="27AEF2C3" w:rsidR="00C35374" w:rsidRDefault="00C35374" w:rsidP="00C35374">
      <w:pPr>
        <w:pStyle w:val="Heading1"/>
        <w:numPr>
          <w:ilvl w:val="0"/>
          <w:numId w:val="6"/>
        </w:numPr>
        <w:spacing w:before="162" w:line="259" w:lineRule="auto"/>
        <w:ind w:right="441"/>
        <w:rPr>
          <w:b w:val="0"/>
          <w:bCs w:val="0"/>
          <w:color w:val="FF0000"/>
          <w:sz w:val="22"/>
          <w:szCs w:val="22"/>
        </w:rPr>
      </w:pPr>
      <w:r>
        <w:rPr>
          <w:b w:val="0"/>
          <w:bCs w:val="0"/>
          <w:color w:val="FF0000"/>
          <w:sz w:val="22"/>
          <w:szCs w:val="22"/>
        </w:rPr>
        <w:t xml:space="preserve">Research and evaluate the requirements necessary to </w:t>
      </w:r>
      <w:r w:rsidR="008D3C23">
        <w:rPr>
          <w:b w:val="0"/>
          <w:bCs w:val="0"/>
          <w:color w:val="FF0000"/>
          <w:sz w:val="22"/>
          <w:szCs w:val="22"/>
        </w:rPr>
        <w:t>implement</w:t>
      </w:r>
      <w:r>
        <w:rPr>
          <w:b w:val="0"/>
          <w:bCs w:val="0"/>
          <w:color w:val="FF0000"/>
          <w:sz w:val="22"/>
          <w:szCs w:val="22"/>
        </w:rPr>
        <w:t xml:space="preserve"> a home ownership promotion</w:t>
      </w:r>
      <w:r w:rsidRPr="00C35374">
        <w:rPr>
          <w:b w:val="0"/>
          <w:bCs w:val="0"/>
          <w:color w:val="FF0000"/>
          <w:sz w:val="22"/>
          <w:szCs w:val="22"/>
        </w:rPr>
        <w:t xml:space="preserve"> </w:t>
      </w:r>
      <w:r>
        <w:rPr>
          <w:b w:val="0"/>
          <w:bCs w:val="0"/>
          <w:color w:val="FF0000"/>
          <w:sz w:val="22"/>
          <w:szCs w:val="22"/>
        </w:rPr>
        <w:t>and/or first home investment zone.</w:t>
      </w:r>
    </w:p>
    <w:p w14:paraId="2FA299CF" w14:textId="750D947E" w:rsidR="00C35374" w:rsidRDefault="00C35374" w:rsidP="00C35374">
      <w:pPr>
        <w:pStyle w:val="Heading1"/>
        <w:numPr>
          <w:ilvl w:val="0"/>
          <w:numId w:val="6"/>
        </w:numPr>
        <w:spacing w:before="162" w:line="259" w:lineRule="auto"/>
        <w:ind w:right="441"/>
        <w:rPr>
          <w:b w:val="0"/>
          <w:bCs w:val="0"/>
          <w:color w:val="FF0000"/>
          <w:sz w:val="22"/>
          <w:szCs w:val="22"/>
        </w:rPr>
      </w:pPr>
      <w:r>
        <w:rPr>
          <w:b w:val="0"/>
          <w:bCs w:val="0"/>
          <w:color w:val="FF0000"/>
          <w:sz w:val="22"/>
          <w:szCs w:val="22"/>
        </w:rPr>
        <w:t>Coordinate with the planning commission, city council and staff on the feasibility of implementing a home ownership promotion and/or first home investment zone. This will be done through multiple planning commission meetings and city council work sessions throughout the 2025 calendar year. To receive feedback on concerns and opportunities in implementing the zone.</w:t>
      </w:r>
    </w:p>
    <w:p w14:paraId="19796EB8" w14:textId="4743E358" w:rsidR="00C35374" w:rsidRPr="00C35374" w:rsidRDefault="00C35374" w:rsidP="00C35374">
      <w:pPr>
        <w:pStyle w:val="Heading1"/>
        <w:numPr>
          <w:ilvl w:val="0"/>
          <w:numId w:val="6"/>
        </w:numPr>
        <w:spacing w:before="162" w:line="259" w:lineRule="auto"/>
        <w:ind w:right="441"/>
        <w:rPr>
          <w:b w:val="0"/>
          <w:bCs w:val="0"/>
          <w:color w:val="FF0000"/>
          <w:sz w:val="22"/>
          <w:szCs w:val="22"/>
        </w:rPr>
      </w:pPr>
      <w:r>
        <w:rPr>
          <w:b w:val="0"/>
          <w:bCs w:val="0"/>
          <w:color w:val="FF0000"/>
          <w:sz w:val="22"/>
          <w:szCs w:val="22"/>
        </w:rPr>
        <w:t>If the planning commission and city council desire to move forward with the creation of these zone’s staff will begin the process of data gathering and drafting a proposed ordinance amendment to implement the zone within the Payson City Zoning Code. We anticipate this process would involve most of the calendar year 2026.</w:t>
      </w:r>
    </w:p>
    <w:p w14:paraId="3441AED7" w14:textId="3366FE4C" w:rsidR="00FA592C" w:rsidRPr="001D5DCE" w:rsidRDefault="00FA592C" w:rsidP="00782AF9">
      <w:pPr>
        <w:pStyle w:val="Heading1"/>
        <w:spacing w:before="162" w:line="259" w:lineRule="auto"/>
        <w:ind w:right="441"/>
        <w:rPr>
          <w:color w:val="FF0000"/>
        </w:rPr>
      </w:pPr>
      <w:r w:rsidRPr="001D5DCE">
        <w:rPr>
          <w:color w:val="FF0000"/>
        </w:rPr>
        <w:t xml:space="preserve">Strategy </w:t>
      </w:r>
      <w:r w:rsidR="00F04681" w:rsidRPr="001D5DCE">
        <w:rPr>
          <w:color w:val="FF0000"/>
        </w:rPr>
        <w:t>Nine</w:t>
      </w:r>
      <w:r w:rsidRPr="001D5DCE">
        <w:rPr>
          <w:color w:val="FF0000"/>
        </w:rPr>
        <w:t xml:space="preserve">: Consider the creation of the reduction of regulations </w:t>
      </w:r>
      <w:r w:rsidR="00B562FD" w:rsidRPr="001D5DCE">
        <w:rPr>
          <w:color w:val="FF0000"/>
        </w:rPr>
        <w:t>related</w:t>
      </w:r>
      <w:r w:rsidRPr="001D5DCE">
        <w:rPr>
          <w:color w:val="FF0000"/>
        </w:rPr>
        <w:t xml:space="preserve"> </w:t>
      </w:r>
      <w:r w:rsidR="00B562FD" w:rsidRPr="001D5DCE">
        <w:rPr>
          <w:color w:val="FF0000"/>
        </w:rPr>
        <w:t xml:space="preserve">to </w:t>
      </w:r>
      <w:r w:rsidRPr="001D5DCE">
        <w:rPr>
          <w:color w:val="FF0000"/>
        </w:rPr>
        <w:t>multifamily residential dwellings that are compatible in scale and form with detached single-family residential dwellings within areas that are part of walkable communities.</w:t>
      </w:r>
    </w:p>
    <w:p w14:paraId="3C0CC894" w14:textId="3F5D0812" w:rsidR="00B562FD" w:rsidRPr="001D5DCE" w:rsidRDefault="00B562FD" w:rsidP="00782AF9">
      <w:pPr>
        <w:pStyle w:val="Heading1"/>
        <w:spacing w:before="162" w:line="259" w:lineRule="auto"/>
        <w:ind w:right="441"/>
        <w:rPr>
          <w:b w:val="0"/>
          <w:bCs w:val="0"/>
          <w:color w:val="FF0000"/>
          <w:sz w:val="22"/>
          <w:szCs w:val="22"/>
        </w:rPr>
      </w:pPr>
      <w:r w:rsidRPr="001D5DCE">
        <w:rPr>
          <w:b w:val="0"/>
          <w:bCs w:val="0"/>
          <w:color w:val="FF0000"/>
          <w:sz w:val="22"/>
          <w:szCs w:val="22"/>
        </w:rPr>
        <w:t xml:space="preserve">Payson City </w:t>
      </w:r>
      <w:r w:rsidR="00CA6757" w:rsidRPr="001D5DCE">
        <w:rPr>
          <w:b w:val="0"/>
          <w:bCs w:val="0"/>
          <w:color w:val="FF0000"/>
          <w:sz w:val="22"/>
          <w:szCs w:val="22"/>
        </w:rPr>
        <w:t>has always had the approach of creating neighborhoods and not just subdivisions. Integration of</w:t>
      </w:r>
      <w:r w:rsidRPr="001D5DCE">
        <w:rPr>
          <w:b w:val="0"/>
          <w:bCs w:val="0"/>
          <w:color w:val="FF0000"/>
          <w:sz w:val="22"/>
          <w:szCs w:val="22"/>
        </w:rPr>
        <w:t xml:space="preserve"> appropriate</w:t>
      </w:r>
      <w:r w:rsidR="00CA6757" w:rsidRPr="001D5DCE">
        <w:rPr>
          <w:b w:val="0"/>
          <w:bCs w:val="0"/>
          <w:color w:val="FF0000"/>
          <w:sz w:val="22"/>
          <w:szCs w:val="22"/>
        </w:rPr>
        <w:t>ly scaled multi-family residential developments within single-family zones</w:t>
      </w:r>
      <w:r w:rsidR="008915BE" w:rsidRPr="001D5DCE">
        <w:rPr>
          <w:b w:val="0"/>
          <w:bCs w:val="0"/>
          <w:color w:val="FF0000"/>
          <w:sz w:val="22"/>
          <w:szCs w:val="22"/>
        </w:rPr>
        <w:t xml:space="preserve"> makes sense as part of a “traditional neighborhood’. Traditional neighborhoods </w:t>
      </w:r>
      <w:r w:rsidR="00C35374" w:rsidRPr="001D5DCE">
        <w:rPr>
          <w:b w:val="0"/>
          <w:bCs w:val="0"/>
          <w:color w:val="FF0000"/>
          <w:sz w:val="22"/>
          <w:szCs w:val="22"/>
        </w:rPr>
        <w:t>allow</w:t>
      </w:r>
      <w:r w:rsidR="008915BE" w:rsidRPr="001D5DCE">
        <w:rPr>
          <w:b w:val="0"/>
          <w:bCs w:val="0"/>
          <w:color w:val="FF0000"/>
          <w:sz w:val="22"/>
          <w:szCs w:val="22"/>
        </w:rPr>
        <w:t xml:space="preserve"> friends and families to continue to live in the same community as their lifestyles change.</w:t>
      </w:r>
    </w:p>
    <w:p w14:paraId="54CEEE6D" w14:textId="1E0E8A61" w:rsidR="008915BE" w:rsidRPr="001D5DCE" w:rsidRDefault="008915BE" w:rsidP="00782AF9">
      <w:pPr>
        <w:pStyle w:val="Heading1"/>
        <w:spacing w:before="162" w:line="259" w:lineRule="auto"/>
        <w:ind w:right="441"/>
        <w:rPr>
          <w:b w:val="0"/>
          <w:bCs w:val="0"/>
          <w:color w:val="FF0000"/>
          <w:sz w:val="22"/>
          <w:szCs w:val="22"/>
        </w:rPr>
      </w:pPr>
      <w:r w:rsidRPr="001D5DCE">
        <w:rPr>
          <w:b w:val="0"/>
          <w:bCs w:val="0"/>
          <w:color w:val="FF0000"/>
          <w:sz w:val="22"/>
          <w:szCs w:val="22"/>
        </w:rPr>
        <w:t>Implementation:</w:t>
      </w:r>
    </w:p>
    <w:p w14:paraId="4EF00E39" w14:textId="287395DA" w:rsidR="008915BE" w:rsidRPr="001D5DCE" w:rsidRDefault="008915BE" w:rsidP="008915BE">
      <w:pPr>
        <w:pStyle w:val="Heading1"/>
        <w:numPr>
          <w:ilvl w:val="0"/>
          <w:numId w:val="6"/>
        </w:numPr>
        <w:spacing w:before="162" w:line="259" w:lineRule="auto"/>
        <w:ind w:right="441"/>
        <w:rPr>
          <w:b w:val="0"/>
          <w:bCs w:val="0"/>
          <w:color w:val="FF0000"/>
          <w:sz w:val="22"/>
          <w:szCs w:val="22"/>
        </w:rPr>
      </w:pPr>
      <w:r w:rsidRPr="001D5DCE">
        <w:rPr>
          <w:b w:val="0"/>
          <w:bCs w:val="0"/>
          <w:color w:val="FF0000"/>
          <w:sz w:val="22"/>
          <w:szCs w:val="22"/>
        </w:rPr>
        <w:t>Create strategies</w:t>
      </w:r>
      <w:r w:rsidR="001D5DCE" w:rsidRPr="001D5DCE">
        <w:rPr>
          <w:b w:val="0"/>
          <w:bCs w:val="0"/>
          <w:color w:val="FF0000"/>
          <w:sz w:val="22"/>
          <w:szCs w:val="22"/>
        </w:rPr>
        <w:t xml:space="preserve"> and development guidelines</w:t>
      </w:r>
      <w:r w:rsidRPr="001D5DCE">
        <w:rPr>
          <w:b w:val="0"/>
          <w:bCs w:val="0"/>
          <w:color w:val="FF0000"/>
          <w:sz w:val="22"/>
          <w:szCs w:val="22"/>
        </w:rPr>
        <w:t xml:space="preserve"> for the construction of multi-unit homes that resemble traditional single-family homes</w:t>
      </w:r>
      <w:r w:rsidR="001D5DCE" w:rsidRPr="001D5DCE">
        <w:rPr>
          <w:b w:val="0"/>
          <w:bCs w:val="0"/>
          <w:color w:val="FF0000"/>
          <w:sz w:val="22"/>
          <w:szCs w:val="22"/>
        </w:rPr>
        <w:t>.</w:t>
      </w:r>
    </w:p>
    <w:p w14:paraId="7AF4A888" w14:textId="5224D7BA" w:rsidR="001D5DCE" w:rsidRPr="001D5DCE" w:rsidRDefault="001D5DCE" w:rsidP="008915BE">
      <w:pPr>
        <w:pStyle w:val="Heading1"/>
        <w:numPr>
          <w:ilvl w:val="0"/>
          <w:numId w:val="6"/>
        </w:numPr>
        <w:spacing w:before="162" w:line="259" w:lineRule="auto"/>
        <w:ind w:right="441"/>
        <w:rPr>
          <w:b w:val="0"/>
          <w:bCs w:val="0"/>
          <w:color w:val="FF0000"/>
          <w:sz w:val="22"/>
          <w:szCs w:val="22"/>
        </w:rPr>
      </w:pPr>
      <w:r w:rsidRPr="001D5DCE">
        <w:rPr>
          <w:b w:val="0"/>
          <w:bCs w:val="0"/>
          <w:color w:val="FF0000"/>
          <w:sz w:val="22"/>
          <w:szCs w:val="22"/>
        </w:rPr>
        <w:t>Create a neighborhood inventory that identifies locations where multi-family residential dwellings will integrate and be properly scaled to the surrounding neighborhood of single-family homes.</w:t>
      </w:r>
    </w:p>
    <w:p w14:paraId="1F982B39" w14:textId="10B7984E" w:rsidR="001D5DCE" w:rsidRPr="001D5DCE" w:rsidRDefault="001D5DCE" w:rsidP="008915BE">
      <w:pPr>
        <w:pStyle w:val="Heading1"/>
        <w:numPr>
          <w:ilvl w:val="0"/>
          <w:numId w:val="6"/>
        </w:numPr>
        <w:spacing w:before="162" w:line="259" w:lineRule="auto"/>
        <w:ind w:right="441"/>
        <w:rPr>
          <w:b w:val="0"/>
          <w:bCs w:val="0"/>
          <w:color w:val="FF0000"/>
          <w:sz w:val="22"/>
          <w:szCs w:val="22"/>
        </w:rPr>
      </w:pPr>
      <w:r w:rsidRPr="001D5DCE">
        <w:rPr>
          <w:b w:val="0"/>
          <w:bCs w:val="0"/>
          <w:color w:val="FF0000"/>
          <w:sz w:val="22"/>
          <w:szCs w:val="22"/>
        </w:rPr>
        <w:t>Consider land use regulations for the creation of single room occupancy developments within the city. Regulations should include strategies that mitigate the detrimental effects of higher density within single family neighborhoods, including dwelling design, parking, and public safety and welfare.</w:t>
      </w:r>
    </w:p>
    <w:p w14:paraId="67440EBB" w14:textId="77777777" w:rsidR="004D2004" w:rsidRDefault="004D2004" w:rsidP="004D2004">
      <w:pPr>
        <w:pStyle w:val="BodyText"/>
        <w:spacing w:before="10"/>
        <w:rPr>
          <w:sz w:val="25"/>
        </w:rPr>
      </w:pPr>
    </w:p>
    <w:p w14:paraId="5E9B6225" w14:textId="6799CB95" w:rsidR="007607AD" w:rsidRDefault="007607AD">
      <w:pPr>
        <w:pStyle w:val="BodyText"/>
        <w:spacing w:line="90" w:lineRule="exact"/>
        <w:ind w:left="112"/>
        <w:rPr>
          <w:sz w:val="9"/>
        </w:rPr>
      </w:pPr>
    </w:p>
    <w:p w14:paraId="0A110D25" w14:textId="77777777" w:rsidR="007607AD" w:rsidRDefault="007607AD">
      <w:pPr>
        <w:pStyle w:val="BodyText"/>
        <w:rPr>
          <w:sz w:val="20"/>
        </w:rPr>
      </w:pPr>
    </w:p>
    <w:p w14:paraId="4B3206E7" w14:textId="77777777" w:rsidR="007607AD" w:rsidRDefault="007607AD">
      <w:pPr>
        <w:pStyle w:val="BodyText"/>
        <w:spacing w:before="2"/>
        <w:rPr>
          <w:sz w:val="15"/>
        </w:rPr>
      </w:pPr>
    </w:p>
    <w:p w14:paraId="593FAA2D" w14:textId="77777777" w:rsidR="007607AD" w:rsidRDefault="00FD4909">
      <w:pPr>
        <w:pStyle w:val="Heading1"/>
        <w:spacing w:before="44"/>
        <w:ind w:left="341" w:right="225"/>
        <w:jc w:val="center"/>
      </w:pPr>
      <w:r>
        <w:t>Works Cited</w:t>
      </w:r>
    </w:p>
    <w:p w14:paraId="7A706D84" w14:textId="77777777" w:rsidR="007607AD" w:rsidRDefault="007607AD">
      <w:pPr>
        <w:pStyle w:val="BodyText"/>
        <w:spacing w:before="3"/>
        <w:rPr>
          <w:b/>
          <w:sz w:val="34"/>
        </w:rPr>
      </w:pPr>
    </w:p>
    <w:p w14:paraId="462653BE" w14:textId="77777777" w:rsidR="007607AD" w:rsidRDefault="00FD4909">
      <w:pPr>
        <w:pStyle w:val="BodyText"/>
        <w:ind w:left="321"/>
      </w:pPr>
      <w:r>
        <w:t>American Planning Association. “Housing Policy Guide.” (2019): 4-5.</w:t>
      </w:r>
    </w:p>
    <w:p w14:paraId="4767845A" w14:textId="77777777" w:rsidR="007607AD" w:rsidRDefault="007607AD">
      <w:pPr>
        <w:pStyle w:val="BodyText"/>
        <w:spacing w:before="7"/>
        <w:rPr>
          <w:sz w:val="28"/>
        </w:rPr>
      </w:pPr>
    </w:p>
    <w:p w14:paraId="694D52D9" w14:textId="77777777" w:rsidR="007607AD" w:rsidRDefault="00FD4909">
      <w:pPr>
        <w:pStyle w:val="BodyText"/>
        <w:ind w:right="50"/>
        <w:jc w:val="center"/>
      </w:pPr>
      <w:r>
        <w:t>Blackwell, Tim. “How Multifamily is Blending Retail with Residential.” 14 June 2016, Property Management Insider.</w:t>
      </w:r>
    </w:p>
    <w:p w14:paraId="56704D16" w14:textId="77777777" w:rsidR="007607AD" w:rsidRDefault="00FD4909">
      <w:pPr>
        <w:pStyle w:val="BodyText"/>
        <w:spacing w:before="41"/>
        <w:ind w:right="119"/>
        <w:jc w:val="center"/>
      </w:pPr>
      <w:hyperlink r:id="rId19">
        <w:r>
          <w:rPr>
            <w:color w:val="3592CF"/>
            <w:u w:val="single" w:color="3592CF"/>
          </w:rPr>
          <w:t>https://www.propertymanagementinsider.com/how-multifamily-is-blending-retail-with-residential</w:t>
        </w:r>
      </w:hyperlink>
    </w:p>
    <w:p w14:paraId="2D4A214E" w14:textId="77777777" w:rsidR="007607AD" w:rsidRDefault="007607AD">
      <w:pPr>
        <w:pStyle w:val="BodyText"/>
        <w:spacing w:before="11"/>
        <w:rPr>
          <w:sz w:val="23"/>
        </w:rPr>
      </w:pPr>
    </w:p>
    <w:p w14:paraId="0FEC7EC9" w14:textId="77777777" w:rsidR="007607AD" w:rsidRDefault="00FD4909">
      <w:pPr>
        <w:pStyle w:val="BodyText"/>
        <w:spacing w:before="56"/>
        <w:ind w:left="321"/>
      </w:pPr>
      <w:r>
        <w:t>Gardner Business Review. “What Rapidly Rising Prices Mean for Housing Affordability.” (2018).</w:t>
      </w:r>
    </w:p>
    <w:p w14:paraId="7EC8A980" w14:textId="77777777" w:rsidR="007607AD" w:rsidRDefault="007607AD">
      <w:pPr>
        <w:pStyle w:val="BodyText"/>
        <w:spacing w:before="7"/>
        <w:rPr>
          <w:sz w:val="28"/>
        </w:rPr>
      </w:pPr>
    </w:p>
    <w:p w14:paraId="731B9473" w14:textId="6C8C8388" w:rsidR="007607AD" w:rsidRDefault="00FD4909">
      <w:pPr>
        <w:pStyle w:val="BodyText"/>
        <w:spacing w:line="554" w:lineRule="auto"/>
        <w:ind w:left="321" w:right="469"/>
      </w:pPr>
      <w:r>
        <w:t xml:space="preserve">Kem C. Gardner Policy Institute. “Utah’s Long-Term Demographic and Economic Projections Summary.” (2017): 2. Kem C. Gardner Policy </w:t>
      </w:r>
      <w:r w:rsidR="008915BE">
        <w:t>Institute</w:t>
      </w:r>
      <w:r>
        <w:t>. “The State of the State’s Housing Market.” (2021): 4.</w:t>
      </w:r>
    </w:p>
    <w:p w14:paraId="041AF0D9" w14:textId="77777777" w:rsidR="007607AD" w:rsidRDefault="00FD4909">
      <w:pPr>
        <w:pStyle w:val="BodyText"/>
        <w:spacing w:line="264" w:lineRule="exact"/>
        <w:ind w:left="321"/>
      </w:pPr>
      <w:proofErr w:type="spellStart"/>
      <w:r>
        <w:t>Opticos</w:t>
      </w:r>
      <w:proofErr w:type="spellEnd"/>
      <w:r>
        <w:t xml:space="preserve"> Design, Inc. (</w:t>
      </w:r>
      <w:hyperlink r:id="rId20">
        <w:r>
          <w:rPr>
            <w:color w:val="3592CF"/>
            <w:u w:val="single" w:color="3592CF"/>
          </w:rPr>
          <w:t>https://missingmiddlehousing.com</w:t>
        </w:r>
      </w:hyperlink>
      <w:r>
        <w:t>) 2019.</w:t>
      </w:r>
    </w:p>
    <w:p w14:paraId="18966C0F" w14:textId="77777777" w:rsidR="007607AD" w:rsidRDefault="007607AD">
      <w:pPr>
        <w:pStyle w:val="BodyText"/>
        <w:spacing w:before="6"/>
      </w:pPr>
    </w:p>
    <w:p w14:paraId="5DBC29E7" w14:textId="77777777" w:rsidR="007607AD" w:rsidRDefault="00FD4909">
      <w:pPr>
        <w:pStyle w:val="BodyText"/>
        <w:spacing w:before="57" w:line="256" w:lineRule="auto"/>
        <w:ind w:left="981" w:right="647" w:hanging="629"/>
      </w:pPr>
      <w:r>
        <w:t>Strafford Publishing 2014 (</w:t>
      </w:r>
      <w:hyperlink r:id="rId21">
        <w:r>
          <w:rPr>
            <w:color w:val="3592CF"/>
            <w:u w:val="single" w:color="3592CF"/>
          </w:rPr>
          <w:t>http://media.straffordpub.com/products/mixed-use-developments-lessons-learned-</w:t>
        </w:r>
      </w:hyperlink>
      <w:r>
        <w:rPr>
          <w:color w:val="3592CF"/>
        </w:rPr>
        <w:t xml:space="preserve"> </w:t>
      </w:r>
      <w:hyperlink r:id="rId22">
        <w:r>
          <w:rPr>
            <w:color w:val="3592CF"/>
            <w:u w:val="single" w:color="3592CF"/>
          </w:rPr>
          <w:t>from-recent-deals-2014-01-16/presentation.pdf</w:t>
        </w:r>
      </w:hyperlink>
      <w:r>
        <w:t>)</w:t>
      </w:r>
    </w:p>
    <w:p w14:paraId="16A07470" w14:textId="77777777" w:rsidR="007607AD" w:rsidRDefault="007607AD">
      <w:pPr>
        <w:pStyle w:val="BodyText"/>
        <w:rPr>
          <w:sz w:val="21"/>
        </w:rPr>
      </w:pPr>
    </w:p>
    <w:p w14:paraId="249FA749" w14:textId="77777777" w:rsidR="007607AD" w:rsidRDefault="00FD4909">
      <w:pPr>
        <w:pStyle w:val="BodyText"/>
        <w:spacing w:before="57"/>
        <w:ind w:left="352"/>
      </w:pPr>
      <w:r>
        <w:t xml:space="preserve">The Salt Lake Tribune. </w:t>
      </w:r>
      <w:hyperlink r:id="rId23">
        <w:r>
          <w:rPr>
            <w:color w:val="3592CF"/>
            <w:u w:val="single" w:color="3592CF"/>
          </w:rPr>
          <w:t>https://www.sltrib.com/homeprices/</w:t>
        </w:r>
      </w:hyperlink>
      <w:r>
        <w:t>.</w:t>
      </w:r>
    </w:p>
    <w:p w14:paraId="1BE150A5" w14:textId="77777777" w:rsidR="007607AD" w:rsidRDefault="007607AD">
      <w:pPr>
        <w:pStyle w:val="BodyText"/>
        <w:spacing w:before="9"/>
        <w:rPr>
          <w:sz w:val="20"/>
        </w:rPr>
      </w:pPr>
    </w:p>
    <w:p w14:paraId="2DDF9B77" w14:textId="77777777" w:rsidR="007607AD" w:rsidRDefault="00FD4909">
      <w:pPr>
        <w:pStyle w:val="BodyText"/>
        <w:spacing w:before="56"/>
        <w:ind w:left="352"/>
      </w:pPr>
      <w:r>
        <w:t>Urban Land Institute (</w:t>
      </w:r>
      <w:hyperlink r:id="rId24">
        <w:r>
          <w:rPr>
            <w:color w:val="3592CF"/>
            <w:u w:val="single" w:color="3592CF"/>
          </w:rPr>
          <w:t>https://americas.uli.org/</w:t>
        </w:r>
      </w:hyperlink>
      <w:r>
        <w:t>)</w:t>
      </w:r>
    </w:p>
    <w:p w14:paraId="765BEFAE" w14:textId="77777777" w:rsidR="007607AD" w:rsidRDefault="007607AD">
      <w:pPr>
        <w:pStyle w:val="BodyText"/>
        <w:spacing w:before="7"/>
      </w:pPr>
    </w:p>
    <w:p w14:paraId="4006E30B" w14:textId="77777777" w:rsidR="007607AD" w:rsidRDefault="00FD4909">
      <w:pPr>
        <w:pStyle w:val="BodyText"/>
        <w:spacing w:before="57" w:line="276" w:lineRule="auto"/>
        <w:ind w:left="981" w:right="747" w:hanging="660"/>
      </w:pPr>
      <w:r>
        <w:t>U.S. Bureau of Labor Statistics. (2016, Aug. 30). News release: Consumer expenditures – 2015 [USDL-16-1768]. Washington, DC: Government Printing Office. Retrieved on 12/21/16 from</w:t>
      </w:r>
      <w:hyperlink r:id="rId25">
        <w:r>
          <w:rPr>
            <w:color w:val="3592CF"/>
            <w:u w:val="single" w:color="3592CF"/>
          </w:rPr>
          <w:t xml:space="preserve"> https://www.bls.gov/news.release/pdf/cesan.pdf</w:t>
        </w:r>
      </w:hyperlink>
    </w:p>
    <w:p w14:paraId="6340E826" w14:textId="77777777" w:rsidR="007607AD" w:rsidRDefault="007607AD">
      <w:pPr>
        <w:pStyle w:val="BodyText"/>
        <w:spacing w:before="6"/>
        <w:rPr>
          <w:sz w:val="20"/>
        </w:rPr>
      </w:pPr>
    </w:p>
    <w:p w14:paraId="4C16DAC3" w14:textId="77777777" w:rsidR="007607AD" w:rsidRDefault="00FD4909">
      <w:pPr>
        <w:pStyle w:val="BodyText"/>
        <w:spacing w:before="57"/>
        <w:ind w:left="321"/>
      </w:pPr>
      <w:r>
        <w:t>Utah County Valley Visioning (</w:t>
      </w:r>
      <w:hyperlink r:id="rId26">
        <w:r>
          <w:rPr>
            <w:color w:val="3592CF"/>
            <w:u w:val="single" w:color="3592CF"/>
          </w:rPr>
          <w:t>https://utahvalleyvisioning.org/project</w:t>
        </w:r>
      </w:hyperlink>
      <w:r>
        <w:t>)</w:t>
      </w:r>
    </w:p>
    <w:p w14:paraId="23D34654" w14:textId="77777777" w:rsidR="007607AD" w:rsidRDefault="007607AD">
      <w:pPr>
        <w:pStyle w:val="BodyText"/>
        <w:spacing w:before="1"/>
        <w:rPr>
          <w:sz w:val="24"/>
        </w:rPr>
      </w:pPr>
    </w:p>
    <w:p w14:paraId="7B3DD609" w14:textId="77777777" w:rsidR="007607AD" w:rsidRDefault="00FD4909">
      <w:pPr>
        <w:pStyle w:val="BodyText"/>
        <w:spacing w:before="56" w:line="259" w:lineRule="auto"/>
        <w:ind w:left="981" w:hanging="660"/>
      </w:pPr>
      <w:r>
        <w:t xml:space="preserve">Utah Department of Workforce Services Housing and Community Development. Five Year Housing Projection Calculator. </w:t>
      </w:r>
      <w:hyperlink r:id="rId27">
        <w:r>
          <w:rPr>
            <w:color w:val="3592CF"/>
            <w:u w:val="single" w:color="3592CF"/>
          </w:rPr>
          <w:t>https://jobs.utah.gov/housing/affordable/moderate/reporting/</w:t>
        </w:r>
      </w:hyperlink>
    </w:p>
    <w:p w14:paraId="0E490917" w14:textId="77777777" w:rsidR="007607AD" w:rsidRDefault="007607AD">
      <w:pPr>
        <w:pStyle w:val="BodyText"/>
        <w:rPr>
          <w:sz w:val="20"/>
        </w:rPr>
      </w:pPr>
    </w:p>
    <w:p w14:paraId="22EE6789" w14:textId="77777777" w:rsidR="007607AD" w:rsidRDefault="007607AD">
      <w:pPr>
        <w:pStyle w:val="BodyText"/>
        <w:rPr>
          <w:sz w:val="26"/>
        </w:rPr>
      </w:pPr>
    </w:p>
    <w:p w14:paraId="4F352D47" w14:textId="17A44C65" w:rsidR="007607AD" w:rsidRPr="00F80062" w:rsidRDefault="00FD4909" w:rsidP="00F80062">
      <w:pPr>
        <w:pStyle w:val="BodyText"/>
        <w:spacing w:before="56"/>
        <w:ind w:left="321"/>
        <w:rPr>
          <w:sz w:val="2"/>
        </w:rPr>
      </w:pPr>
      <w:r>
        <w:t>The Kem C. Gardner Policy Institute reported in their October 2021 report, “The State of the State’s Housing Market</w:t>
      </w:r>
    </w:p>
    <w:sectPr w:rsidR="007607AD" w:rsidRPr="00F80062">
      <w:footerReference w:type="default" r:id="rId28"/>
      <w:pgSz w:w="12160" w:h="15850"/>
      <w:pgMar w:top="460" w:right="960" w:bottom="280" w:left="780" w:header="0" w:footer="0" w:gutter="0"/>
      <w:pgBorders w:offsetFrom="page">
        <w:top w:val="single" w:sz="4" w:space="25" w:color="545454"/>
        <w:left w:val="single" w:sz="4" w:space="24" w:color="545454"/>
        <w:bottom w:val="single" w:sz="4" w:space="17" w:color="545454"/>
        <w:right w:val="single" w:sz="4" w:space="20" w:color="545454"/>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1775F2" w14:textId="77777777" w:rsidR="00C56C1A" w:rsidRDefault="00C56C1A">
      <w:r>
        <w:separator/>
      </w:r>
    </w:p>
  </w:endnote>
  <w:endnote w:type="continuationSeparator" w:id="0">
    <w:p w14:paraId="6D535CC5" w14:textId="77777777" w:rsidR="00C56C1A" w:rsidRDefault="00C56C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5F84E2" w14:textId="77777777" w:rsidR="00D930C7" w:rsidRDefault="00D930C7">
    <w:pPr>
      <w:pStyle w:val="BodyText"/>
      <w:spacing w:line="14" w:lineRule="auto"/>
      <w:rPr>
        <w:sz w:val="20"/>
      </w:rPr>
    </w:pPr>
    <w:r>
      <w:rPr>
        <w:noProof/>
      </w:rPr>
      <mc:AlternateContent>
        <mc:Choice Requires="wps">
          <w:drawing>
            <wp:anchor distT="0" distB="0" distL="114300" distR="114300" simplePos="0" relativeHeight="251657728" behindDoc="1" locked="0" layoutInCell="1" allowOverlap="1" wp14:anchorId="03074EDF" wp14:editId="4A697948">
              <wp:simplePos x="0" y="0"/>
              <wp:positionH relativeFrom="page">
                <wp:posOffset>3771265</wp:posOffset>
              </wp:positionH>
              <wp:positionV relativeFrom="page">
                <wp:posOffset>9401175</wp:posOffset>
              </wp:positionV>
              <wp:extent cx="231140" cy="20383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140"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031652" w14:textId="77777777" w:rsidR="00D930C7" w:rsidRDefault="00D930C7">
                          <w:pPr>
                            <w:spacing w:line="306" w:lineRule="exact"/>
                            <w:ind w:left="40"/>
                            <w:rPr>
                              <w:b/>
                              <w:sz w:val="28"/>
                            </w:rPr>
                          </w:pPr>
                          <w:r>
                            <w:fldChar w:fldCharType="begin"/>
                          </w:r>
                          <w:r>
                            <w:rPr>
                              <w:b/>
                              <w:color w:val="082A75"/>
                              <w:sz w:val="28"/>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074EDF" id="_x0000_t202" coordsize="21600,21600" o:spt="202" path="m,l,21600r21600,l21600,xe">
              <v:stroke joinstyle="miter"/>
              <v:path gradientshapeok="t" o:connecttype="rect"/>
            </v:shapetype>
            <v:shape id="Text Box 1" o:spid="_x0000_s1060" type="#_x0000_t202" style="position:absolute;margin-left:296.95pt;margin-top:740.25pt;width:18.2pt;height:16.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" filled="f" stroked="f">
              <v:textbox inset="0,0,0,0">
                <w:txbxContent>
                  <w:p w14:paraId="46031652" w14:textId="77777777" w:rsidR="00D930C7" w:rsidRDefault="00D930C7">
                    <w:pPr>
                      <w:spacing w:line="306" w:lineRule="exact"/>
                      <w:ind w:left="40"/>
                      <w:rPr>
                        <w:b/>
                        <w:sz w:val="28"/>
                      </w:rPr>
                    </w:pPr>
                    <w:r>
                      <w:fldChar w:fldCharType="begin"/>
                    </w:r>
                    <w:r>
                      <w:rPr>
                        <w:b/>
                        <w:color w:val="082A75"/>
                        <w:sz w:val="28"/>
                      </w:rPr>
                      <w:instrText xml:space="preserve"> PAGE </w:instrText>
                    </w:r>
                    <w:r>
                      <w:fldChar w:fldCharType="separate"/>
                    </w:r>
                    <w:r>
                      <w:t>10</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4C2C6" w14:textId="77777777" w:rsidR="00D930C7" w:rsidRDefault="00D930C7">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454219" w14:textId="77777777" w:rsidR="00C56C1A" w:rsidRDefault="00C56C1A">
      <w:r>
        <w:separator/>
      </w:r>
    </w:p>
  </w:footnote>
  <w:footnote w:type="continuationSeparator" w:id="0">
    <w:p w14:paraId="00DF2E1B" w14:textId="77777777" w:rsidR="00C56C1A" w:rsidRDefault="00C56C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44EF6"/>
    <w:multiLevelType w:val="hybridMultilevel"/>
    <w:tmpl w:val="08AC06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7C17D12"/>
    <w:multiLevelType w:val="multilevel"/>
    <w:tmpl w:val="3B825688"/>
    <w:lvl w:ilvl="0">
      <w:start w:val="21"/>
      <w:numFmt w:val="upperLetter"/>
      <w:lvlText w:val="%1"/>
      <w:lvlJc w:val="left"/>
      <w:pPr>
        <w:ind w:left="724" w:hanging="404"/>
      </w:pPr>
      <w:rPr>
        <w:rFonts w:hint="default"/>
      </w:rPr>
    </w:lvl>
    <w:lvl w:ilvl="1">
      <w:start w:val="19"/>
      <w:numFmt w:val="upperLetter"/>
      <w:lvlText w:val="%1.%2."/>
      <w:lvlJc w:val="left"/>
      <w:pPr>
        <w:ind w:left="724" w:hanging="404"/>
      </w:pPr>
      <w:rPr>
        <w:rFonts w:ascii="Calibri" w:eastAsia="Calibri" w:hAnsi="Calibri" w:cs="Calibri" w:hint="default"/>
        <w:spacing w:val="-2"/>
        <w:w w:val="100"/>
        <w:sz w:val="22"/>
        <w:szCs w:val="22"/>
      </w:rPr>
    </w:lvl>
    <w:lvl w:ilvl="2">
      <w:numFmt w:val="bullet"/>
      <w:lvlText w:val=""/>
      <w:lvlJc w:val="left"/>
      <w:pPr>
        <w:ind w:left="1041" w:hanging="360"/>
      </w:pPr>
      <w:rPr>
        <w:rFonts w:ascii="Symbol" w:eastAsia="Symbol" w:hAnsi="Symbol" w:cs="Symbol" w:hint="default"/>
        <w:w w:val="100"/>
        <w:sz w:val="22"/>
        <w:szCs w:val="22"/>
      </w:rPr>
    </w:lvl>
    <w:lvl w:ilvl="3">
      <w:numFmt w:val="bullet"/>
      <w:lvlText w:val="o"/>
      <w:lvlJc w:val="left"/>
      <w:pPr>
        <w:ind w:left="1761" w:hanging="360"/>
      </w:pPr>
      <w:rPr>
        <w:rFonts w:ascii="Courier New" w:eastAsia="Courier New" w:hAnsi="Courier New" w:cs="Courier New" w:hint="default"/>
        <w:w w:val="100"/>
        <w:sz w:val="22"/>
        <w:szCs w:val="22"/>
      </w:rPr>
    </w:lvl>
    <w:lvl w:ilvl="4">
      <w:numFmt w:val="bullet"/>
      <w:lvlText w:val="•"/>
      <w:lvlJc w:val="left"/>
      <w:pPr>
        <w:ind w:left="4055" w:hanging="360"/>
      </w:pPr>
      <w:rPr>
        <w:rFonts w:hint="default"/>
      </w:rPr>
    </w:lvl>
    <w:lvl w:ilvl="5">
      <w:numFmt w:val="bullet"/>
      <w:lvlText w:val="•"/>
      <w:lvlJc w:val="left"/>
      <w:pPr>
        <w:ind w:left="5202" w:hanging="360"/>
      </w:pPr>
      <w:rPr>
        <w:rFonts w:hint="default"/>
      </w:rPr>
    </w:lvl>
    <w:lvl w:ilvl="6">
      <w:numFmt w:val="bullet"/>
      <w:lvlText w:val="•"/>
      <w:lvlJc w:val="left"/>
      <w:pPr>
        <w:ind w:left="6350" w:hanging="360"/>
      </w:pPr>
      <w:rPr>
        <w:rFonts w:hint="default"/>
      </w:rPr>
    </w:lvl>
    <w:lvl w:ilvl="7">
      <w:numFmt w:val="bullet"/>
      <w:lvlText w:val="•"/>
      <w:lvlJc w:val="left"/>
      <w:pPr>
        <w:ind w:left="7497" w:hanging="360"/>
      </w:pPr>
      <w:rPr>
        <w:rFonts w:hint="default"/>
      </w:rPr>
    </w:lvl>
    <w:lvl w:ilvl="8">
      <w:numFmt w:val="bullet"/>
      <w:lvlText w:val="•"/>
      <w:lvlJc w:val="left"/>
      <w:pPr>
        <w:ind w:left="8645" w:hanging="360"/>
      </w:pPr>
      <w:rPr>
        <w:rFonts w:hint="default"/>
      </w:rPr>
    </w:lvl>
  </w:abstractNum>
  <w:abstractNum w:abstractNumId="2" w15:restartNumberingAfterBreak="0">
    <w:nsid w:val="2DD155CD"/>
    <w:multiLevelType w:val="hybridMultilevel"/>
    <w:tmpl w:val="E3CCCCB4"/>
    <w:lvl w:ilvl="0" w:tplc="04090001">
      <w:start w:val="1"/>
      <w:numFmt w:val="bullet"/>
      <w:lvlText w:val=""/>
      <w:lvlJc w:val="left"/>
      <w:pPr>
        <w:ind w:left="1041" w:hanging="360"/>
      </w:pPr>
      <w:rPr>
        <w:rFonts w:ascii="Symbol" w:hAnsi="Symbol" w:hint="default"/>
      </w:rPr>
    </w:lvl>
    <w:lvl w:ilvl="1" w:tplc="04090003" w:tentative="1">
      <w:start w:val="1"/>
      <w:numFmt w:val="bullet"/>
      <w:lvlText w:val="o"/>
      <w:lvlJc w:val="left"/>
      <w:pPr>
        <w:ind w:left="1761" w:hanging="360"/>
      </w:pPr>
      <w:rPr>
        <w:rFonts w:ascii="Courier New" w:hAnsi="Courier New" w:cs="Courier New" w:hint="default"/>
      </w:rPr>
    </w:lvl>
    <w:lvl w:ilvl="2" w:tplc="04090005" w:tentative="1">
      <w:start w:val="1"/>
      <w:numFmt w:val="bullet"/>
      <w:lvlText w:val=""/>
      <w:lvlJc w:val="left"/>
      <w:pPr>
        <w:ind w:left="2481" w:hanging="360"/>
      </w:pPr>
      <w:rPr>
        <w:rFonts w:ascii="Wingdings" w:hAnsi="Wingdings" w:hint="default"/>
      </w:rPr>
    </w:lvl>
    <w:lvl w:ilvl="3" w:tplc="04090001" w:tentative="1">
      <w:start w:val="1"/>
      <w:numFmt w:val="bullet"/>
      <w:lvlText w:val=""/>
      <w:lvlJc w:val="left"/>
      <w:pPr>
        <w:ind w:left="3201" w:hanging="360"/>
      </w:pPr>
      <w:rPr>
        <w:rFonts w:ascii="Symbol" w:hAnsi="Symbol" w:hint="default"/>
      </w:rPr>
    </w:lvl>
    <w:lvl w:ilvl="4" w:tplc="04090003" w:tentative="1">
      <w:start w:val="1"/>
      <w:numFmt w:val="bullet"/>
      <w:lvlText w:val="o"/>
      <w:lvlJc w:val="left"/>
      <w:pPr>
        <w:ind w:left="3921" w:hanging="360"/>
      </w:pPr>
      <w:rPr>
        <w:rFonts w:ascii="Courier New" w:hAnsi="Courier New" w:cs="Courier New" w:hint="default"/>
      </w:rPr>
    </w:lvl>
    <w:lvl w:ilvl="5" w:tplc="04090005" w:tentative="1">
      <w:start w:val="1"/>
      <w:numFmt w:val="bullet"/>
      <w:lvlText w:val=""/>
      <w:lvlJc w:val="left"/>
      <w:pPr>
        <w:ind w:left="4641" w:hanging="360"/>
      </w:pPr>
      <w:rPr>
        <w:rFonts w:ascii="Wingdings" w:hAnsi="Wingdings" w:hint="default"/>
      </w:rPr>
    </w:lvl>
    <w:lvl w:ilvl="6" w:tplc="04090001" w:tentative="1">
      <w:start w:val="1"/>
      <w:numFmt w:val="bullet"/>
      <w:lvlText w:val=""/>
      <w:lvlJc w:val="left"/>
      <w:pPr>
        <w:ind w:left="5361" w:hanging="360"/>
      </w:pPr>
      <w:rPr>
        <w:rFonts w:ascii="Symbol" w:hAnsi="Symbol" w:hint="default"/>
      </w:rPr>
    </w:lvl>
    <w:lvl w:ilvl="7" w:tplc="04090003" w:tentative="1">
      <w:start w:val="1"/>
      <w:numFmt w:val="bullet"/>
      <w:lvlText w:val="o"/>
      <w:lvlJc w:val="left"/>
      <w:pPr>
        <w:ind w:left="6081" w:hanging="360"/>
      </w:pPr>
      <w:rPr>
        <w:rFonts w:ascii="Courier New" w:hAnsi="Courier New" w:cs="Courier New" w:hint="default"/>
      </w:rPr>
    </w:lvl>
    <w:lvl w:ilvl="8" w:tplc="04090005" w:tentative="1">
      <w:start w:val="1"/>
      <w:numFmt w:val="bullet"/>
      <w:lvlText w:val=""/>
      <w:lvlJc w:val="left"/>
      <w:pPr>
        <w:ind w:left="6801" w:hanging="360"/>
      </w:pPr>
      <w:rPr>
        <w:rFonts w:ascii="Wingdings" w:hAnsi="Wingdings" w:hint="default"/>
      </w:rPr>
    </w:lvl>
  </w:abstractNum>
  <w:abstractNum w:abstractNumId="3" w15:restartNumberingAfterBreak="0">
    <w:nsid w:val="334235F2"/>
    <w:multiLevelType w:val="hybridMultilevel"/>
    <w:tmpl w:val="1944B3D6"/>
    <w:lvl w:ilvl="0" w:tplc="04090001">
      <w:start w:val="1"/>
      <w:numFmt w:val="bullet"/>
      <w:lvlText w:val=""/>
      <w:lvlJc w:val="left"/>
      <w:pPr>
        <w:ind w:left="1041" w:hanging="360"/>
      </w:pPr>
      <w:rPr>
        <w:rFonts w:ascii="Symbol" w:hAnsi="Symbol" w:hint="default"/>
      </w:rPr>
    </w:lvl>
    <w:lvl w:ilvl="1" w:tplc="04090003" w:tentative="1">
      <w:start w:val="1"/>
      <w:numFmt w:val="bullet"/>
      <w:lvlText w:val="o"/>
      <w:lvlJc w:val="left"/>
      <w:pPr>
        <w:ind w:left="1761" w:hanging="360"/>
      </w:pPr>
      <w:rPr>
        <w:rFonts w:ascii="Courier New" w:hAnsi="Courier New" w:cs="Courier New" w:hint="default"/>
      </w:rPr>
    </w:lvl>
    <w:lvl w:ilvl="2" w:tplc="04090005" w:tentative="1">
      <w:start w:val="1"/>
      <w:numFmt w:val="bullet"/>
      <w:lvlText w:val=""/>
      <w:lvlJc w:val="left"/>
      <w:pPr>
        <w:ind w:left="2481" w:hanging="360"/>
      </w:pPr>
      <w:rPr>
        <w:rFonts w:ascii="Wingdings" w:hAnsi="Wingdings" w:hint="default"/>
      </w:rPr>
    </w:lvl>
    <w:lvl w:ilvl="3" w:tplc="04090001" w:tentative="1">
      <w:start w:val="1"/>
      <w:numFmt w:val="bullet"/>
      <w:lvlText w:val=""/>
      <w:lvlJc w:val="left"/>
      <w:pPr>
        <w:ind w:left="3201" w:hanging="360"/>
      </w:pPr>
      <w:rPr>
        <w:rFonts w:ascii="Symbol" w:hAnsi="Symbol" w:hint="default"/>
      </w:rPr>
    </w:lvl>
    <w:lvl w:ilvl="4" w:tplc="04090003" w:tentative="1">
      <w:start w:val="1"/>
      <w:numFmt w:val="bullet"/>
      <w:lvlText w:val="o"/>
      <w:lvlJc w:val="left"/>
      <w:pPr>
        <w:ind w:left="3921" w:hanging="360"/>
      </w:pPr>
      <w:rPr>
        <w:rFonts w:ascii="Courier New" w:hAnsi="Courier New" w:cs="Courier New" w:hint="default"/>
      </w:rPr>
    </w:lvl>
    <w:lvl w:ilvl="5" w:tplc="04090005" w:tentative="1">
      <w:start w:val="1"/>
      <w:numFmt w:val="bullet"/>
      <w:lvlText w:val=""/>
      <w:lvlJc w:val="left"/>
      <w:pPr>
        <w:ind w:left="4641" w:hanging="360"/>
      </w:pPr>
      <w:rPr>
        <w:rFonts w:ascii="Wingdings" w:hAnsi="Wingdings" w:hint="default"/>
      </w:rPr>
    </w:lvl>
    <w:lvl w:ilvl="6" w:tplc="04090001" w:tentative="1">
      <w:start w:val="1"/>
      <w:numFmt w:val="bullet"/>
      <w:lvlText w:val=""/>
      <w:lvlJc w:val="left"/>
      <w:pPr>
        <w:ind w:left="5361" w:hanging="360"/>
      </w:pPr>
      <w:rPr>
        <w:rFonts w:ascii="Symbol" w:hAnsi="Symbol" w:hint="default"/>
      </w:rPr>
    </w:lvl>
    <w:lvl w:ilvl="7" w:tplc="04090003" w:tentative="1">
      <w:start w:val="1"/>
      <w:numFmt w:val="bullet"/>
      <w:lvlText w:val="o"/>
      <w:lvlJc w:val="left"/>
      <w:pPr>
        <w:ind w:left="6081" w:hanging="360"/>
      </w:pPr>
      <w:rPr>
        <w:rFonts w:ascii="Courier New" w:hAnsi="Courier New" w:cs="Courier New" w:hint="default"/>
      </w:rPr>
    </w:lvl>
    <w:lvl w:ilvl="8" w:tplc="04090005" w:tentative="1">
      <w:start w:val="1"/>
      <w:numFmt w:val="bullet"/>
      <w:lvlText w:val=""/>
      <w:lvlJc w:val="left"/>
      <w:pPr>
        <w:ind w:left="6801" w:hanging="360"/>
      </w:pPr>
      <w:rPr>
        <w:rFonts w:ascii="Wingdings" w:hAnsi="Wingdings" w:hint="default"/>
      </w:rPr>
    </w:lvl>
  </w:abstractNum>
  <w:abstractNum w:abstractNumId="4" w15:restartNumberingAfterBreak="0">
    <w:nsid w:val="65AE1524"/>
    <w:multiLevelType w:val="hybridMultilevel"/>
    <w:tmpl w:val="8F6A5650"/>
    <w:lvl w:ilvl="0" w:tplc="8E200A58">
      <w:numFmt w:val="bullet"/>
      <w:lvlText w:val=""/>
      <w:lvlJc w:val="left"/>
      <w:pPr>
        <w:ind w:left="1041" w:hanging="360"/>
      </w:pPr>
      <w:rPr>
        <w:rFonts w:ascii="Symbol" w:eastAsia="Symbol" w:hAnsi="Symbol" w:cs="Symbol" w:hint="default"/>
        <w:w w:val="100"/>
        <w:sz w:val="22"/>
        <w:szCs w:val="22"/>
      </w:rPr>
    </w:lvl>
    <w:lvl w:ilvl="1" w:tplc="4CB67774">
      <w:numFmt w:val="bullet"/>
      <w:lvlText w:val="•"/>
      <w:lvlJc w:val="left"/>
      <w:pPr>
        <w:ind w:left="2030" w:hanging="360"/>
      </w:pPr>
      <w:rPr>
        <w:rFonts w:hint="default"/>
      </w:rPr>
    </w:lvl>
    <w:lvl w:ilvl="2" w:tplc="0CD47872">
      <w:numFmt w:val="bullet"/>
      <w:lvlText w:val="•"/>
      <w:lvlJc w:val="left"/>
      <w:pPr>
        <w:ind w:left="3020" w:hanging="360"/>
      </w:pPr>
      <w:rPr>
        <w:rFonts w:hint="default"/>
      </w:rPr>
    </w:lvl>
    <w:lvl w:ilvl="3" w:tplc="3DC669E2">
      <w:numFmt w:val="bullet"/>
      <w:lvlText w:val="•"/>
      <w:lvlJc w:val="left"/>
      <w:pPr>
        <w:ind w:left="4010" w:hanging="360"/>
      </w:pPr>
      <w:rPr>
        <w:rFonts w:hint="default"/>
      </w:rPr>
    </w:lvl>
    <w:lvl w:ilvl="4" w:tplc="5A34046A">
      <w:numFmt w:val="bullet"/>
      <w:lvlText w:val="•"/>
      <w:lvlJc w:val="left"/>
      <w:pPr>
        <w:ind w:left="5000" w:hanging="360"/>
      </w:pPr>
      <w:rPr>
        <w:rFonts w:hint="default"/>
      </w:rPr>
    </w:lvl>
    <w:lvl w:ilvl="5" w:tplc="A3C6672A">
      <w:numFmt w:val="bullet"/>
      <w:lvlText w:val="•"/>
      <w:lvlJc w:val="left"/>
      <w:pPr>
        <w:ind w:left="5990" w:hanging="360"/>
      </w:pPr>
      <w:rPr>
        <w:rFonts w:hint="default"/>
      </w:rPr>
    </w:lvl>
    <w:lvl w:ilvl="6" w:tplc="44E46418">
      <w:numFmt w:val="bullet"/>
      <w:lvlText w:val="•"/>
      <w:lvlJc w:val="left"/>
      <w:pPr>
        <w:ind w:left="6980" w:hanging="360"/>
      </w:pPr>
      <w:rPr>
        <w:rFonts w:hint="default"/>
      </w:rPr>
    </w:lvl>
    <w:lvl w:ilvl="7" w:tplc="77708C28">
      <w:numFmt w:val="bullet"/>
      <w:lvlText w:val="•"/>
      <w:lvlJc w:val="left"/>
      <w:pPr>
        <w:ind w:left="7970" w:hanging="360"/>
      </w:pPr>
      <w:rPr>
        <w:rFonts w:hint="default"/>
      </w:rPr>
    </w:lvl>
    <w:lvl w:ilvl="8" w:tplc="840EB42A">
      <w:numFmt w:val="bullet"/>
      <w:lvlText w:val="•"/>
      <w:lvlJc w:val="left"/>
      <w:pPr>
        <w:ind w:left="8960" w:hanging="360"/>
      </w:pPr>
      <w:rPr>
        <w:rFonts w:hint="default"/>
      </w:rPr>
    </w:lvl>
  </w:abstractNum>
  <w:abstractNum w:abstractNumId="5" w15:restartNumberingAfterBreak="0">
    <w:nsid w:val="6B197341"/>
    <w:multiLevelType w:val="hybridMultilevel"/>
    <w:tmpl w:val="B3101042"/>
    <w:lvl w:ilvl="0" w:tplc="04090001">
      <w:start w:val="1"/>
      <w:numFmt w:val="bullet"/>
      <w:lvlText w:val=""/>
      <w:lvlJc w:val="left"/>
      <w:pPr>
        <w:ind w:left="1041" w:hanging="360"/>
      </w:pPr>
      <w:rPr>
        <w:rFonts w:ascii="Symbol" w:hAnsi="Symbol" w:hint="default"/>
      </w:rPr>
    </w:lvl>
    <w:lvl w:ilvl="1" w:tplc="04090003" w:tentative="1">
      <w:start w:val="1"/>
      <w:numFmt w:val="bullet"/>
      <w:lvlText w:val="o"/>
      <w:lvlJc w:val="left"/>
      <w:pPr>
        <w:ind w:left="1761" w:hanging="360"/>
      </w:pPr>
      <w:rPr>
        <w:rFonts w:ascii="Courier New" w:hAnsi="Courier New" w:cs="Courier New" w:hint="default"/>
      </w:rPr>
    </w:lvl>
    <w:lvl w:ilvl="2" w:tplc="04090005" w:tentative="1">
      <w:start w:val="1"/>
      <w:numFmt w:val="bullet"/>
      <w:lvlText w:val=""/>
      <w:lvlJc w:val="left"/>
      <w:pPr>
        <w:ind w:left="2481" w:hanging="360"/>
      </w:pPr>
      <w:rPr>
        <w:rFonts w:ascii="Wingdings" w:hAnsi="Wingdings" w:hint="default"/>
      </w:rPr>
    </w:lvl>
    <w:lvl w:ilvl="3" w:tplc="04090001" w:tentative="1">
      <w:start w:val="1"/>
      <w:numFmt w:val="bullet"/>
      <w:lvlText w:val=""/>
      <w:lvlJc w:val="left"/>
      <w:pPr>
        <w:ind w:left="3201" w:hanging="360"/>
      </w:pPr>
      <w:rPr>
        <w:rFonts w:ascii="Symbol" w:hAnsi="Symbol" w:hint="default"/>
      </w:rPr>
    </w:lvl>
    <w:lvl w:ilvl="4" w:tplc="04090003" w:tentative="1">
      <w:start w:val="1"/>
      <w:numFmt w:val="bullet"/>
      <w:lvlText w:val="o"/>
      <w:lvlJc w:val="left"/>
      <w:pPr>
        <w:ind w:left="3921" w:hanging="360"/>
      </w:pPr>
      <w:rPr>
        <w:rFonts w:ascii="Courier New" w:hAnsi="Courier New" w:cs="Courier New" w:hint="default"/>
      </w:rPr>
    </w:lvl>
    <w:lvl w:ilvl="5" w:tplc="04090005" w:tentative="1">
      <w:start w:val="1"/>
      <w:numFmt w:val="bullet"/>
      <w:lvlText w:val=""/>
      <w:lvlJc w:val="left"/>
      <w:pPr>
        <w:ind w:left="4641" w:hanging="360"/>
      </w:pPr>
      <w:rPr>
        <w:rFonts w:ascii="Wingdings" w:hAnsi="Wingdings" w:hint="default"/>
      </w:rPr>
    </w:lvl>
    <w:lvl w:ilvl="6" w:tplc="04090001" w:tentative="1">
      <w:start w:val="1"/>
      <w:numFmt w:val="bullet"/>
      <w:lvlText w:val=""/>
      <w:lvlJc w:val="left"/>
      <w:pPr>
        <w:ind w:left="5361" w:hanging="360"/>
      </w:pPr>
      <w:rPr>
        <w:rFonts w:ascii="Symbol" w:hAnsi="Symbol" w:hint="default"/>
      </w:rPr>
    </w:lvl>
    <w:lvl w:ilvl="7" w:tplc="04090003" w:tentative="1">
      <w:start w:val="1"/>
      <w:numFmt w:val="bullet"/>
      <w:lvlText w:val="o"/>
      <w:lvlJc w:val="left"/>
      <w:pPr>
        <w:ind w:left="6081" w:hanging="360"/>
      </w:pPr>
      <w:rPr>
        <w:rFonts w:ascii="Courier New" w:hAnsi="Courier New" w:cs="Courier New" w:hint="default"/>
      </w:rPr>
    </w:lvl>
    <w:lvl w:ilvl="8" w:tplc="04090005" w:tentative="1">
      <w:start w:val="1"/>
      <w:numFmt w:val="bullet"/>
      <w:lvlText w:val=""/>
      <w:lvlJc w:val="left"/>
      <w:pPr>
        <w:ind w:left="6801" w:hanging="360"/>
      </w:pPr>
      <w:rPr>
        <w:rFonts w:ascii="Wingdings" w:hAnsi="Wingdings" w:hint="default"/>
      </w:rPr>
    </w:lvl>
  </w:abstractNum>
  <w:abstractNum w:abstractNumId="6" w15:restartNumberingAfterBreak="0">
    <w:nsid w:val="712619DA"/>
    <w:multiLevelType w:val="hybridMultilevel"/>
    <w:tmpl w:val="128ABFA4"/>
    <w:lvl w:ilvl="0" w:tplc="816CB25C">
      <w:numFmt w:val="bullet"/>
      <w:lvlText w:val=""/>
      <w:lvlJc w:val="left"/>
      <w:pPr>
        <w:ind w:left="892" w:hanging="360"/>
      </w:pPr>
      <w:rPr>
        <w:rFonts w:ascii="Symbol" w:eastAsia="Symbol" w:hAnsi="Symbol" w:cs="Symbol" w:hint="default"/>
        <w:w w:val="100"/>
        <w:sz w:val="22"/>
        <w:szCs w:val="22"/>
      </w:rPr>
    </w:lvl>
    <w:lvl w:ilvl="1" w:tplc="F40E542E">
      <w:numFmt w:val="bullet"/>
      <w:lvlText w:val="•"/>
      <w:lvlJc w:val="left"/>
      <w:pPr>
        <w:ind w:left="1904" w:hanging="360"/>
      </w:pPr>
      <w:rPr>
        <w:rFonts w:hint="default"/>
      </w:rPr>
    </w:lvl>
    <w:lvl w:ilvl="2" w:tplc="E6948304">
      <w:numFmt w:val="bullet"/>
      <w:lvlText w:val="•"/>
      <w:lvlJc w:val="left"/>
      <w:pPr>
        <w:ind w:left="2908" w:hanging="360"/>
      </w:pPr>
      <w:rPr>
        <w:rFonts w:hint="default"/>
      </w:rPr>
    </w:lvl>
    <w:lvl w:ilvl="3" w:tplc="CE788508">
      <w:numFmt w:val="bullet"/>
      <w:lvlText w:val="•"/>
      <w:lvlJc w:val="left"/>
      <w:pPr>
        <w:ind w:left="3912" w:hanging="360"/>
      </w:pPr>
      <w:rPr>
        <w:rFonts w:hint="default"/>
      </w:rPr>
    </w:lvl>
    <w:lvl w:ilvl="4" w:tplc="F9A6E4A6">
      <w:numFmt w:val="bullet"/>
      <w:lvlText w:val="•"/>
      <w:lvlJc w:val="left"/>
      <w:pPr>
        <w:ind w:left="4916" w:hanging="360"/>
      </w:pPr>
      <w:rPr>
        <w:rFonts w:hint="default"/>
      </w:rPr>
    </w:lvl>
    <w:lvl w:ilvl="5" w:tplc="2F4024FC">
      <w:numFmt w:val="bullet"/>
      <w:lvlText w:val="•"/>
      <w:lvlJc w:val="left"/>
      <w:pPr>
        <w:ind w:left="5920" w:hanging="360"/>
      </w:pPr>
      <w:rPr>
        <w:rFonts w:hint="default"/>
      </w:rPr>
    </w:lvl>
    <w:lvl w:ilvl="6" w:tplc="3B8E499C">
      <w:numFmt w:val="bullet"/>
      <w:lvlText w:val="•"/>
      <w:lvlJc w:val="left"/>
      <w:pPr>
        <w:ind w:left="6924" w:hanging="360"/>
      </w:pPr>
      <w:rPr>
        <w:rFonts w:hint="default"/>
      </w:rPr>
    </w:lvl>
    <w:lvl w:ilvl="7" w:tplc="51661F6A">
      <w:numFmt w:val="bullet"/>
      <w:lvlText w:val="•"/>
      <w:lvlJc w:val="left"/>
      <w:pPr>
        <w:ind w:left="7928" w:hanging="360"/>
      </w:pPr>
      <w:rPr>
        <w:rFonts w:hint="default"/>
      </w:rPr>
    </w:lvl>
    <w:lvl w:ilvl="8" w:tplc="B036AD4A">
      <w:numFmt w:val="bullet"/>
      <w:lvlText w:val="•"/>
      <w:lvlJc w:val="left"/>
      <w:pPr>
        <w:ind w:left="8932" w:hanging="360"/>
      </w:pPr>
      <w:rPr>
        <w:rFonts w:hint="default"/>
      </w:rPr>
    </w:lvl>
  </w:abstractNum>
  <w:num w:numId="1" w16cid:durableId="1159228245">
    <w:abstractNumId w:val="4"/>
  </w:num>
  <w:num w:numId="2" w16cid:durableId="1136097398">
    <w:abstractNumId w:val="1"/>
  </w:num>
  <w:num w:numId="3" w16cid:durableId="1785030202">
    <w:abstractNumId w:val="6"/>
  </w:num>
  <w:num w:numId="4" w16cid:durableId="1717509848">
    <w:abstractNumId w:val="0"/>
  </w:num>
  <w:num w:numId="5" w16cid:durableId="1670064388">
    <w:abstractNumId w:val="2"/>
  </w:num>
  <w:num w:numId="6" w16cid:durableId="623269681">
    <w:abstractNumId w:val="3"/>
  </w:num>
  <w:num w:numId="7" w16cid:durableId="54102283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ichael Bryant">
    <w15:presenceInfo w15:providerId="AD" w15:userId="S::michaelb@payson.org::dfb82607-cb16-4257-b901-17aa276c26c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07AD"/>
    <w:rsid w:val="000312AF"/>
    <w:rsid w:val="000447EF"/>
    <w:rsid w:val="000864C4"/>
    <w:rsid w:val="0009030D"/>
    <w:rsid w:val="000B40AA"/>
    <w:rsid w:val="000E4F39"/>
    <w:rsid w:val="000F32BD"/>
    <w:rsid w:val="001032FB"/>
    <w:rsid w:val="001074D6"/>
    <w:rsid w:val="0011197E"/>
    <w:rsid w:val="00176245"/>
    <w:rsid w:val="00195EDA"/>
    <w:rsid w:val="00195F45"/>
    <w:rsid w:val="001A4FB4"/>
    <w:rsid w:val="001B4758"/>
    <w:rsid w:val="001D5DCE"/>
    <w:rsid w:val="001E508A"/>
    <w:rsid w:val="001F31F7"/>
    <w:rsid w:val="00217177"/>
    <w:rsid w:val="00224160"/>
    <w:rsid w:val="00232377"/>
    <w:rsid w:val="00295039"/>
    <w:rsid w:val="002A3EF4"/>
    <w:rsid w:val="0030294B"/>
    <w:rsid w:val="003151D2"/>
    <w:rsid w:val="003A24EB"/>
    <w:rsid w:val="003D780C"/>
    <w:rsid w:val="003F0E96"/>
    <w:rsid w:val="00407DA8"/>
    <w:rsid w:val="00424E99"/>
    <w:rsid w:val="004440F9"/>
    <w:rsid w:val="00466E46"/>
    <w:rsid w:val="00476581"/>
    <w:rsid w:val="00487017"/>
    <w:rsid w:val="004A0854"/>
    <w:rsid w:val="004B694D"/>
    <w:rsid w:val="004D2004"/>
    <w:rsid w:val="004F0664"/>
    <w:rsid w:val="005116A1"/>
    <w:rsid w:val="005175AB"/>
    <w:rsid w:val="00573659"/>
    <w:rsid w:val="0059024D"/>
    <w:rsid w:val="005D0A94"/>
    <w:rsid w:val="005E31D3"/>
    <w:rsid w:val="0062538F"/>
    <w:rsid w:val="006A2F5E"/>
    <w:rsid w:val="006A6F19"/>
    <w:rsid w:val="006A7896"/>
    <w:rsid w:val="006B1266"/>
    <w:rsid w:val="006F71F2"/>
    <w:rsid w:val="00725A48"/>
    <w:rsid w:val="00733EDF"/>
    <w:rsid w:val="007574D8"/>
    <w:rsid w:val="007607AD"/>
    <w:rsid w:val="007715B0"/>
    <w:rsid w:val="00782AF9"/>
    <w:rsid w:val="00795EB9"/>
    <w:rsid w:val="007B0D99"/>
    <w:rsid w:val="007B76FF"/>
    <w:rsid w:val="007D4F46"/>
    <w:rsid w:val="007F5F7A"/>
    <w:rsid w:val="00840AC6"/>
    <w:rsid w:val="008915BE"/>
    <w:rsid w:val="008B07A0"/>
    <w:rsid w:val="008C282E"/>
    <w:rsid w:val="008D3C23"/>
    <w:rsid w:val="009042A8"/>
    <w:rsid w:val="00916654"/>
    <w:rsid w:val="00926629"/>
    <w:rsid w:val="009268E1"/>
    <w:rsid w:val="00945779"/>
    <w:rsid w:val="00970927"/>
    <w:rsid w:val="00973701"/>
    <w:rsid w:val="0097549E"/>
    <w:rsid w:val="009B0A2F"/>
    <w:rsid w:val="009E4820"/>
    <w:rsid w:val="009F0BAC"/>
    <w:rsid w:val="009F5243"/>
    <w:rsid w:val="00A23940"/>
    <w:rsid w:val="00A76DF6"/>
    <w:rsid w:val="00AB4D10"/>
    <w:rsid w:val="00AB75B2"/>
    <w:rsid w:val="00AC4163"/>
    <w:rsid w:val="00AC7277"/>
    <w:rsid w:val="00B073EA"/>
    <w:rsid w:val="00B562FD"/>
    <w:rsid w:val="00B640DE"/>
    <w:rsid w:val="00B64DF6"/>
    <w:rsid w:val="00B74B06"/>
    <w:rsid w:val="00B770F0"/>
    <w:rsid w:val="00BD6CA2"/>
    <w:rsid w:val="00BE1683"/>
    <w:rsid w:val="00BF3BB0"/>
    <w:rsid w:val="00BF7D60"/>
    <w:rsid w:val="00C313FC"/>
    <w:rsid w:val="00C35374"/>
    <w:rsid w:val="00C43BBF"/>
    <w:rsid w:val="00C4646C"/>
    <w:rsid w:val="00C56C1A"/>
    <w:rsid w:val="00C95BA8"/>
    <w:rsid w:val="00CA6757"/>
    <w:rsid w:val="00CB260E"/>
    <w:rsid w:val="00CB4C4D"/>
    <w:rsid w:val="00CE6851"/>
    <w:rsid w:val="00CF6592"/>
    <w:rsid w:val="00CF7CAE"/>
    <w:rsid w:val="00D84B7A"/>
    <w:rsid w:val="00D930C7"/>
    <w:rsid w:val="00DA08F8"/>
    <w:rsid w:val="00DA7544"/>
    <w:rsid w:val="00DC3A56"/>
    <w:rsid w:val="00DE76D3"/>
    <w:rsid w:val="00E205A7"/>
    <w:rsid w:val="00E23910"/>
    <w:rsid w:val="00E23D98"/>
    <w:rsid w:val="00E45090"/>
    <w:rsid w:val="00E67572"/>
    <w:rsid w:val="00E8737F"/>
    <w:rsid w:val="00E96F37"/>
    <w:rsid w:val="00EA09CB"/>
    <w:rsid w:val="00EB630F"/>
    <w:rsid w:val="00EC7991"/>
    <w:rsid w:val="00F04681"/>
    <w:rsid w:val="00F30735"/>
    <w:rsid w:val="00F51221"/>
    <w:rsid w:val="00F80062"/>
    <w:rsid w:val="00F821BB"/>
    <w:rsid w:val="00FA592C"/>
    <w:rsid w:val="00FD38DD"/>
    <w:rsid w:val="00FD4909"/>
    <w:rsid w:val="00FF20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B1187CC"/>
  <w15:docId w15:val="{048C04EA-807F-47E2-8906-C1C02E493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uiPriority w:val="9"/>
    <w:qFormat/>
    <w:pPr>
      <w:ind w:left="321"/>
      <w:outlineLvl w:val="0"/>
    </w:pPr>
    <w:rPr>
      <w:b/>
      <w:bCs/>
      <w:sz w:val="28"/>
      <w:szCs w:val="28"/>
    </w:rPr>
  </w:style>
  <w:style w:type="paragraph" w:styleId="Heading2">
    <w:name w:val="heading 2"/>
    <w:basedOn w:val="Normal"/>
    <w:uiPriority w:val="9"/>
    <w:unhideWhenUsed/>
    <w:qFormat/>
    <w:pPr>
      <w:ind w:left="321"/>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21"/>
      <w:ind w:right="225"/>
      <w:jc w:val="center"/>
    </w:pPr>
    <w:rPr>
      <w:sz w:val="20"/>
      <w:szCs w:val="20"/>
    </w:rPr>
  </w:style>
  <w:style w:type="paragraph" w:styleId="TOC2">
    <w:name w:val="toc 2"/>
    <w:basedOn w:val="Normal"/>
    <w:uiPriority w:val="1"/>
    <w:qFormat/>
    <w:pPr>
      <w:spacing w:before="135"/>
      <w:ind w:left="172"/>
    </w:pPr>
    <w:rPr>
      <w:b/>
      <w:bCs/>
      <w:sz w:val="20"/>
      <w:szCs w:val="20"/>
    </w:rPr>
  </w:style>
  <w:style w:type="paragraph" w:styleId="TOC3">
    <w:name w:val="toc 3"/>
    <w:basedOn w:val="Normal"/>
    <w:uiPriority w:val="1"/>
    <w:qFormat/>
    <w:pPr>
      <w:spacing w:before="137"/>
      <w:ind w:left="453"/>
    </w:pPr>
    <w:rPr>
      <w:b/>
      <w:bCs/>
      <w:sz w:val="20"/>
      <w:szCs w:val="20"/>
    </w:rPr>
  </w:style>
  <w:style w:type="paragraph" w:styleId="BodyText">
    <w:name w:val="Body Text"/>
    <w:basedOn w:val="Normal"/>
    <w:uiPriority w:val="1"/>
    <w:qFormat/>
  </w:style>
  <w:style w:type="paragraph" w:styleId="ListParagraph">
    <w:name w:val="List Paragraph"/>
    <w:basedOn w:val="Normal"/>
    <w:uiPriority w:val="1"/>
    <w:qFormat/>
    <w:pPr>
      <w:ind w:left="1041" w:hanging="360"/>
    </w:pPr>
  </w:style>
  <w:style w:type="paragraph" w:customStyle="1" w:styleId="TableParagraph">
    <w:name w:val="Table Paragraph"/>
    <w:basedOn w:val="Normal"/>
    <w:uiPriority w:val="1"/>
    <w:qFormat/>
    <w:pPr>
      <w:spacing w:line="268" w:lineRule="exact"/>
    </w:pPr>
  </w:style>
  <w:style w:type="paragraph" w:styleId="Header">
    <w:name w:val="header"/>
    <w:basedOn w:val="Normal"/>
    <w:link w:val="HeaderChar"/>
    <w:uiPriority w:val="99"/>
    <w:unhideWhenUsed/>
    <w:rsid w:val="0030294B"/>
    <w:pPr>
      <w:tabs>
        <w:tab w:val="center" w:pos="4680"/>
        <w:tab w:val="right" w:pos="9360"/>
      </w:tabs>
    </w:pPr>
  </w:style>
  <w:style w:type="character" w:customStyle="1" w:styleId="HeaderChar">
    <w:name w:val="Header Char"/>
    <w:basedOn w:val="DefaultParagraphFont"/>
    <w:link w:val="Header"/>
    <w:uiPriority w:val="99"/>
    <w:rsid w:val="0030294B"/>
    <w:rPr>
      <w:rFonts w:ascii="Calibri" w:eastAsia="Calibri" w:hAnsi="Calibri" w:cs="Calibri"/>
    </w:rPr>
  </w:style>
  <w:style w:type="paragraph" w:styleId="Footer">
    <w:name w:val="footer"/>
    <w:basedOn w:val="Normal"/>
    <w:link w:val="FooterChar"/>
    <w:uiPriority w:val="99"/>
    <w:unhideWhenUsed/>
    <w:rsid w:val="0030294B"/>
    <w:pPr>
      <w:tabs>
        <w:tab w:val="center" w:pos="4680"/>
        <w:tab w:val="right" w:pos="9360"/>
      </w:tabs>
    </w:pPr>
  </w:style>
  <w:style w:type="character" w:customStyle="1" w:styleId="FooterChar">
    <w:name w:val="Footer Char"/>
    <w:basedOn w:val="DefaultParagraphFont"/>
    <w:link w:val="Footer"/>
    <w:uiPriority w:val="99"/>
    <w:rsid w:val="0030294B"/>
    <w:rPr>
      <w:rFonts w:ascii="Calibri" w:eastAsia="Calibri" w:hAnsi="Calibri" w:cs="Calibri"/>
    </w:rPr>
  </w:style>
  <w:style w:type="paragraph" w:styleId="BalloonText">
    <w:name w:val="Balloon Text"/>
    <w:basedOn w:val="Normal"/>
    <w:link w:val="BalloonTextChar"/>
    <w:uiPriority w:val="99"/>
    <w:semiHidden/>
    <w:unhideWhenUsed/>
    <w:rsid w:val="00D930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0C7"/>
    <w:rPr>
      <w:rFonts w:ascii="Segoe UI" w:eastAsia="Calibri" w:hAnsi="Segoe UI" w:cs="Segoe UI"/>
      <w:sz w:val="18"/>
      <w:szCs w:val="18"/>
    </w:rPr>
  </w:style>
  <w:style w:type="character" w:styleId="CommentReference">
    <w:name w:val="annotation reference"/>
    <w:basedOn w:val="DefaultParagraphFont"/>
    <w:uiPriority w:val="99"/>
    <w:semiHidden/>
    <w:unhideWhenUsed/>
    <w:rsid w:val="00CB4C4D"/>
    <w:rPr>
      <w:sz w:val="16"/>
      <w:szCs w:val="16"/>
    </w:rPr>
  </w:style>
  <w:style w:type="paragraph" w:styleId="CommentText">
    <w:name w:val="annotation text"/>
    <w:basedOn w:val="Normal"/>
    <w:link w:val="CommentTextChar"/>
    <w:uiPriority w:val="99"/>
    <w:unhideWhenUsed/>
    <w:rsid w:val="00CB4C4D"/>
    <w:rPr>
      <w:sz w:val="20"/>
      <w:szCs w:val="20"/>
    </w:rPr>
  </w:style>
  <w:style w:type="character" w:customStyle="1" w:styleId="CommentTextChar">
    <w:name w:val="Comment Text Char"/>
    <w:basedOn w:val="DefaultParagraphFont"/>
    <w:link w:val="CommentText"/>
    <w:uiPriority w:val="99"/>
    <w:rsid w:val="00CB4C4D"/>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CB4C4D"/>
    <w:rPr>
      <w:b/>
      <w:bCs/>
    </w:rPr>
  </w:style>
  <w:style w:type="character" w:customStyle="1" w:styleId="CommentSubjectChar">
    <w:name w:val="Comment Subject Char"/>
    <w:basedOn w:val="CommentTextChar"/>
    <w:link w:val="CommentSubject"/>
    <w:uiPriority w:val="99"/>
    <w:semiHidden/>
    <w:rsid w:val="00CB4C4D"/>
    <w:rPr>
      <w:rFonts w:ascii="Calibri" w:eastAsia="Calibri" w:hAnsi="Calibri" w:cs="Calibri"/>
      <w:b/>
      <w:bCs/>
      <w:sz w:val="20"/>
      <w:szCs w:val="20"/>
    </w:rPr>
  </w:style>
  <w:style w:type="paragraph" w:styleId="Revision">
    <w:name w:val="Revision"/>
    <w:hidden/>
    <w:uiPriority w:val="99"/>
    <w:semiHidden/>
    <w:rsid w:val="004D2004"/>
    <w:pPr>
      <w:widowControl/>
      <w:autoSpaceDE/>
      <w:autoSpaceDN/>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48350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bls.gov/news.release/pdf/cesan.pdf" TargetMode="External"/><Relationship Id="rId18" Type="http://schemas.openxmlformats.org/officeDocument/2006/relationships/image" Target="media/image5.emf"/><Relationship Id="rId26" Type="http://schemas.openxmlformats.org/officeDocument/2006/relationships/hyperlink" Target="https://utahvalleyvisioning.org/project" TargetMode="External"/><Relationship Id="rId3" Type="http://schemas.openxmlformats.org/officeDocument/2006/relationships/settings" Target="settings.xml"/><Relationship Id="rId21" Type="http://schemas.openxmlformats.org/officeDocument/2006/relationships/hyperlink" Target="http://media.straffordpub.com/products/mixed-use-developments-lessons-learned-from-recent-deals-2014-01-16/presentation.pdf" TargetMode="External"/><Relationship Id="rId7" Type="http://schemas.openxmlformats.org/officeDocument/2006/relationships/footer" Target="footer1.xml"/><Relationship Id="rId12" Type="http://schemas.openxmlformats.org/officeDocument/2006/relationships/hyperlink" Target="http://www.bls.gov/news.release/pdf/cesan.pdf" TargetMode="External"/><Relationship Id="rId17" Type="http://schemas.openxmlformats.org/officeDocument/2006/relationships/chart" Target="charts/chart4.xml"/><Relationship Id="rId25" Type="http://schemas.openxmlformats.org/officeDocument/2006/relationships/hyperlink" Target="https://www.bls.gov/news.release/pdf/cesan.pdf" TargetMode="External"/><Relationship Id="rId2" Type="http://schemas.openxmlformats.org/officeDocument/2006/relationships/styles" Target="styles.xml"/><Relationship Id="rId16" Type="http://schemas.openxmlformats.org/officeDocument/2006/relationships/image" Target="media/image4.jpeg"/><Relationship Id="rId20" Type="http://schemas.openxmlformats.org/officeDocument/2006/relationships/hyperlink" Target="https://missingmiddlehousing.com/"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3.xml"/><Relationship Id="rId24" Type="http://schemas.openxmlformats.org/officeDocument/2006/relationships/hyperlink" Target="https://americas.uli.org/" TargetMode="External"/><Relationship Id="rId5" Type="http://schemas.openxmlformats.org/officeDocument/2006/relationships/footnotes" Target="footnotes.xml"/><Relationship Id="rId15" Type="http://schemas.openxmlformats.org/officeDocument/2006/relationships/image" Target="media/image3.jpeg"/><Relationship Id="rId23" Type="http://schemas.openxmlformats.org/officeDocument/2006/relationships/hyperlink" Target="https://www.sltrib.com/homeprices/" TargetMode="External"/><Relationship Id="rId28" Type="http://schemas.openxmlformats.org/officeDocument/2006/relationships/footer" Target="footer2.xml"/><Relationship Id="rId10" Type="http://schemas.openxmlformats.org/officeDocument/2006/relationships/chart" Target="charts/chart2.xml"/><Relationship Id="rId19" Type="http://schemas.openxmlformats.org/officeDocument/2006/relationships/hyperlink" Target="https://www.propertymanagementinsider.com/how-multifamily-is-blending-retail-with-residential"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image" Target="media/image2.jpeg"/><Relationship Id="rId22" Type="http://schemas.openxmlformats.org/officeDocument/2006/relationships/hyperlink" Target="http://media.straffordpub.com/products/mixed-use-developments-lessons-learned-from-recent-deals-2014-01-16/presentation.pdf" TargetMode="External"/><Relationship Id="rId27" Type="http://schemas.openxmlformats.org/officeDocument/2006/relationships/hyperlink" Target="https://jobs.utah.gov/housing/affordable/moderate/reporting/" TargetMode="External"/><Relationship Id="rId30" Type="http://schemas.microsoft.com/office/2011/relationships/people" Target="people.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robertm\Desktop\MIH\Population%20By%20Age.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Population Growth 1960 -2023</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'Population 1960 to 2021'!$B$1</c:f>
              <c:strCache>
                <c:ptCount val="1"/>
                <c:pt idx="0">
                  <c:v>Population</c:v>
                </c:pt>
              </c:strCache>
            </c:strRef>
          </c:tx>
          <c:spPr>
            <a:solidFill>
              <a:schemeClr val="accent1"/>
            </a:solidFill>
            <a:ln>
              <a:noFill/>
            </a:ln>
            <a:effectLst/>
          </c:spPr>
          <c:invertIfNegative val="0"/>
          <c:cat>
            <c:numRef>
              <c:f>'Population 1960 to 2021'!$A$2:$A$9</c:f>
              <c:numCache>
                <c:formatCode>General</c:formatCode>
                <c:ptCount val="8"/>
                <c:pt idx="0">
                  <c:v>1960</c:v>
                </c:pt>
                <c:pt idx="1">
                  <c:v>1970</c:v>
                </c:pt>
                <c:pt idx="2">
                  <c:v>1980</c:v>
                </c:pt>
                <c:pt idx="3">
                  <c:v>1990</c:v>
                </c:pt>
                <c:pt idx="4">
                  <c:v>2000</c:v>
                </c:pt>
                <c:pt idx="5">
                  <c:v>2010</c:v>
                </c:pt>
                <c:pt idx="6">
                  <c:v>2020</c:v>
                </c:pt>
                <c:pt idx="7">
                  <c:v>2023</c:v>
                </c:pt>
              </c:numCache>
            </c:numRef>
          </c:cat>
          <c:val>
            <c:numRef>
              <c:f>'Population 1960 to 2021'!$B$2:$B$9</c:f>
              <c:numCache>
                <c:formatCode>General</c:formatCode>
                <c:ptCount val="8"/>
                <c:pt idx="0">
                  <c:v>4237</c:v>
                </c:pt>
                <c:pt idx="1">
                  <c:v>4501</c:v>
                </c:pt>
                <c:pt idx="2">
                  <c:v>8246</c:v>
                </c:pt>
                <c:pt idx="3">
                  <c:v>9510</c:v>
                </c:pt>
                <c:pt idx="4">
                  <c:v>12716</c:v>
                </c:pt>
                <c:pt idx="5">
                  <c:v>18294</c:v>
                </c:pt>
                <c:pt idx="6">
                  <c:v>21101</c:v>
                </c:pt>
                <c:pt idx="7">
                  <c:v>24054</c:v>
                </c:pt>
              </c:numCache>
            </c:numRef>
          </c:val>
          <c:extLst>
            <c:ext xmlns:c16="http://schemas.microsoft.com/office/drawing/2014/chart" uri="{C3380CC4-5D6E-409C-BE32-E72D297353CC}">
              <c16:uniqueId val="{00000000-56F2-4338-B5A8-6D8370153C18}"/>
            </c:ext>
          </c:extLst>
        </c:ser>
        <c:dLbls>
          <c:showLegendKey val="0"/>
          <c:showVal val="0"/>
          <c:showCatName val="0"/>
          <c:showSerName val="0"/>
          <c:showPercent val="0"/>
          <c:showBubbleSize val="0"/>
        </c:dLbls>
        <c:gapWidth val="219"/>
        <c:overlap val="-27"/>
        <c:axId val="1608481520"/>
        <c:axId val="1604458624"/>
      </c:barChart>
      <c:catAx>
        <c:axId val="16084815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604458624"/>
        <c:crosses val="autoZero"/>
        <c:auto val="1"/>
        <c:lblAlgn val="ctr"/>
        <c:lblOffset val="100"/>
        <c:noMultiLvlLbl val="0"/>
      </c:catAx>
      <c:valAx>
        <c:axId val="160445862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60848152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endParaRPr lang="en-US"/>
        </a:p>
      </c:txPr>
    </c:title>
    <c:autoTitleDeleted val="0"/>
    <c:plotArea>
      <c:layout/>
      <c:barChart>
        <c:barDir val="col"/>
        <c:grouping val="clustered"/>
        <c:varyColors val="0"/>
        <c:ser>
          <c:idx val="0"/>
          <c:order val="0"/>
          <c:tx>
            <c:strRef>
              <c:f>'Age as % of Pop'!$H$1</c:f>
              <c:strCache>
                <c:ptCount val="1"/>
                <c:pt idx="0">
                  <c:v>Payson</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invertIfNegative val="0"/>
          <c:cat>
            <c:strRef>
              <c:f>'Age as % of Pop'!$G$2:$G$19</c:f>
              <c:strCache>
                <c:ptCount val="18"/>
                <c:pt idx="0">
                  <c:v>Under 5</c:v>
                </c:pt>
                <c:pt idx="1">
                  <c:v>5 to 9</c:v>
                </c:pt>
                <c:pt idx="2">
                  <c:v>10 to 14</c:v>
                </c:pt>
                <c:pt idx="3">
                  <c:v>15 to 19</c:v>
                </c:pt>
                <c:pt idx="4">
                  <c:v>20 to 24</c:v>
                </c:pt>
                <c:pt idx="5">
                  <c:v>25 to 29</c:v>
                </c:pt>
                <c:pt idx="6">
                  <c:v>30 to 34</c:v>
                </c:pt>
                <c:pt idx="7">
                  <c:v>35 to 39</c:v>
                </c:pt>
                <c:pt idx="8">
                  <c:v>40 to 44</c:v>
                </c:pt>
                <c:pt idx="9">
                  <c:v>45 to 49</c:v>
                </c:pt>
                <c:pt idx="10">
                  <c:v>50 to 54</c:v>
                </c:pt>
                <c:pt idx="11">
                  <c:v>55 to 59</c:v>
                </c:pt>
                <c:pt idx="12">
                  <c:v>60 to 64</c:v>
                </c:pt>
                <c:pt idx="13">
                  <c:v>65 to 69</c:v>
                </c:pt>
                <c:pt idx="14">
                  <c:v>70 to 74</c:v>
                </c:pt>
                <c:pt idx="15">
                  <c:v>75 to 79 </c:v>
                </c:pt>
                <c:pt idx="16">
                  <c:v>80 to 84</c:v>
                </c:pt>
                <c:pt idx="17">
                  <c:v>85 and over</c:v>
                </c:pt>
              </c:strCache>
            </c:strRef>
          </c:cat>
          <c:val>
            <c:numRef>
              <c:f>'Age as % of Pop'!$H$2:$H$19</c:f>
              <c:numCache>
                <c:formatCode>0%</c:formatCode>
                <c:ptCount val="18"/>
                <c:pt idx="0">
                  <c:v>7.1453347207769691E-2</c:v>
                </c:pt>
                <c:pt idx="1">
                  <c:v>8.3989891482087117E-2</c:v>
                </c:pt>
                <c:pt idx="2">
                  <c:v>0.10817105197958476</c:v>
                </c:pt>
                <c:pt idx="3">
                  <c:v>0.12739705663743126</c:v>
                </c:pt>
                <c:pt idx="4">
                  <c:v>8.6417917843516184E-2</c:v>
                </c:pt>
                <c:pt idx="5">
                  <c:v>6.1443932411674347E-2</c:v>
                </c:pt>
                <c:pt idx="6">
                  <c:v>6.0403349685347607E-2</c:v>
                </c:pt>
                <c:pt idx="7">
                  <c:v>7.5467023437887124E-2</c:v>
                </c:pt>
                <c:pt idx="8">
                  <c:v>6.4218819681878994E-2</c:v>
                </c:pt>
                <c:pt idx="9">
                  <c:v>6.1295277736484813E-2</c:v>
                </c:pt>
                <c:pt idx="10">
                  <c:v>3.3199544125662755E-2</c:v>
                </c:pt>
                <c:pt idx="11">
                  <c:v>3.4190575293592984E-2</c:v>
                </c:pt>
                <c:pt idx="12">
                  <c:v>2.8095733610822061E-2</c:v>
                </c:pt>
                <c:pt idx="13">
                  <c:v>3.6271740746246471E-2</c:v>
                </c:pt>
                <c:pt idx="14">
                  <c:v>2.9384074129131361E-2</c:v>
                </c:pt>
                <c:pt idx="15">
                  <c:v>1.8730489073881373E-2</c:v>
                </c:pt>
                <c:pt idx="16">
                  <c:v>1.1495961547990685E-2</c:v>
                </c:pt>
                <c:pt idx="17">
                  <c:v>8.374213369010456E-3</c:v>
                </c:pt>
              </c:numCache>
            </c:numRef>
          </c:val>
          <c:extLst>
            <c:ext xmlns:c16="http://schemas.microsoft.com/office/drawing/2014/chart" uri="{C3380CC4-5D6E-409C-BE32-E72D297353CC}">
              <c16:uniqueId val="{00000000-CA57-4BB7-91F8-FE1830E63B40}"/>
            </c:ext>
          </c:extLst>
        </c:ser>
        <c:ser>
          <c:idx val="1"/>
          <c:order val="1"/>
          <c:tx>
            <c:strRef>
              <c:f>'Age as % of Pop'!$I$1</c:f>
              <c:strCache>
                <c:ptCount val="1"/>
                <c:pt idx="0">
                  <c:v>Utah County</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invertIfNegative val="0"/>
          <c:cat>
            <c:strRef>
              <c:f>'Age as % of Pop'!$G$2:$G$19</c:f>
              <c:strCache>
                <c:ptCount val="18"/>
                <c:pt idx="0">
                  <c:v>Under 5</c:v>
                </c:pt>
                <c:pt idx="1">
                  <c:v>5 to 9</c:v>
                </c:pt>
                <c:pt idx="2">
                  <c:v>10 to 14</c:v>
                </c:pt>
                <c:pt idx="3">
                  <c:v>15 to 19</c:v>
                </c:pt>
                <c:pt idx="4">
                  <c:v>20 to 24</c:v>
                </c:pt>
                <c:pt idx="5">
                  <c:v>25 to 29</c:v>
                </c:pt>
                <c:pt idx="6">
                  <c:v>30 to 34</c:v>
                </c:pt>
                <c:pt idx="7">
                  <c:v>35 to 39</c:v>
                </c:pt>
                <c:pt idx="8">
                  <c:v>40 to 44</c:v>
                </c:pt>
                <c:pt idx="9">
                  <c:v>45 to 49</c:v>
                </c:pt>
                <c:pt idx="10">
                  <c:v>50 to 54</c:v>
                </c:pt>
                <c:pt idx="11">
                  <c:v>55 to 59</c:v>
                </c:pt>
                <c:pt idx="12">
                  <c:v>60 to 64</c:v>
                </c:pt>
                <c:pt idx="13">
                  <c:v>65 to 69</c:v>
                </c:pt>
                <c:pt idx="14">
                  <c:v>70 to 74</c:v>
                </c:pt>
                <c:pt idx="15">
                  <c:v>75 to 79 </c:v>
                </c:pt>
                <c:pt idx="16">
                  <c:v>80 to 84</c:v>
                </c:pt>
                <c:pt idx="17">
                  <c:v>85 and over</c:v>
                </c:pt>
              </c:strCache>
            </c:strRef>
          </c:cat>
          <c:val>
            <c:numRef>
              <c:f>'Age as % of Pop'!$I$2:$I$19</c:f>
              <c:numCache>
                <c:formatCode>0%</c:formatCode>
                <c:ptCount val="18"/>
                <c:pt idx="0">
                  <c:v>8.573897860686204E-2</c:v>
                </c:pt>
                <c:pt idx="1">
                  <c:v>9.7343595343554468E-2</c:v>
                </c:pt>
                <c:pt idx="2">
                  <c:v>8.3763755755592084E-2</c:v>
                </c:pt>
                <c:pt idx="3">
                  <c:v>9.5126031772912151E-2</c:v>
                </c:pt>
                <c:pt idx="4">
                  <c:v>0.12246235689488544</c:v>
                </c:pt>
                <c:pt idx="5">
                  <c:v>8.6680603691170324E-2</c:v>
                </c:pt>
                <c:pt idx="6">
                  <c:v>6.4252408078413287E-2</c:v>
                </c:pt>
                <c:pt idx="7">
                  <c:v>6.1674253196415695E-2</c:v>
                </c:pt>
                <c:pt idx="8">
                  <c:v>6.4744388936416222E-2</c:v>
                </c:pt>
                <c:pt idx="9">
                  <c:v>4.9976203893218253E-2</c:v>
                </c:pt>
                <c:pt idx="10">
                  <c:v>4.1431503709564867E-2</c:v>
                </c:pt>
                <c:pt idx="11">
                  <c:v>3.4353986796810447E-2</c:v>
                </c:pt>
                <c:pt idx="12">
                  <c:v>3.3660541967281084E-2</c:v>
                </c:pt>
                <c:pt idx="13">
                  <c:v>2.7448736178549635E-2</c:v>
                </c:pt>
                <c:pt idx="14">
                  <c:v>2.1362480401059293E-2</c:v>
                </c:pt>
                <c:pt idx="15">
                  <c:v>1.4998846691757203E-2</c:v>
                </c:pt>
                <c:pt idx="16">
                  <c:v>8.6571112402297271E-3</c:v>
                </c:pt>
                <c:pt idx="17">
                  <c:v>6.324216845307787E-3</c:v>
                </c:pt>
              </c:numCache>
            </c:numRef>
          </c:val>
          <c:extLst>
            <c:ext xmlns:c16="http://schemas.microsoft.com/office/drawing/2014/chart" uri="{C3380CC4-5D6E-409C-BE32-E72D297353CC}">
              <c16:uniqueId val="{00000001-CA57-4BB7-91F8-FE1830E63B40}"/>
            </c:ext>
          </c:extLst>
        </c:ser>
        <c:ser>
          <c:idx val="2"/>
          <c:order val="2"/>
          <c:tx>
            <c:strRef>
              <c:f>'Age as % of Pop'!$J$1</c:f>
              <c:strCache>
                <c:ptCount val="1"/>
                <c:pt idx="0">
                  <c:v>Utah</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invertIfNegative val="0"/>
          <c:cat>
            <c:strRef>
              <c:f>'Age as % of Pop'!$G$2:$G$19</c:f>
              <c:strCache>
                <c:ptCount val="18"/>
                <c:pt idx="0">
                  <c:v>Under 5</c:v>
                </c:pt>
                <c:pt idx="1">
                  <c:v>5 to 9</c:v>
                </c:pt>
                <c:pt idx="2">
                  <c:v>10 to 14</c:v>
                </c:pt>
                <c:pt idx="3">
                  <c:v>15 to 19</c:v>
                </c:pt>
                <c:pt idx="4">
                  <c:v>20 to 24</c:v>
                </c:pt>
                <c:pt idx="5">
                  <c:v>25 to 29</c:v>
                </c:pt>
                <c:pt idx="6">
                  <c:v>30 to 34</c:v>
                </c:pt>
                <c:pt idx="7">
                  <c:v>35 to 39</c:v>
                </c:pt>
                <c:pt idx="8">
                  <c:v>40 to 44</c:v>
                </c:pt>
                <c:pt idx="9">
                  <c:v>45 to 49</c:v>
                </c:pt>
                <c:pt idx="10">
                  <c:v>50 to 54</c:v>
                </c:pt>
                <c:pt idx="11">
                  <c:v>55 to 59</c:v>
                </c:pt>
                <c:pt idx="12">
                  <c:v>60 to 64</c:v>
                </c:pt>
                <c:pt idx="13">
                  <c:v>65 to 69</c:v>
                </c:pt>
                <c:pt idx="14">
                  <c:v>70 to 74</c:v>
                </c:pt>
                <c:pt idx="15">
                  <c:v>75 to 79 </c:v>
                </c:pt>
                <c:pt idx="16">
                  <c:v>80 to 84</c:v>
                </c:pt>
                <c:pt idx="17">
                  <c:v>85 and over</c:v>
                </c:pt>
              </c:strCache>
            </c:strRef>
          </c:cat>
          <c:val>
            <c:numRef>
              <c:f>'Age as % of Pop'!$J$2:$J$19</c:f>
              <c:numCache>
                <c:formatCode>0%</c:formatCode>
                <c:ptCount val="18"/>
                <c:pt idx="0">
                  <c:v>7.0186565207947929E-2</c:v>
                </c:pt>
                <c:pt idx="1">
                  <c:v>7.9176746380664922E-2</c:v>
                </c:pt>
                <c:pt idx="2">
                  <c:v>8.3238490402115048E-2</c:v>
                </c:pt>
                <c:pt idx="3">
                  <c:v>8.1045843662699693E-2</c:v>
                </c:pt>
                <c:pt idx="4">
                  <c:v>8.3973067503501378E-2</c:v>
                </c:pt>
                <c:pt idx="5">
                  <c:v>7.5394513140451924E-2</c:v>
                </c:pt>
                <c:pt idx="6">
                  <c:v>7.0141627783311733E-2</c:v>
                </c:pt>
                <c:pt idx="7">
                  <c:v>7.1468779724234002E-2</c:v>
                </c:pt>
                <c:pt idx="8">
                  <c:v>6.8479542237434368E-2</c:v>
                </c:pt>
                <c:pt idx="9">
                  <c:v>5.6513604805308607E-2</c:v>
                </c:pt>
                <c:pt idx="10">
                  <c:v>5.0764011114523028E-2</c:v>
                </c:pt>
                <c:pt idx="11">
                  <c:v>4.6533901542102622E-2</c:v>
                </c:pt>
                <c:pt idx="12">
                  <c:v>4.6809218163707041E-2</c:v>
                </c:pt>
                <c:pt idx="13">
                  <c:v>4.0389457680180346E-2</c:v>
                </c:pt>
                <c:pt idx="14">
                  <c:v>3.2061354563769948E-2</c:v>
                </c:pt>
                <c:pt idx="15">
                  <c:v>2.0143350384589458E-2</c:v>
                </c:pt>
                <c:pt idx="16">
                  <c:v>1.2403927530913203E-2</c:v>
                </c:pt>
                <c:pt idx="17">
                  <c:v>1.1275998172544731E-2</c:v>
                </c:pt>
              </c:numCache>
            </c:numRef>
          </c:val>
          <c:extLst>
            <c:ext xmlns:c16="http://schemas.microsoft.com/office/drawing/2014/chart" uri="{C3380CC4-5D6E-409C-BE32-E72D297353CC}">
              <c16:uniqueId val="{00000002-CA57-4BB7-91F8-FE1830E63B40}"/>
            </c:ext>
          </c:extLst>
        </c:ser>
        <c:dLbls>
          <c:showLegendKey val="0"/>
          <c:showVal val="0"/>
          <c:showCatName val="0"/>
          <c:showSerName val="0"/>
          <c:showPercent val="0"/>
          <c:showBubbleSize val="0"/>
        </c:dLbls>
        <c:gapWidth val="100"/>
        <c:overlap val="-24"/>
        <c:axId val="1755297616"/>
        <c:axId val="1958805568"/>
      </c:barChart>
      <c:catAx>
        <c:axId val="1755297616"/>
        <c:scaling>
          <c:orientation val="minMax"/>
        </c:scaling>
        <c:delete val="0"/>
        <c:axPos val="b"/>
        <c:numFmt formatCode="General" sourceLinked="1"/>
        <c:majorTickMark val="none"/>
        <c:minorTickMark val="none"/>
        <c:tickLblPos val="nextTo"/>
        <c:spPr>
          <a:noFill/>
          <a:ln w="12700" cap="flat" cmpd="sng" algn="ctr">
            <a:solidFill>
              <a:schemeClr val="lt1">
                <a:lumMod val="95000"/>
                <a:alpha val="54000"/>
              </a:schemeClr>
            </a:solidFill>
            <a:round/>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n-US"/>
          </a:p>
        </c:txPr>
        <c:crossAx val="1958805568"/>
        <c:crosses val="autoZero"/>
        <c:auto val="1"/>
        <c:lblAlgn val="ctr"/>
        <c:lblOffset val="100"/>
        <c:noMultiLvlLbl val="0"/>
      </c:catAx>
      <c:valAx>
        <c:axId val="1958805568"/>
        <c:scaling>
          <c:orientation val="minMax"/>
        </c:scaling>
        <c:delete val="0"/>
        <c:axPos val="l"/>
        <c:majorGridlines>
          <c:spPr>
            <a:ln w="9525" cap="flat" cmpd="sng" algn="ctr">
              <a:solidFill>
                <a:schemeClr val="lt1">
                  <a:lumMod val="95000"/>
                  <a:alpha val="10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n-US"/>
          </a:p>
        </c:txPr>
        <c:crossAx val="175529761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n-US"/>
        </a:p>
      </c:txPr>
    </c:legend>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292541557305337"/>
          <c:y val="6.709499854184893E-2"/>
          <c:w val="0.858325021872266"/>
          <c:h val="0.59415463692038495"/>
        </c:manualLayout>
      </c:layout>
      <c:barChart>
        <c:barDir val="col"/>
        <c:grouping val="clustered"/>
        <c:varyColors val="0"/>
        <c:ser>
          <c:idx val="0"/>
          <c:order val="0"/>
          <c:tx>
            <c:strRef>
              <c:f>'Median Income'!$C$1</c:f>
              <c:strCache>
                <c:ptCount val="1"/>
                <c:pt idx="0">
                  <c:v>2023 ACS Survey</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invertIfNegative val="0"/>
          <c:cat>
            <c:strRef>
              <c:f>'Median Income'!$B$3:$B$12</c:f>
              <c:strCache>
                <c:ptCount val="10"/>
                <c:pt idx="0">
                  <c:v>Less than $10,000</c:v>
                </c:pt>
                <c:pt idx="1">
                  <c:v>$10,000 to $14,999</c:v>
                </c:pt>
                <c:pt idx="2">
                  <c:v>$15,000 to $24,999</c:v>
                </c:pt>
                <c:pt idx="3">
                  <c:v>$25,000 to $34,999</c:v>
                </c:pt>
                <c:pt idx="4">
                  <c:v>$35,000 to $49,999</c:v>
                </c:pt>
                <c:pt idx="5">
                  <c:v>$50,000 to $74,999</c:v>
                </c:pt>
                <c:pt idx="6">
                  <c:v>$75,000 to $99,999</c:v>
                </c:pt>
                <c:pt idx="7">
                  <c:v>$100,000 to $149,999</c:v>
                </c:pt>
                <c:pt idx="8">
                  <c:v>$150,000 to $199,999</c:v>
                </c:pt>
                <c:pt idx="9">
                  <c:v>$200,000 or more</c:v>
                </c:pt>
              </c:strCache>
            </c:strRef>
          </c:cat>
          <c:val>
            <c:numRef>
              <c:f>'Median Income'!$C$3:$C$12</c:f>
              <c:numCache>
                <c:formatCode>0.0%</c:formatCode>
                <c:ptCount val="10"/>
                <c:pt idx="0">
                  <c:v>3.4000000000000002E-2</c:v>
                </c:pt>
                <c:pt idx="1">
                  <c:v>2.3E-2</c:v>
                </c:pt>
                <c:pt idx="2">
                  <c:v>3.3000000000000002E-2</c:v>
                </c:pt>
                <c:pt idx="3">
                  <c:v>3.2000000000000001E-2</c:v>
                </c:pt>
                <c:pt idx="4">
                  <c:v>0.105</c:v>
                </c:pt>
                <c:pt idx="5">
                  <c:v>0.21199999999999999</c:v>
                </c:pt>
                <c:pt idx="6">
                  <c:v>0.16200000000000001</c:v>
                </c:pt>
                <c:pt idx="7">
                  <c:v>0.245</c:v>
                </c:pt>
                <c:pt idx="8">
                  <c:v>0.10100000000000001</c:v>
                </c:pt>
                <c:pt idx="9">
                  <c:v>5.3999999999999999E-2</c:v>
                </c:pt>
              </c:numCache>
            </c:numRef>
          </c:val>
          <c:extLst>
            <c:ext xmlns:c16="http://schemas.microsoft.com/office/drawing/2014/chart" uri="{C3380CC4-5D6E-409C-BE32-E72D297353CC}">
              <c16:uniqueId val="{00000000-EB24-4CF2-A11A-FD424BCF8A50}"/>
            </c:ext>
          </c:extLst>
        </c:ser>
        <c:dLbls>
          <c:showLegendKey val="0"/>
          <c:showVal val="0"/>
          <c:showCatName val="0"/>
          <c:showSerName val="0"/>
          <c:showPercent val="0"/>
          <c:showBubbleSize val="0"/>
        </c:dLbls>
        <c:gapWidth val="100"/>
        <c:overlap val="-24"/>
        <c:axId val="1610255312"/>
        <c:axId val="2032841104"/>
      </c:barChart>
      <c:catAx>
        <c:axId val="1610255312"/>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32841104"/>
        <c:crosses val="autoZero"/>
        <c:auto val="1"/>
        <c:lblAlgn val="ctr"/>
        <c:lblOffset val="100"/>
        <c:noMultiLvlLbl val="0"/>
      </c:catAx>
      <c:valAx>
        <c:axId val="2032841104"/>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61025531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Housing Permits 2019-2024</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stacked"/>
        <c:varyColors val="0"/>
        <c:ser>
          <c:idx val="0"/>
          <c:order val="0"/>
          <c:tx>
            <c:strRef>
              <c:f>'Housing Permits'!$B$5</c:f>
              <c:strCache>
                <c:ptCount val="1"/>
                <c:pt idx="0">
                  <c:v>Detached Single Family</c:v>
                </c:pt>
              </c:strCache>
            </c:strRef>
          </c:tx>
          <c:spPr>
            <a:solidFill>
              <a:schemeClr val="accent1"/>
            </a:solidFill>
            <a:ln>
              <a:noFill/>
            </a:ln>
            <a:effectLst/>
          </c:spPr>
          <c:invertIfNegative val="0"/>
          <c:cat>
            <c:numRef>
              <c:f>'Housing Permits'!$E$4:$J$4</c:f>
              <c:numCache>
                <c:formatCode>General</c:formatCode>
                <c:ptCount val="6"/>
                <c:pt idx="0">
                  <c:v>2019</c:v>
                </c:pt>
                <c:pt idx="1">
                  <c:v>2020</c:v>
                </c:pt>
                <c:pt idx="2">
                  <c:v>2021</c:v>
                </c:pt>
                <c:pt idx="3">
                  <c:v>2022</c:v>
                </c:pt>
                <c:pt idx="4">
                  <c:v>2023</c:v>
                </c:pt>
                <c:pt idx="5">
                  <c:v>2024</c:v>
                </c:pt>
              </c:numCache>
            </c:numRef>
          </c:cat>
          <c:val>
            <c:numRef>
              <c:f>'Housing Permits'!$E$5:$J$5</c:f>
              <c:numCache>
                <c:formatCode>General</c:formatCode>
                <c:ptCount val="6"/>
                <c:pt idx="0">
                  <c:v>197</c:v>
                </c:pt>
                <c:pt idx="1">
                  <c:v>121</c:v>
                </c:pt>
                <c:pt idx="2">
                  <c:v>136</c:v>
                </c:pt>
                <c:pt idx="3">
                  <c:v>91</c:v>
                </c:pt>
                <c:pt idx="4">
                  <c:v>54</c:v>
                </c:pt>
                <c:pt idx="5">
                  <c:v>67</c:v>
                </c:pt>
              </c:numCache>
            </c:numRef>
          </c:val>
          <c:extLst>
            <c:ext xmlns:c16="http://schemas.microsoft.com/office/drawing/2014/chart" uri="{C3380CC4-5D6E-409C-BE32-E72D297353CC}">
              <c16:uniqueId val="{00000000-1E1F-48DB-AD29-40684635AE26}"/>
            </c:ext>
          </c:extLst>
        </c:ser>
        <c:ser>
          <c:idx val="1"/>
          <c:order val="1"/>
          <c:tx>
            <c:strRef>
              <c:f>'Housing Permits'!$B$6</c:f>
              <c:strCache>
                <c:ptCount val="1"/>
                <c:pt idx="0">
                  <c:v>Townhome </c:v>
                </c:pt>
              </c:strCache>
            </c:strRef>
          </c:tx>
          <c:spPr>
            <a:solidFill>
              <a:schemeClr val="accent2"/>
            </a:solidFill>
            <a:ln>
              <a:noFill/>
            </a:ln>
            <a:effectLst/>
          </c:spPr>
          <c:invertIfNegative val="0"/>
          <c:cat>
            <c:numRef>
              <c:f>'Housing Permits'!$E$4:$J$4</c:f>
              <c:numCache>
                <c:formatCode>General</c:formatCode>
                <c:ptCount val="6"/>
                <c:pt idx="0">
                  <c:v>2019</c:v>
                </c:pt>
                <c:pt idx="1">
                  <c:v>2020</c:v>
                </c:pt>
                <c:pt idx="2">
                  <c:v>2021</c:v>
                </c:pt>
                <c:pt idx="3">
                  <c:v>2022</c:v>
                </c:pt>
                <c:pt idx="4">
                  <c:v>2023</c:v>
                </c:pt>
                <c:pt idx="5">
                  <c:v>2024</c:v>
                </c:pt>
              </c:numCache>
            </c:numRef>
          </c:cat>
          <c:val>
            <c:numRef>
              <c:f>'Housing Permits'!$E$6:$J$6</c:f>
              <c:numCache>
                <c:formatCode>General</c:formatCode>
                <c:ptCount val="6"/>
                <c:pt idx="0">
                  <c:v>113</c:v>
                </c:pt>
                <c:pt idx="1">
                  <c:v>56</c:v>
                </c:pt>
                <c:pt idx="2">
                  <c:v>8</c:v>
                </c:pt>
                <c:pt idx="3">
                  <c:v>84</c:v>
                </c:pt>
                <c:pt idx="4">
                  <c:v>42</c:v>
                </c:pt>
                <c:pt idx="5">
                  <c:v>33</c:v>
                </c:pt>
              </c:numCache>
            </c:numRef>
          </c:val>
          <c:extLst>
            <c:ext xmlns:c16="http://schemas.microsoft.com/office/drawing/2014/chart" uri="{C3380CC4-5D6E-409C-BE32-E72D297353CC}">
              <c16:uniqueId val="{00000001-1E1F-48DB-AD29-40684635AE26}"/>
            </c:ext>
          </c:extLst>
        </c:ser>
        <c:ser>
          <c:idx val="2"/>
          <c:order val="2"/>
          <c:tx>
            <c:strRef>
              <c:f>'Housing Permits'!$B$7</c:f>
              <c:strCache>
                <c:ptCount val="1"/>
                <c:pt idx="0">
                  <c:v>Duplex/Twin Home</c:v>
                </c:pt>
              </c:strCache>
            </c:strRef>
          </c:tx>
          <c:spPr>
            <a:solidFill>
              <a:schemeClr val="accent3"/>
            </a:solidFill>
            <a:ln>
              <a:noFill/>
            </a:ln>
            <a:effectLst/>
          </c:spPr>
          <c:invertIfNegative val="0"/>
          <c:cat>
            <c:numRef>
              <c:f>'Housing Permits'!$E$4:$J$4</c:f>
              <c:numCache>
                <c:formatCode>General</c:formatCode>
                <c:ptCount val="6"/>
                <c:pt idx="0">
                  <c:v>2019</c:v>
                </c:pt>
                <c:pt idx="1">
                  <c:v>2020</c:v>
                </c:pt>
                <c:pt idx="2">
                  <c:v>2021</c:v>
                </c:pt>
                <c:pt idx="3">
                  <c:v>2022</c:v>
                </c:pt>
                <c:pt idx="4">
                  <c:v>2023</c:v>
                </c:pt>
                <c:pt idx="5">
                  <c:v>2024</c:v>
                </c:pt>
              </c:numCache>
            </c:numRef>
          </c:cat>
          <c:val>
            <c:numRef>
              <c:f>'Housing Permits'!$E$7:$J$7</c:f>
              <c:numCache>
                <c:formatCode>General</c:formatCode>
                <c:ptCount val="6"/>
                <c:pt idx="0">
                  <c:v>4</c:v>
                </c:pt>
                <c:pt idx="1">
                  <c:v>4</c:v>
                </c:pt>
                <c:pt idx="2">
                  <c:v>26</c:v>
                </c:pt>
                <c:pt idx="3">
                  <c:v>4</c:v>
                </c:pt>
                <c:pt idx="4">
                  <c:v>4</c:v>
                </c:pt>
                <c:pt idx="5">
                  <c:v>20</c:v>
                </c:pt>
              </c:numCache>
            </c:numRef>
          </c:val>
          <c:extLst>
            <c:ext xmlns:c16="http://schemas.microsoft.com/office/drawing/2014/chart" uri="{C3380CC4-5D6E-409C-BE32-E72D297353CC}">
              <c16:uniqueId val="{00000002-1E1F-48DB-AD29-40684635AE26}"/>
            </c:ext>
          </c:extLst>
        </c:ser>
        <c:ser>
          <c:idx val="3"/>
          <c:order val="3"/>
          <c:tx>
            <c:strRef>
              <c:f>'Housing Permits'!$B$8</c:f>
              <c:strCache>
                <c:ptCount val="1"/>
                <c:pt idx="0">
                  <c:v>Multifamily</c:v>
                </c:pt>
              </c:strCache>
            </c:strRef>
          </c:tx>
          <c:spPr>
            <a:solidFill>
              <a:schemeClr val="accent4"/>
            </a:solidFill>
            <a:ln>
              <a:noFill/>
            </a:ln>
            <a:effectLst/>
          </c:spPr>
          <c:invertIfNegative val="0"/>
          <c:cat>
            <c:numRef>
              <c:f>'Housing Permits'!$E$4:$J$4</c:f>
              <c:numCache>
                <c:formatCode>General</c:formatCode>
                <c:ptCount val="6"/>
                <c:pt idx="0">
                  <c:v>2019</c:v>
                </c:pt>
                <c:pt idx="1">
                  <c:v>2020</c:v>
                </c:pt>
                <c:pt idx="2">
                  <c:v>2021</c:v>
                </c:pt>
                <c:pt idx="3">
                  <c:v>2022</c:v>
                </c:pt>
                <c:pt idx="4">
                  <c:v>2023</c:v>
                </c:pt>
                <c:pt idx="5">
                  <c:v>2024</c:v>
                </c:pt>
              </c:numCache>
            </c:numRef>
          </c:cat>
          <c:val>
            <c:numRef>
              <c:f>'Housing Permits'!$E$8:$J$8</c:f>
              <c:numCache>
                <c:formatCode>General</c:formatCode>
                <c:ptCount val="6"/>
                <c:pt idx="0">
                  <c:v>0</c:v>
                </c:pt>
                <c:pt idx="1">
                  <c:v>272</c:v>
                </c:pt>
                <c:pt idx="2">
                  <c:v>124</c:v>
                </c:pt>
                <c:pt idx="3">
                  <c:v>355</c:v>
                </c:pt>
                <c:pt idx="4">
                  <c:v>8</c:v>
                </c:pt>
                <c:pt idx="5">
                  <c:v>0</c:v>
                </c:pt>
              </c:numCache>
            </c:numRef>
          </c:val>
          <c:extLst>
            <c:ext xmlns:c16="http://schemas.microsoft.com/office/drawing/2014/chart" uri="{C3380CC4-5D6E-409C-BE32-E72D297353CC}">
              <c16:uniqueId val="{00000003-1E1F-48DB-AD29-40684635AE26}"/>
            </c:ext>
          </c:extLst>
        </c:ser>
        <c:dLbls>
          <c:showLegendKey val="0"/>
          <c:showVal val="0"/>
          <c:showCatName val="0"/>
          <c:showSerName val="0"/>
          <c:showPercent val="0"/>
          <c:showBubbleSize val="0"/>
        </c:dLbls>
        <c:gapWidth val="150"/>
        <c:overlap val="100"/>
        <c:axId val="1969008352"/>
        <c:axId val="2032894128"/>
      </c:barChart>
      <c:catAx>
        <c:axId val="19690083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32894128"/>
        <c:crosses val="autoZero"/>
        <c:auto val="1"/>
        <c:lblAlgn val="ctr"/>
        <c:lblOffset val="100"/>
        <c:noMultiLvlLbl val="0"/>
      </c:catAx>
      <c:valAx>
        <c:axId val="203289412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96900835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9">
  <cs:axisTitle>
    <cs:lnRef idx="0"/>
    <cs:fillRef idx="0"/>
    <cs:effectRef idx="0"/>
    <cs:fontRef idx="minor">
      <a:schemeClr val="lt1">
        <a:lumMod val="85000"/>
      </a:schemeClr>
    </cs:fontRef>
    <cs:defRPr sz="900" b="1" kern="1200" cap="all"/>
  </cs:axisTitle>
  <cs:category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categoryAxis>
  <cs:chartArea>
    <cs:lnRef idx="0"/>
    <cs:fillRef idx="0"/>
    <cs:effectRef idx="0"/>
    <cs:fontRef idx="minor">
      <a:schemeClr val="dk1"/>
    </cs:fontRef>
    <cs: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cs:spPr>
    <cs:defRPr sz="1000" kern="1200"/>
  </cs:chartArea>
  <cs:dataLabel>
    <cs:lnRef idx="0"/>
    <cs:fillRef idx="0"/>
    <cs:effectRef idx="0"/>
    <cs:fontRef idx="minor">
      <a:schemeClr val="lt1">
        <a:lumMod val="85000"/>
      </a:schemeClr>
    </cs:fontRef>
    <cs:defRPr sz="900" kern="1200"/>
  </cs:dataLabel>
  <cs:dataLabelCallout>
    <cs:lnRef idx="0"/>
    <cs:fillRef idx="0"/>
    <cs:effectRef idx="0"/>
    <cs:fontRef idx="minor">
      <a:schemeClr val="dk1">
        <a:lumMod val="65000"/>
        <a:lumOff val="35000"/>
      </a:schemeClr>
    </cs:fontRef>
    <cs:spPr>
      <a:solidFill>
        <a:schemeClr val="lt1"/>
      </a:solidFill>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lt1">
        <a:lumMod val="85000"/>
      </a:schemeClr>
    </cs:fontRef>
    <cs:spPr>
      <a:ln w="9525">
        <a:solidFill>
          <a:schemeClr val="lt1">
            <a:lumMod val="95000"/>
            <a:alpha val="54000"/>
          </a:schemeClr>
        </a:solidFill>
      </a:ln>
    </cs:spPr>
    <cs:defRPr sz="900" kern="1200"/>
  </cs:dataTable>
  <cs:downBar>
    <cs:lnRef idx="0"/>
    <cs:fillRef idx="0"/>
    <cs:effectRef idx="0"/>
    <cs:fontRef idx="minor">
      <a:schemeClr val="lt1"/>
    </cs:fontRef>
    <cs:spPr>
      <a:solidFill>
        <a:schemeClr val="dk1">
          <a:lumMod val="75000"/>
          <a:lumOff val="25000"/>
        </a:schemeClr>
      </a:solidFill>
      <a:ln w="9525">
        <a:solidFill>
          <a:schemeClr val="lt1">
            <a:lumMod val="95000"/>
            <a:alpha val="54000"/>
          </a:schemeClr>
        </a:solidFill>
      </a:ln>
    </cs:spPr>
  </cs:downBar>
  <cs:dropLine>
    <cs:lnRef idx="0"/>
    <cs:fillRef idx="0"/>
    <cs:effectRef idx="0"/>
    <cs:fontRef idx="minor">
      <a:schemeClr val="lt1"/>
    </cs:fontRef>
    <cs:spPr>
      <a:ln w="9525">
        <a:solidFill>
          <a:schemeClr val="lt1">
            <a:lumMod val="95000"/>
            <a:alpha val="54000"/>
          </a:schemeClr>
        </a:solidFill>
        <a:prstDash val="dash"/>
      </a:ln>
    </cs:spPr>
  </cs:dropLine>
  <cs:errorBar>
    <cs:lnRef idx="0"/>
    <cs:fillRef idx="0"/>
    <cs:effectRef idx="0"/>
    <cs:fontRef idx="minor">
      <a:schemeClr val="lt1"/>
    </cs:fontRef>
    <cs:spPr>
      <a:ln w="9525" cap="flat" cmpd="sng" algn="ctr">
        <a:solidFill>
          <a:schemeClr val="lt1">
            <a:lumMod val="95000"/>
          </a:schemeClr>
        </a:solidFill>
        <a:round/>
      </a:ln>
    </cs:spPr>
  </cs:errorBar>
  <cs:floor>
    <cs:lnRef idx="0"/>
    <cs:fillRef idx="0"/>
    <cs:effectRef idx="0"/>
    <cs:fontRef idx="minor">
      <a:schemeClr val="lt1"/>
    </cs:fontRef>
  </cs:floor>
  <cs:gridlineMajor>
    <cs:lnRef idx="0"/>
    <cs:fillRef idx="0"/>
    <cs:effectRef idx="0"/>
    <cs:fontRef idx="minor">
      <a:schemeClr val="lt1"/>
    </cs:fontRef>
    <cs:spPr>
      <a:ln w="9525" cap="flat" cmpd="sng" algn="ctr">
        <a:solidFill>
          <a:schemeClr val="lt1">
            <a:lumMod val="95000"/>
            <a:alpha val="10000"/>
          </a:schemeClr>
        </a:solidFill>
        <a:round/>
      </a:ln>
    </cs:spPr>
  </cs:gridlineMajor>
  <cs:gridlineMinor>
    <cs:lnRef idx="0"/>
    <cs:fillRef idx="0"/>
    <cs:effectRef idx="0"/>
    <cs:fontRef idx="minor">
      <a:schemeClr val="lt1"/>
    </cs:fontRef>
    <cs:spPr>
      <a:ln>
        <a:solidFill>
          <a:schemeClr val="lt1">
            <a:lumMod val="95000"/>
            <a:alpha val="5000"/>
          </a:schemeClr>
        </a:solidFill>
      </a:ln>
    </cs:spPr>
  </cs:gridlineMinor>
  <cs:hiLoLine>
    <cs:lnRef idx="0"/>
    <cs:fillRef idx="0"/>
    <cs:effectRef idx="0"/>
    <cs:fontRef idx="minor">
      <a:schemeClr val="lt1"/>
    </cs:fontRef>
    <cs:spPr>
      <a:ln w="9525">
        <a:solidFill>
          <a:schemeClr val="lt1">
            <a:lumMod val="95000"/>
            <a:alpha val="54000"/>
          </a:schemeClr>
        </a:solidFill>
        <a:prstDash val="dash"/>
      </a:ln>
    </cs:spPr>
  </cs:hiLoLine>
  <cs:leaderLine>
    <cs:lnRef idx="0"/>
    <cs:fillRef idx="0"/>
    <cs:effectRef idx="0"/>
    <cs:fontRef idx="minor">
      <a:schemeClr val="lt1"/>
    </cs:fontRef>
    <cs:spPr>
      <a:ln w="9525">
        <a:solidFill>
          <a:schemeClr val="lt1">
            <a:lumMod val="95000"/>
            <a:alpha val="54000"/>
          </a:schemeClr>
        </a:solidFill>
      </a:ln>
    </cs:spPr>
  </cs:leaderLine>
  <cs:legend>
    <cs:lnRef idx="0"/>
    <cs:fillRef idx="0"/>
    <cs:effectRef idx="0"/>
    <cs:fontRef idx="minor">
      <a:schemeClr val="lt1">
        <a:lumMod val="8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seriesAxis>
  <cs:seriesLine>
    <cs:lnRef idx="0"/>
    <cs:fillRef idx="0"/>
    <cs:effectRef idx="0"/>
    <cs:fontRef idx="minor">
      <a:schemeClr val="lt1"/>
    </cs:fontRef>
    <cs:spPr>
      <a:ln w="9525" cap="flat" cmpd="sng" algn="ctr">
        <a:solidFill>
          <a:schemeClr val="lt1">
            <a:lumMod val="95000"/>
            <a:alpha val="54000"/>
          </a:schemeClr>
        </a:solidFill>
        <a:round/>
      </a:ln>
    </cs:spPr>
  </cs:seriesLine>
  <cs:title>
    <cs:lnRef idx="0"/>
    <cs:fillRef idx="0"/>
    <cs:effectRef idx="0"/>
    <cs:fontRef idx="minor">
      <a:schemeClr val="lt1">
        <a:lumMod val="95000"/>
      </a:schemeClr>
    </cs:fontRef>
    <cs:defRPr sz="1600" b="1" kern="1200" spc="100" baseline="0">
      <a:effectLst>
        <a:outerShdw blurRad="50800" dist="38100" dir="5400000" algn="t" rotWithShape="0">
          <a:prstClr val="black">
            <a:alpha val="40000"/>
          </a:prstClr>
        </a:outerShdw>
      </a:effectLst>
    </cs:defRPr>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lt1">
        <a:lumMod val="85000"/>
      </a:schemeClr>
    </cs:fontRef>
    <cs:defRPr sz="900" kern="1200"/>
  </cs:trendlineLabel>
  <cs:upBar>
    <cs:lnRef idx="0"/>
    <cs:fillRef idx="0"/>
    <cs:effectRef idx="0"/>
    <cs:fontRef idx="minor">
      <a:schemeClr val="lt1"/>
    </cs:fontRef>
    <cs:spPr>
      <a:solidFill>
        <a:schemeClr val="lt1"/>
      </a:solidFill>
      <a:ln w="9525">
        <a:solidFill>
          <a:schemeClr val="lt1">
            <a:lumMod val="95000"/>
            <a:alpha val="54000"/>
          </a:schemeClr>
        </a:solidFill>
      </a:ln>
    </cs:spPr>
  </cs:upBar>
  <cs:valueAxis>
    <cs:lnRef idx="0"/>
    <cs:fillRef idx="0"/>
    <cs:effectRef idx="0"/>
    <cs:fontRef idx="minor">
      <a:schemeClr val="lt1">
        <a:lumMod val="85000"/>
      </a:schemeClr>
    </cs:fontRef>
    <cs:defRPr sz="900" kern="1200"/>
  </cs:valueAxis>
  <cs:wall>
    <cs:lnRef idx="0"/>
    <cs:fillRef idx="0"/>
    <cs:effectRef idx="0"/>
    <cs:fontRef idx="minor">
      <a:schemeClr val="lt1"/>
    </cs:fontRef>
  </cs:wall>
</cs:chartStyle>
</file>

<file path=word/charts/style3.xml><?xml version="1.0" encoding="utf-8"?>
<cs:chartStyle xmlns:cs="http://schemas.microsoft.com/office/drawing/2012/chartStyle" xmlns:a="http://schemas.openxmlformats.org/drawingml/2006/main" id="340">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4.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443</TotalTime>
  <Pages>21</Pages>
  <Words>6099</Words>
  <Characters>34767</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Mills</dc:creator>
  <cp:lastModifiedBy>Michael Bryant</cp:lastModifiedBy>
  <cp:revision>11</cp:revision>
  <dcterms:created xsi:type="dcterms:W3CDTF">2025-01-08T23:33:00Z</dcterms:created>
  <dcterms:modified xsi:type="dcterms:W3CDTF">2025-04-03T17:55:00Z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2022-08-16T00:00:00Z</vt:filetime>
  </property>
  <property fmtid="{D5CDD505-2E9C-101B-9397-08002B2CF9AE}" pid="3" name="Creator">
    <vt:lpwstr>PaperStream Capture 2.8</vt:lpwstr>
  </property>
  <property fmtid="{D5CDD505-2E9C-101B-9397-08002B2CF9AE}" pid="4" name="LastSaved">
    <vt:filetime>2022-10-18T00:00:00Z</vt:filetime>
  </property>
</Properties>
</file>