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42F2B2F0" w:rsidR="00DC7763" w:rsidRPr="0031762F" w:rsidRDefault="00A16B1D" w:rsidP="00DC7763">
      <w:pPr>
        <w:spacing w:after="0"/>
        <w:jc w:val="center"/>
        <w:rPr>
          <w:rFonts w:ascii="Times New Roman" w:hAnsi="Times New Roman" w:cs="Times New Roman"/>
          <w:b/>
        </w:rPr>
      </w:pPr>
      <w:r>
        <w:rPr>
          <w:rFonts w:ascii="Times New Roman" w:hAnsi="Times New Roman" w:cs="Times New Roman"/>
          <w:b/>
        </w:rPr>
        <w:t>Approved</w:t>
      </w:r>
      <w:r w:rsidR="00DC7763" w:rsidRPr="0031762F">
        <w:rPr>
          <w:rFonts w:ascii="Times New Roman" w:hAnsi="Times New Roman" w:cs="Times New Roman"/>
          <w:b/>
        </w:rPr>
        <w:t xml:space="preserve"> Minutes</w:t>
      </w:r>
    </w:p>
    <w:p w14:paraId="72D5FA21" w14:textId="4BF8689F" w:rsidR="00DC7763" w:rsidRPr="0031762F" w:rsidRDefault="00152A94" w:rsidP="00DC7763">
      <w:pPr>
        <w:spacing w:after="0" w:line="240" w:lineRule="auto"/>
        <w:jc w:val="center"/>
        <w:rPr>
          <w:rFonts w:ascii="Times New Roman" w:hAnsi="Times New Roman" w:cs="Times New Roman"/>
          <w:b/>
        </w:rPr>
      </w:pPr>
      <w:r w:rsidRPr="0031762F">
        <w:rPr>
          <w:rFonts w:ascii="Times New Roman" w:hAnsi="Times New Roman" w:cs="Times New Roman"/>
          <w:b/>
        </w:rPr>
        <w:t>State Finance Review Commission</w:t>
      </w:r>
    </w:p>
    <w:p w14:paraId="15E9BC40" w14:textId="3FEE89BA" w:rsidR="00DC7763" w:rsidRPr="0031762F" w:rsidRDefault="005F54B1" w:rsidP="00DC7763">
      <w:pPr>
        <w:spacing w:after="0" w:line="240" w:lineRule="auto"/>
        <w:jc w:val="center"/>
        <w:rPr>
          <w:rFonts w:ascii="Times New Roman" w:hAnsi="Times New Roman" w:cs="Times New Roman"/>
          <w:b/>
        </w:rPr>
      </w:pPr>
      <w:r w:rsidRPr="0031762F">
        <w:rPr>
          <w:rFonts w:ascii="Times New Roman" w:hAnsi="Times New Roman" w:cs="Times New Roman"/>
          <w:b/>
        </w:rPr>
        <w:t>Thursday</w:t>
      </w:r>
      <w:r w:rsidR="00DC7763" w:rsidRPr="0031762F">
        <w:rPr>
          <w:rFonts w:ascii="Times New Roman" w:hAnsi="Times New Roman" w:cs="Times New Roman"/>
          <w:b/>
        </w:rPr>
        <w:t xml:space="preserve">, </w:t>
      </w:r>
      <w:r w:rsidR="00DB3501" w:rsidRPr="0031762F">
        <w:rPr>
          <w:rFonts w:ascii="Times New Roman" w:hAnsi="Times New Roman" w:cs="Times New Roman"/>
          <w:b/>
        </w:rPr>
        <w:t>March</w:t>
      </w:r>
      <w:r w:rsidR="00EF3242" w:rsidRPr="0031762F">
        <w:rPr>
          <w:rFonts w:ascii="Times New Roman" w:hAnsi="Times New Roman" w:cs="Times New Roman"/>
          <w:b/>
        </w:rPr>
        <w:t xml:space="preserve"> </w:t>
      </w:r>
      <w:r w:rsidR="00DB3501" w:rsidRPr="0031762F">
        <w:rPr>
          <w:rFonts w:ascii="Times New Roman" w:hAnsi="Times New Roman" w:cs="Times New Roman"/>
          <w:b/>
        </w:rPr>
        <w:t>6</w:t>
      </w:r>
      <w:r w:rsidRPr="0031762F">
        <w:rPr>
          <w:rFonts w:ascii="Times New Roman" w:hAnsi="Times New Roman" w:cs="Times New Roman"/>
          <w:b/>
        </w:rPr>
        <w:t>,</w:t>
      </w:r>
      <w:r w:rsidR="00DC7763" w:rsidRPr="0031762F">
        <w:rPr>
          <w:rFonts w:ascii="Times New Roman" w:hAnsi="Times New Roman" w:cs="Times New Roman"/>
          <w:b/>
        </w:rPr>
        <w:t xml:space="preserve"> 202</w:t>
      </w:r>
      <w:r w:rsidR="00DB3501" w:rsidRPr="0031762F">
        <w:rPr>
          <w:rFonts w:ascii="Times New Roman" w:hAnsi="Times New Roman" w:cs="Times New Roman"/>
          <w:b/>
        </w:rPr>
        <w:t>5</w:t>
      </w:r>
    </w:p>
    <w:p w14:paraId="42E7AB42" w14:textId="77777777" w:rsidR="00DC7763" w:rsidRPr="0031762F" w:rsidRDefault="00DC7763" w:rsidP="00DC7763">
      <w:pPr>
        <w:spacing w:after="0" w:line="240" w:lineRule="auto"/>
        <w:jc w:val="center"/>
        <w:rPr>
          <w:rFonts w:ascii="Times New Roman" w:hAnsi="Times New Roman" w:cs="Times New Roman"/>
          <w:b/>
        </w:rPr>
      </w:pPr>
      <w:r w:rsidRPr="0031762F">
        <w:rPr>
          <w:rFonts w:ascii="Times New Roman" w:hAnsi="Times New Roman" w:cs="Times New Roman"/>
          <w:b/>
        </w:rPr>
        <w:t>Office of State Treasurer, C170 State Capitol Complex and</w:t>
      </w:r>
    </w:p>
    <w:p w14:paraId="4CA1CBCE" w14:textId="77777777" w:rsidR="00DC7763" w:rsidRPr="0031762F" w:rsidRDefault="00DC7763" w:rsidP="00DC7763">
      <w:pPr>
        <w:spacing w:after="0" w:line="240" w:lineRule="auto"/>
        <w:jc w:val="center"/>
        <w:rPr>
          <w:rFonts w:ascii="Times New Roman" w:hAnsi="Times New Roman" w:cs="Times New Roman"/>
          <w:b/>
        </w:rPr>
      </w:pPr>
      <w:r w:rsidRPr="0031762F">
        <w:rPr>
          <w:rFonts w:ascii="Times New Roman" w:hAnsi="Times New Roman" w:cs="Times New Roman"/>
          <w:b/>
        </w:rPr>
        <w:t>Electronic Meeting via Zoom</w:t>
      </w:r>
    </w:p>
    <w:p w14:paraId="76148CF4" w14:textId="77777777" w:rsidR="00DC7763" w:rsidRPr="0031762F" w:rsidRDefault="00DC7763" w:rsidP="00DC7763">
      <w:pPr>
        <w:spacing w:after="0" w:line="240" w:lineRule="auto"/>
        <w:jc w:val="center"/>
        <w:rPr>
          <w:rFonts w:ascii="Times New Roman" w:hAnsi="Times New Roman" w:cs="Times New Roman"/>
        </w:rPr>
      </w:pPr>
    </w:p>
    <w:p w14:paraId="0D7054CB" w14:textId="3D39462E" w:rsidR="00DC7763" w:rsidRPr="0031762F" w:rsidRDefault="00DC7763" w:rsidP="00DC7763">
      <w:pPr>
        <w:spacing w:after="0" w:line="240" w:lineRule="auto"/>
        <w:rPr>
          <w:rFonts w:ascii="Times New Roman" w:hAnsi="Times New Roman" w:cs="Times New Roman"/>
        </w:rPr>
      </w:pPr>
      <w:r w:rsidRPr="0031762F">
        <w:rPr>
          <w:rFonts w:ascii="Times New Roman" w:hAnsi="Times New Roman" w:cs="Times New Roman"/>
        </w:rPr>
        <w:t xml:space="preserve">Members of the </w:t>
      </w:r>
      <w:r w:rsidR="00152A94" w:rsidRPr="0031762F">
        <w:rPr>
          <w:rFonts w:ascii="Times New Roman" w:hAnsi="Times New Roman" w:cs="Times New Roman"/>
        </w:rPr>
        <w:t>Commission</w:t>
      </w:r>
      <w:r w:rsidRPr="0031762F">
        <w:rPr>
          <w:rFonts w:ascii="Times New Roman" w:hAnsi="Times New Roman" w:cs="Times New Roman"/>
        </w:rPr>
        <w:t xml:space="preserve"> Present:</w:t>
      </w:r>
    </w:p>
    <w:p w14:paraId="4746BFD5" w14:textId="04D3D647" w:rsidR="00152A94" w:rsidRPr="0031762F" w:rsidRDefault="00DC7763" w:rsidP="00DC7763">
      <w:pPr>
        <w:spacing w:after="0" w:line="240" w:lineRule="auto"/>
        <w:rPr>
          <w:rFonts w:ascii="Times New Roman" w:hAnsi="Times New Roman" w:cs="Times New Roman"/>
        </w:rPr>
      </w:pPr>
      <w:r w:rsidRPr="0031762F">
        <w:rPr>
          <w:rFonts w:ascii="Times New Roman" w:hAnsi="Times New Roman" w:cs="Times New Roman"/>
        </w:rPr>
        <w:tab/>
        <w:t xml:space="preserve">Marlo M. Oaks (Utah State Treasurer, Chair) </w:t>
      </w:r>
    </w:p>
    <w:p w14:paraId="4DD01904" w14:textId="799296DF" w:rsidR="00D71556" w:rsidRPr="0031762F" w:rsidRDefault="00D71556" w:rsidP="00DC7763">
      <w:pPr>
        <w:spacing w:after="0" w:line="240" w:lineRule="auto"/>
        <w:rPr>
          <w:rFonts w:ascii="Times New Roman" w:hAnsi="Times New Roman" w:cs="Times New Roman"/>
        </w:rPr>
      </w:pPr>
      <w:r w:rsidRPr="0031762F">
        <w:rPr>
          <w:rFonts w:ascii="Times New Roman" w:hAnsi="Times New Roman" w:cs="Times New Roman"/>
        </w:rPr>
        <w:tab/>
      </w:r>
      <w:r w:rsidR="00DB3501" w:rsidRPr="0031762F">
        <w:rPr>
          <w:rFonts w:ascii="Times New Roman" w:hAnsi="Times New Roman" w:cs="Times New Roman"/>
        </w:rPr>
        <w:t>Tina Cannon</w:t>
      </w:r>
      <w:r w:rsidRPr="0031762F">
        <w:rPr>
          <w:rFonts w:ascii="Times New Roman" w:hAnsi="Times New Roman" w:cs="Times New Roman"/>
        </w:rPr>
        <w:t xml:space="preserve"> (Utah State Auditor)</w:t>
      </w:r>
    </w:p>
    <w:p w14:paraId="0A58734F" w14:textId="3D2687DA" w:rsidR="00DC7763" w:rsidRPr="0031762F" w:rsidRDefault="00152A94" w:rsidP="00DC7763">
      <w:pPr>
        <w:spacing w:after="0" w:line="240" w:lineRule="auto"/>
        <w:rPr>
          <w:rFonts w:ascii="Times New Roman" w:hAnsi="Times New Roman" w:cs="Times New Roman"/>
        </w:rPr>
      </w:pPr>
      <w:r w:rsidRPr="0031762F">
        <w:rPr>
          <w:rFonts w:ascii="Times New Roman" w:hAnsi="Times New Roman" w:cs="Times New Roman"/>
        </w:rPr>
        <w:tab/>
      </w:r>
      <w:r w:rsidR="00DC7763" w:rsidRPr="0031762F">
        <w:rPr>
          <w:rFonts w:ascii="Times New Roman" w:hAnsi="Times New Roman" w:cs="Times New Roman"/>
        </w:rPr>
        <w:t>Sophia DiCaro (Governor’s Office of Planning and Budget)</w:t>
      </w:r>
      <w:r w:rsidR="006E7B9C" w:rsidRPr="0031762F">
        <w:rPr>
          <w:rFonts w:ascii="Times New Roman" w:hAnsi="Times New Roman" w:cs="Times New Roman"/>
        </w:rPr>
        <w:t xml:space="preserve"> </w:t>
      </w:r>
    </w:p>
    <w:p w14:paraId="4983D9E3" w14:textId="72071D74" w:rsidR="001F6685" w:rsidRPr="0031762F" w:rsidRDefault="001F6685" w:rsidP="00DC7763">
      <w:pPr>
        <w:spacing w:after="0" w:line="240" w:lineRule="auto"/>
        <w:rPr>
          <w:rFonts w:ascii="Times New Roman" w:hAnsi="Times New Roman" w:cs="Times New Roman"/>
        </w:rPr>
      </w:pPr>
      <w:r w:rsidRPr="0031762F">
        <w:rPr>
          <w:rFonts w:ascii="Times New Roman" w:hAnsi="Times New Roman" w:cs="Times New Roman"/>
        </w:rPr>
        <w:tab/>
        <w:t>Van Christensen (Director of Finance</w:t>
      </w:r>
      <w:r w:rsidR="006E7B9C" w:rsidRPr="0031762F">
        <w:rPr>
          <w:rFonts w:ascii="Times New Roman" w:hAnsi="Times New Roman" w:cs="Times New Roman"/>
        </w:rPr>
        <w:t>)</w:t>
      </w:r>
      <w:r w:rsidR="00DB3501" w:rsidRPr="0031762F">
        <w:rPr>
          <w:rFonts w:ascii="Times New Roman" w:hAnsi="Times New Roman" w:cs="Times New Roman"/>
        </w:rPr>
        <w:t xml:space="preserve"> – Zoom </w:t>
      </w:r>
    </w:p>
    <w:p w14:paraId="4DB7552D" w14:textId="5208181D" w:rsidR="00CB2F82" w:rsidRPr="0031762F" w:rsidRDefault="00DC7763" w:rsidP="00AC0DD9">
      <w:pPr>
        <w:spacing w:after="0" w:line="240" w:lineRule="auto"/>
        <w:rPr>
          <w:rFonts w:ascii="Times New Roman" w:hAnsi="Times New Roman" w:cs="Times New Roman"/>
        </w:rPr>
      </w:pPr>
      <w:r w:rsidRPr="0031762F">
        <w:rPr>
          <w:rFonts w:ascii="Times New Roman" w:hAnsi="Times New Roman" w:cs="Times New Roman"/>
        </w:rPr>
        <w:tab/>
      </w:r>
      <w:r w:rsidR="00CB2F82" w:rsidRPr="0031762F">
        <w:rPr>
          <w:rFonts w:ascii="Times New Roman" w:hAnsi="Times New Roman" w:cs="Times New Roman"/>
        </w:rPr>
        <w:t>Blake Wade (Governor’s Office designee from Gilmore &amp; Bell)</w:t>
      </w:r>
      <w:r w:rsidR="00D37E1D" w:rsidRPr="0031762F">
        <w:rPr>
          <w:rFonts w:ascii="Times New Roman" w:hAnsi="Times New Roman" w:cs="Times New Roman"/>
        </w:rPr>
        <w:t xml:space="preserve"> </w:t>
      </w:r>
      <w:r w:rsidR="00D71556" w:rsidRPr="0031762F">
        <w:rPr>
          <w:rFonts w:ascii="Times New Roman" w:hAnsi="Times New Roman" w:cs="Times New Roman"/>
        </w:rPr>
        <w:t>–</w:t>
      </w:r>
      <w:r w:rsidR="00D37E1D" w:rsidRPr="0031762F">
        <w:rPr>
          <w:rFonts w:ascii="Times New Roman" w:hAnsi="Times New Roman" w:cs="Times New Roman"/>
        </w:rPr>
        <w:t xml:space="preserve"> </w:t>
      </w:r>
      <w:r w:rsidR="007434E5" w:rsidRPr="0031762F">
        <w:rPr>
          <w:rFonts w:ascii="Times New Roman" w:hAnsi="Times New Roman" w:cs="Times New Roman"/>
        </w:rPr>
        <w:t>Zoom</w:t>
      </w:r>
      <w:r w:rsidR="00D71556" w:rsidRPr="0031762F">
        <w:rPr>
          <w:rFonts w:ascii="Times New Roman" w:hAnsi="Times New Roman" w:cs="Times New Roman"/>
        </w:rPr>
        <w:t xml:space="preserve"> </w:t>
      </w:r>
    </w:p>
    <w:p w14:paraId="1B92026E" w14:textId="3B11055E" w:rsidR="001F6685" w:rsidRPr="0031762F" w:rsidRDefault="001F6685" w:rsidP="00AC0DD9">
      <w:pPr>
        <w:spacing w:after="0" w:line="240" w:lineRule="auto"/>
        <w:rPr>
          <w:rFonts w:ascii="Times New Roman" w:hAnsi="Times New Roman" w:cs="Times New Roman"/>
        </w:rPr>
      </w:pPr>
      <w:r w:rsidRPr="0031762F">
        <w:rPr>
          <w:rFonts w:ascii="Times New Roman" w:hAnsi="Times New Roman" w:cs="Times New Roman"/>
        </w:rPr>
        <w:tab/>
        <w:t>Cleon Butterfield (Governor’s Office designee from CFO Utah Housing)</w:t>
      </w:r>
    </w:p>
    <w:p w14:paraId="68330568" w14:textId="33F7FD01" w:rsidR="00E4129D" w:rsidRPr="0031762F" w:rsidRDefault="00CB2F82" w:rsidP="00AC0DD9">
      <w:pPr>
        <w:spacing w:after="0" w:line="240" w:lineRule="auto"/>
        <w:rPr>
          <w:rFonts w:ascii="Times New Roman" w:hAnsi="Times New Roman" w:cs="Times New Roman"/>
        </w:rPr>
      </w:pPr>
      <w:r w:rsidRPr="0031762F">
        <w:rPr>
          <w:rFonts w:ascii="Times New Roman" w:hAnsi="Times New Roman" w:cs="Times New Roman"/>
        </w:rPr>
        <w:tab/>
      </w:r>
      <w:r w:rsidR="00AC0DD9" w:rsidRPr="0031762F">
        <w:rPr>
          <w:rFonts w:ascii="Times New Roman" w:hAnsi="Times New Roman" w:cs="Times New Roman"/>
        </w:rPr>
        <w:t xml:space="preserve">Perri </w:t>
      </w:r>
      <w:proofErr w:type="spellStart"/>
      <w:r w:rsidR="00AC0DD9" w:rsidRPr="0031762F">
        <w:rPr>
          <w:rFonts w:ascii="Times New Roman" w:hAnsi="Times New Roman" w:cs="Times New Roman"/>
        </w:rPr>
        <w:t>Babalis</w:t>
      </w:r>
      <w:proofErr w:type="spellEnd"/>
      <w:r w:rsidR="00E4129D" w:rsidRPr="0031762F">
        <w:rPr>
          <w:rFonts w:ascii="Times New Roman" w:hAnsi="Times New Roman" w:cs="Times New Roman"/>
        </w:rPr>
        <w:t xml:space="preserve"> (Attorney General Office-designee) </w:t>
      </w:r>
      <w:r w:rsidR="00D330DE" w:rsidRPr="0031762F">
        <w:rPr>
          <w:rFonts w:ascii="Times New Roman" w:hAnsi="Times New Roman" w:cs="Times New Roman"/>
        </w:rPr>
        <w:t>–</w:t>
      </w:r>
      <w:r w:rsidR="007434E5" w:rsidRPr="0031762F">
        <w:rPr>
          <w:rFonts w:ascii="Times New Roman" w:hAnsi="Times New Roman" w:cs="Times New Roman"/>
        </w:rPr>
        <w:t xml:space="preserve"> Zoom</w:t>
      </w:r>
    </w:p>
    <w:p w14:paraId="1A9FB166" w14:textId="6CC130AD" w:rsidR="00D330DE" w:rsidRPr="0031762F" w:rsidRDefault="00D330DE" w:rsidP="00E4129D">
      <w:pPr>
        <w:spacing w:after="0" w:line="240" w:lineRule="auto"/>
        <w:ind w:firstLine="720"/>
        <w:rPr>
          <w:rFonts w:ascii="Times New Roman" w:hAnsi="Times New Roman" w:cs="Times New Roman"/>
        </w:rPr>
      </w:pPr>
      <w:r w:rsidRPr="0031762F">
        <w:rPr>
          <w:rFonts w:ascii="Times New Roman" w:hAnsi="Times New Roman" w:cs="Times New Roman"/>
        </w:rPr>
        <w:t>Jonathan Ward (Zions Public Finance)</w:t>
      </w:r>
      <w:r w:rsidR="00DB3501" w:rsidRPr="0031762F">
        <w:rPr>
          <w:rFonts w:ascii="Times New Roman" w:hAnsi="Times New Roman" w:cs="Times New Roman"/>
        </w:rPr>
        <w:t xml:space="preserve"> – Zoom </w:t>
      </w:r>
    </w:p>
    <w:p w14:paraId="64D7BB14" w14:textId="25AFF92A" w:rsidR="00A603B8" w:rsidRPr="0031762F" w:rsidRDefault="00A603B8" w:rsidP="00DC7763">
      <w:pPr>
        <w:spacing w:after="0" w:line="240" w:lineRule="auto"/>
        <w:rPr>
          <w:rFonts w:ascii="Times New Roman" w:hAnsi="Times New Roman" w:cs="Times New Roman"/>
        </w:rPr>
      </w:pPr>
      <w:r w:rsidRPr="0031762F">
        <w:rPr>
          <w:rFonts w:ascii="Times New Roman" w:hAnsi="Times New Roman" w:cs="Times New Roman"/>
        </w:rPr>
        <w:tab/>
      </w:r>
    </w:p>
    <w:p w14:paraId="3C3CBD92" w14:textId="587AF58C" w:rsidR="00DC7763" w:rsidRPr="0031762F" w:rsidRDefault="00DC7763" w:rsidP="00DC7763">
      <w:pPr>
        <w:spacing w:after="0" w:line="240" w:lineRule="auto"/>
        <w:rPr>
          <w:rFonts w:ascii="Times New Roman" w:hAnsi="Times New Roman" w:cs="Times New Roman"/>
        </w:rPr>
      </w:pPr>
      <w:r w:rsidRPr="0031762F">
        <w:rPr>
          <w:rFonts w:ascii="Times New Roman" w:hAnsi="Times New Roman" w:cs="Times New Roman"/>
        </w:rPr>
        <w:t>Others Present:</w:t>
      </w:r>
    </w:p>
    <w:p w14:paraId="01416F45" w14:textId="271EFAAE" w:rsidR="00DC7763" w:rsidRPr="0031762F" w:rsidRDefault="00DC7763" w:rsidP="00DC7763">
      <w:pPr>
        <w:spacing w:after="0" w:line="240" w:lineRule="auto"/>
        <w:rPr>
          <w:rFonts w:ascii="Times New Roman" w:hAnsi="Times New Roman" w:cs="Times New Roman"/>
        </w:rPr>
      </w:pPr>
      <w:r w:rsidRPr="0031762F">
        <w:rPr>
          <w:rFonts w:ascii="Times New Roman" w:hAnsi="Times New Roman" w:cs="Times New Roman"/>
        </w:rPr>
        <w:tab/>
      </w:r>
      <w:proofErr w:type="spellStart"/>
      <w:r w:rsidRPr="0031762F">
        <w:rPr>
          <w:rFonts w:ascii="Times New Roman" w:hAnsi="Times New Roman" w:cs="Times New Roman"/>
        </w:rPr>
        <w:t>Kirt</w:t>
      </w:r>
      <w:proofErr w:type="spellEnd"/>
      <w:r w:rsidRPr="0031762F">
        <w:rPr>
          <w:rFonts w:ascii="Times New Roman" w:hAnsi="Times New Roman" w:cs="Times New Roman"/>
        </w:rPr>
        <w:t xml:space="preserve"> </w:t>
      </w:r>
      <w:proofErr w:type="spellStart"/>
      <w:r w:rsidRPr="0031762F">
        <w:rPr>
          <w:rFonts w:ascii="Times New Roman" w:hAnsi="Times New Roman" w:cs="Times New Roman"/>
        </w:rPr>
        <w:t>Slaugh</w:t>
      </w:r>
      <w:proofErr w:type="spellEnd"/>
      <w:r w:rsidRPr="0031762F">
        <w:rPr>
          <w:rFonts w:ascii="Times New Roman" w:hAnsi="Times New Roman" w:cs="Times New Roman"/>
        </w:rPr>
        <w:t xml:space="preserve"> (Office of State Treasurer)</w:t>
      </w:r>
    </w:p>
    <w:p w14:paraId="273F2691" w14:textId="5FAB2B78" w:rsidR="00820535" w:rsidRPr="0031762F" w:rsidRDefault="001908ED" w:rsidP="001908ED">
      <w:pPr>
        <w:spacing w:after="0" w:line="240" w:lineRule="auto"/>
        <w:rPr>
          <w:rFonts w:ascii="Times New Roman" w:hAnsi="Times New Roman" w:cs="Times New Roman"/>
        </w:rPr>
      </w:pPr>
      <w:r w:rsidRPr="0031762F">
        <w:rPr>
          <w:rFonts w:ascii="Times New Roman" w:hAnsi="Times New Roman" w:cs="Times New Roman"/>
        </w:rPr>
        <w:tab/>
      </w:r>
      <w:r w:rsidR="00A603B8" w:rsidRPr="0031762F">
        <w:rPr>
          <w:rFonts w:ascii="Times New Roman" w:hAnsi="Times New Roman" w:cs="Times New Roman"/>
        </w:rPr>
        <w:t xml:space="preserve">Diana Artica (Office of State Treasurer) </w:t>
      </w:r>
    </w:p>
    <w:p w14:paraId="4BB1E40B" w14:textId="7843BCC6" w:rsidR="006E7B9C" w:rsidRPr="0031762F" w:rsidRDefault="006E7B9C" w:rsidP="001908ED">
      <w:pPr>
        <w:spacing w:after="0" w:line="240" w:lineRule="auto"/>
        <w:rPr>
          <w:rFonts w:ascii="Times New Roman" w:hAnsi="Times New Roman" w:cs="Times New Roman"/>
        </w:rPr>
      </w:pPr>
      <w:r w:rsidRPr="0031762F">
        <w:rPr>
          <w:rFonts w:ascii="Times New Roman" w:hAnsi="Times New Roman" w:cs="Times New Roman"/>
        </w:rPr>
        <w:tab/>
      </w:r>
      <w:r w:rsidR="00DB3501" w:rsidRPr="0031762F">
        <w:rPr>
          <w:rFonts w:ascii="Times New Roman" w:hAnsi="Times New Roman" w:cs="Times New Roman"/>
        </w:rPr>
        <w:t>Elliott Clark</w:t>
      </w:r>
      <w:r w:rsidRPr="0031762F">
        <w:rPr>
          <w:rFonts w:ascii="Times New Roman" w:hAnsi="Times New Roman" w:cs="Times New Roman"/>
        </w:rPr>
        <w:t xml:space="preserve"> (Attorney General Office Assigned to SFRC) – Zoom</w:t>
      </w:r>
    </w:p>
    <w:p w14:paraId="4AF7C879" w14:textId="0337DAD7" w:rsidR="00DB3501" w:rsidRPr="0031762F" w:rsidRDefault="00DB3501" w:rsidP="00DB3501">
      <w:pPr>
        <w:spacing w:after="0" w:line="240" w:lineRule="auto"/>
        <w:rPr>
          <w:rFonts w:ascii="Times New Roman" w:hAnsi="Times New Roman" w:cs="Times New Roman"/>
        </w:rPr>
      </w:pPr>
      <w:r w:rsidRPr="0031762F">
        <w:rPr>
          <w:rFonts w:ascii="Times New Roman" w:hAnsi="Times New Roman" w:cs="Times New Roman"/>
        </w:rPr>
        <w:tab/>
        <w:t>Aaron Waite (Attorney General Office) – Zoom</w:t>
      </w:r>
    </w:p>
    <w:p w14:paraId="105BD533" w14:textId="77777777" w:rsidR="00DB3501" w:rsidRPr="0031762F" w:rsidRDefault="00DB3501" w:rsidP="00DB3501">
      <w:pPr>
        <w:spacing w:after="0" w:line="240" w:lineRule="auto"/>
        <w:ind w:firstLine="720"/>
        <w:rPr>
          <w:rFonts w:ascii="Times New Roman" w:hAnsi="Times New Roman" w:cs="Times New Roman"/>
        </w:rPr>
      </w:pPr>
      <w:r w:rsidRPr="0031762F">
        <w:rPr>
          <w:rFonts w:ascii="Times New Roman" w:hAnsi="Times New Roman" w:cs="Times New Roman"/>
        </w:rPr>
        <w:t>Randy Larsen (Gilmore &amp; Bell)</w:t>
      </w:r>
    </w:p>
    <w:p w14:paraId="65029BBB" w14:textId="17D1E0AA" w:rsidR="00DB3501" w:rsidRPr="0031762F" w:rsidRDefault="00DB3501" w:rsidP="00DB3501">
      <w:pPr>
        <w:spacing w:after="0" w:line="240" w:lineRule="auto"/>
        <w:ind w:firstLine="720"/>
        <w:rPr>
          <w:rFonts w:ascii="Times New Roman" w:hAnsi="Times New Roman" w:cs="Times New Roman"/>
        </w:rPr>
      </w:pPr>
      <w:r w:rsidRPr="0031762F">
        <w:rPr>
          <w:rFonts w:ascii="Times New Roman" w:hAnsi="Times New Roman" w:cs="Times New Roman"/>
        </w:rPr>
        <w:t xml:space="preserve">Laura Lewis (LRB Finance) – Zoom </w:t>
      </w:r>
    </w:p>
    <w:p w14:paraId="69A490AE" w14:textId="5733B35E" w:rsidR="008D5E68" w:rsidRPr="0031762F" w:rsidRDefault="008D5E68" w:rsidP="00DB3501">
      <w:pPr>
        <w:spacing w:after="0" w:line="240" w:lineRule="auto"/>
        <w:ind w:firstLine="720"/>
        <w:rPr>
          <w:rFonts w:ascii="Times New Roman" w:hAnsi="Times New Roman" w:cs="Times New Roman"/>
        </w:rPr>
      </w:pPr>
      <w:r w:rsidRPr="0031762F">
        <w:rPr>
          <w:rFonts w:ascii="Times New Roman" w:hAnsi="Times New Roman" w:cs="Times New Roman"/>
        </w:rPr>
        <w:t xml:space="preserve">Mike </w:t>
      </w:r>
      <w:proofErr w:type="spellStart"/>
      <w:r w:rsidRPr="0031762F">
        <w:rPr>
          <w:rFonts w:ascii="Times New Roman" w:hAnsi="Times New Roman" w:cs="Times New Roman"/>
        </w:rPr>
        <w:t>Ostermille</w:t>
      </w:r>
      <w:proofErr w:type="spellEnd"/>
      <w:r w:rsidRPr="0031762F">
        <w:rPr>
          <w:rFonts w:ascii="Times New Roman" w:hAnsi="Times New Roman" w:cs="Times New Roman"/>
        </w:rPr>
        <w:t xml:space="preserve"> (MIDA)</w:t>
      </w:r>
    </w:p>
    <w:p w14:paraId="75751076" w14:textId="27056D9D" w:rsidR="008D5E68" w:rsidRPr="0031762F" w:rsidRDefault="008D5E68" w:rsidP="00DB3501">
      <w:pPr>
        <w:spacing w:after="0" w:line="240" w:lineRule="auto"/>
        <w:ind w:firstLine="720"/>
        <w:rPr>
          <w:rFonts w:ascii="Times New Roman" w:hAnsi="Times New Roman" w:cs="Times New Roman"/>
        </w:rPr>
      </w:pPr>
      <w:r w:rsidRPr="0031762F">
        <w:rPr>
          <w:rFonts w:ascii="Times New Roman" w:hAnsi="Times New Roman" w:cs="Times New Roman"/>
        </w:rPr>
        <w:t>Nicole Cottle (MIDA)</w:t>
      </w:r>
    </w:p>
    <w:p w14:paraId="7B8C0C5A" w14:textId="3C995815" w:rsidR="00DB3501" w:rsidRPr="0031762F" w:rsidRDefault="00DB3501" w:rsidP="00DB3501">
      <w:pPr>
        <w:spacing w:after="0" w:line="240" w:lineRule="auto"/>
        <w:ind w:firstLine="720"/>
        <w:rPr>
          <w:rFonts w:ascii="Times New Roman" w:hAnsi="Times New Roman" w:cs="Times New Roman"/>
        </w:rPr>
      </w:pPr>
      <w:r w:rsidRPr="0031762F">
        <w:rPr>
          <w:rFonts w:ascii="Times New Roman" w:hAnsi="Times New Roman" w:cs="Times New Roman"/>
        </w:rPr>
        <w:t xml:space="preserve">Paul Morris (MIDA) – Zoom </w:t>
      </w:r>
    </w:p>
    <w:p w14:paraId="61D4EAE1" w14:textId="1C9E4267" w:rsidR="008D5E68" w:rsidRPr="0031762F" w:rsidRDefault="008D5E68" w:rsidP="00DB3501">
      <w:pPr>
        <w:spacing w:after="0" w:line="240" w:lineRule="auto"/>
        <w:ind w:firstLine="720"/>
        <w:rPr>
          <w:rFonts w:ascii="Times New Roman" w:hAnsi="Times New Roman" w:cs="Times New Roman"/>
        </w:rPr>
      </w:pPr>
      <w:r w:rsidRPr="0031762F">
        <w:rPr>
          <w:rFonts w:ascii="Times New Roman" w:hAnsi="Times New Roman" w:cs="Times New Roman"/>
        </w:rPr>
        <w:t>Damon Georgelas (Reef Capital Partners)</w:t>
      </w:r>
    </w:p>
    <w:p w14:paraId="608B11B2" w14:textId="17ACB90C" w:rsidR="008D5E68" w:rsidRPr="0031762F" w:rsidRDefault="008D5E68" w:rsidP="00DB3501">
      <w:pPr>
        <w:spacing w:after="0" w:line="240" w:lineRule="auto"/>
        <w:ind w:firstLine="720"/>
        <w:rPr>
          <w:rFonts w:ascii="Times New Roman" w:hAnsi="Times New Roman" w:cs="Times New Roman"/>
        </w:rPr>
      </w:pPr>
      <w:r w:rsidRPr="0031762F">
        <w:rPr>
          <w:rFonts w:ascii="Times New Roman" w:hAnsi="Times New Roman" w:cs="Times New Roman"/>
        </w:rPr>
        <w:t>Jing Jiao (Reef Capital Partners)</w:t>
      </w:r>
    </w:p>
    <w:p w14:paraId="5843D042" w14:textId="77777777" w:rsidR="008D5E68" w:rsidRPr="0031762F" w:rsidRDefault="008D5E68" w:rsidP="00DB3501">
      <w:pPr>
        <w:spacing w:after="0" w:line="240" w:lineRule="auto"/>
        <w:ind w:firstLine="720"/>
        <w:rPr>
          <w:rFonts w:ascii="Times New Roman" w:hAnsi="Times New Roman" w:cs="Times New Roman"/>
        </w:rPr>
      </w:pPr>
    </w:p>
    <w:p w14:paraId="0403DEF5" w14:textId="0C8C8ADA" w:rsidR="00DC7763" w:rsidRPr="0031762F" w:rsidRDefault="00DC7763" w:rsidP="00DC7763">
      <w:pPr>
        <w:spacing w:after="0" w:line="240" w:lineRule="auto"/>
        <w:rPr>
          <w:rFonts w:ascii="Times New Roman" w:hAnsi="Times New Roman" w:cs="Times New Roman"/>
        </w:rPr>
      </w:pPr>
      <w:r w:rsidRPr="0031762F">
        <w:rPr>
          <w:rFonts w:ascii="Times New Roman" w:hAnsi="Times New Roman" w:cs="Times New Roman"/>
        </w:rPr>
        <w:t>Meeting called t</w:t>
      </w:r>
      <w:r w:rsidR="001B714B" w:rsidRPr="0031762F">
        <w:rPr>
          <w:rFonts w:ascii="Times New Roman" w:hAnsi="Times New Roman" w:cs="Times New Roman"/>
        </w:rPr>
        <w:t xml:space="preserve">o order by Treasurer Oaks at </w:t>
      </w:r>
      <w:r w:rsidR="008D5E68" w:rsidRPr="0031762F">
        <w:rPr>
          <w:rFonts w:ascii="Times New Roman" w:hAnsi="Times New Roman" w:cs="Times New Roman"/>
        </w:rPr>
        <w:t>3</w:t>
      </w:r>
      <w:r w:rsidR="0095324A" w:rsidRPr="0031762F">
        <w:rPr>
          <w:rFonts w:ascii="Times New Roman" w:hAnsi="Times New Roman" w:cs="Times New Roman"/>
        </w:rPr>
        <w:t>:</w:t>
      </w:r>
      <w:r w:rsidR="00337D18" w:rsidRPr="0031762F">
        <w:rPr>
          <w:rFonts w:ascii="Times New Roman" w:hAnsi="Times New Roman" w:cs="Times New Roman"/>
        </w:rPr>
        <w:t>0</w:t>
      </w:r>
      <w:r w:rsidR="0095324A" w:rsidRPr="0031762F">
        <w:rPr>
          <w:rFonts w:ascii="Times New Roman" w:hAnsi="Times New Roman" w:cs="Times New Roman"/>
        </w:rPr>
        <w:t>0</w:t>
      </w:r>
      <w:r w:rsidR="00B03429" w:rsidRPr="0031762F">
        <w:rPr>
          <w:rFonts w:ascii="Times New Roman" w:hAnsi="Times New Roman" w:cs="Times New Roman"/>
        </w:rPr>
        <w:t xml:space="preserve"> </w:t>
      </w:r>
      <w:r w:rsidR="006E7B9C" w:rsidRPr="0031762F">
        <w:rPr>
          <w:rFonts w:ascii="Times New Roman" w:hAnsi="Times New Roman" w:cs="Times New Roman"/>
        </w:rPr>
        <w:t>p</w:t>
      </w:r>
      <w:r w:rsidR="004727BA" w:rsidRPr="0031762F">
        <w:rPr>
          <w:rFonts w:ascii="Times New Roman" w:hAnsi="Times New Roman" w:cs="Times New Roman"/>
        </w:rPr>
        <w:t>m</w:t>
      </w:r>
      <w:r w:rsidRPr="0031762F">
        <w:rPr>
          <w:rFonts w:ascii="Times New Roman" w:hAnsi="Times New Roman" w:cs="Times New Roman"/>
        </w:rPr>
        <w:t>.</w:t>
      </w:r>
    </w:p>
    <w:p w14:paraId="62D5FE8C" w14:textId="3E2F344D" w:rsidR="00DC7763" w:rsidRPr="0031762F" w:rsidRDefault="00DC7763" w:rsidP="00DC7763">
      <w:pPr>
        <w:spacing w:after="0" w:line="240" w:lineRule="auto"/>
        <w:rPr>
          <w:rFonts w:ascii="Times New Roman" w:hAnsi="Times New Roman" w:cs="Times New Roman"/>
        </w:rPr>
      </w:pPr>
    </w:p>
    <w:p w14:paraId="06D80EA6" w14:textId="77777777" w:rsidR="00EF1AE7" w:rsidRPr="0031762F" w:rsidRDefault="00EF1AE7" w:rsidP="00EF1AE7">
      <w:pPr>
        <w:pStyle w:val="ListParagraph"/>
        <w:numPr>
          <w:ilvl w:val="0"/>
          <w:numId w:val="1"/>
        </w:numPr>
        <w:spacing w:after="0" w:line="240" w:lineRule="auto"/>
        <w:rPr>
          <w:rFonts w:ascii="Times New Roman" w:hAnsi="Times New Roman" w:cs="Times New Roman"/>
          <w:u w:val="single"/>
        </w:rPr>
      </w:pPr>
      <w:r w:rsidRPr="0031762F">
        <w:rPr>
          <w:rFonts w:ascii="Times New Roman" w:hAnsi="Times New Roman" w:cs="Times New Roman"/>
          <w:u w:val="single"/>
        </w:rPr>
        <w:t>Prior Meeting Minutes</w:t>
      </w:r>
    </w:p>
    <w:p w14:paraId="33F6318F" w14:textId="65146121" w:rsidR="00EF1AE7" w:rsidRPr="0031762F" w:rsidRDefault="00EF1AE7" w:rsidP="00DC7763">
      <w:pPr>
        <w:spacing w:after="0" w:line="240" w:lineRule="auto"/>
        <w:rPr>
          <w:rFonts w:ascii="Times New Roman" w:hAnsi="Times New Roman" w:cs="Times New Roman"/>
        </w:rPr>
      </w:pPr>
    </w:p>
    <w:p w14:paraId="59DF18B6" w14:textId="763B069B" w:rsidR="00EF1AE7" w:rsidRPr="0031762F" w:rsidRDefault="00EF1AE7" w:rsidP="00EE3CD1">
      <w:pPr>
        <w:spacing w:after="0" w:line="240" w:lineRule="auto"/>
        <w:jc w:val="both"/>
        <w:rPr>
          <w:rFonts w:ascii="Times New Roman" w:hAnsi="Times New Roman" w:cs="Times New Roman"/>
        </w:rPr>
      </w:pPr>
      <w:r w:rsidRPr="0031762F">
        <w:rPr>
          <w:rFonts w:ascii="Times New Roman" w:hAnsi="Times New Roman" w:cs="Times New Roman"/>
        </w:rPr>
        <w:t xml:space="preserve">Meeting minutes from the </w:t>
      </w:r>
      <w:r w:rsidR="008D5E68" w:rsidRPr="0031762F">
        <w:rPr>
          <w:rFonts w:ascii="Times New Roman" w:hAnsi="Times New Roman" w:cs="Times New Roman"/>
        </w:rPr>
        <w:t>December</w:t>
      </w:r>
      <w:r w:rsidR="00337D18" w:rsidRPr="0031762F">
        <w:rPr>
          <w:rFonts w:ascii="Times New Roman" w:hAnsi="Times New Roman" w:cs="Times New Roman"/>
        </w:rPr>
        <w:t xml:space="preserve"> </w:t>
      </w:r>
      <w:r w:rsidR="008D5E68" w:rsidRPr="0031762F">
        <w:rPr>
          <w:rFonts w:ascii="Times New Roman" w:hAnsi="Times New Roman" w:cs="Times New Roman"/>
        </w:rPr>
        <w:t>5</w:t>
      </w:r>
      <w:r w:rsidR="00D37E1D" w:rsidRPr="0031762F">
        <w:rPr>
          <w:rFonts w:ascii="Times New Roman" w:hAnsi="Times New Roman" w:cs="Times New Roman"/>
        </w:rPr>
        <w:t>, 202</w:t>
      </w:r>
      <w:r w:rsidR="00D71556" w:rsidRPr="0031762F">
        <w:rPr>
          <w:rFonts w:ascii="Times New Roman" w:hAnsi="Times New Roman" w:cs="Times New Roman"/>
        </w:rPr>
        <w:t>4</w:t>
      </w:r>
      <w:r w:rsidRPr="0031762F">
        <w:rPr>
          <w:rFonts w:ascii="Times New Roman" w:hAnsi="Times New Roman" w:cs="Times New Roman"/>
        </w:rPr>
        <w:t xml:space="preserve"> were presented for discussion and approval. </w:t>
      </w:r>
      <w:r w:rsidR="008D5E68" w:rsidRPr="0031762F">
        <w:rPr>
          <w:rFonts w:ascii="Times New Roman" w:hAnsi="Times New Roman" w:cs="Times New Roman"/>
        </w:rPr>
        <w:t xml:space="preserve">Ms. DiCaro </w:t>
      </w:r>
      <w:r w:rsidRPr="0031762F">
        <w:rPr>
          <w:rFonts w:ascii="Times New Roman" w:hAnsi="Times New Roman" w:cs="Times New Roman"/>
        </w:rPr>
        <w:t>made</w:t>
      </w:r>
      <w:r w:rsidR="00EE3CD1" w:rsidRPr="0031762F">
        <w:rPr>
          <w:rFonts w:ascii="Times New Roman" w:hAnsi="Times New Roman" w:cs="Times New Roman"/>
        </w:rPr>
        <w:t xml:space="preserve"> </w:t>
      </w:r>
      <w:r w:rsidRPr="0031762F">
        <w:rPr>
          <w:rFonts w:ascii="Times New Roman" w:hAnsi="Times New Roman" w:cs="Times New Roman"/>
        </w:rPr>
        <w:t>motion to approve th</w:t>
      </w:r>
      <w:r w:rsidR="00322855" w:rsidRPr="0031762F">
        <w:rPr>
          <w:rFonts w:ascii="Times New Roman" w:hAnsi="Times New Roman" w:cs="Times New Roman"/>
        </w:rPr>
        <w:t xml:space="preserve">e minutes. </w:t>
      </w:r>
      <w:r w:rsidR="006E7B9C" w:rsidRPr="0031762F">
        <w:rPr>
          <w:rFonts w:ascii="Times New Roman" w:hAnsi="Times New Roman" w:cs="Times New Roman"/>
        </w:rPr>
        <w:t xml:space="preserve">Mr. </w:t>
      </w:r>
      <w:r w:rsidR="008D5E68" w:rsidRPr="0031762F">
        <w:rPr>
          <w:rFonts w:ascii="Times New Roman" w:hAnsi="Times New Roman" w:cs="Times New Roman"/>
        </w:rPr>
        <w:t>Butterfield</w:t>
      </w:r>
      <w:r w:rsidRPr="0031762F">
        <w:rPr>
          <w:rFonts w:ascii="Times New Roman" w:hAnsi="Times New Roman" w:cs="Times New Roman"/>
        </w:rPr>
        <w:t xml:space="preserve"> seconded the motion. The motion carried unanimously with all members of the Commission voting in favor</w:t>
      </w:r>
      <w:r w:rsidR="000E3F8C" w:rsidRPr="0031762F">
        <w:rPr>
          <w:rFonts w:ascii="Times New Roman" w:hAnsi="Times New Roman" w:cs="Times New Roman"/>
        </w:rPr>
        <w:t xml:space="preserve">. </w:t>
      </w:r>
    </w:p>
    <w:p w14:paraId="485C72BA" w14:textId="1DAA2A01" w:rsidR="00EF1AE7" w:rsidRPr="0031762F" w:rsidRDefault="00EF1AE7" w:rsidP="00EF1AE7">
      <w:pPr>
        <w:spacing w:after="0" w:line="240" w:lineRule="auto"/>
        <w:jc w:val="both"/>
        <w:rPr>
          <w:rFonts w:ascii="Times New Roman" w:hAnsi="Times New Roman" w:cs="Times New Roman"/>
        </w:rPr>
      </w:pPr>
    </w:p>
    <w:p w14:paraId="3A7A0E2B" w14:textId="519E13F9" w:rsidR="00737F50" w:rsidRPr="0031762F" w:rsidRDefault="00737F50" w:rsidP="00737F50">
      <w:pPr>
        <w:pStyle w:val="ListParagraph"/>
        <w:numPr>
          <w:ilvl w:val="0"/>
          <w:numId w:val="1"/>
        </w:numPr>
        <w:spacing w:after="0" w:line="240" w:lineRule="auto"/>
        <w:jc w:val="both"/>
        <w:rPr>
          <w:rFonts w:ascii="Times New Roman" w:hAnsi="Times New Roman" w:cs="Times New Roman"/>
          <w:u w:val="single"/>
        </w:rPr>
      </w:pPr>
      <w:r w:rsidRPr="0031762F">
        <w:rPr>
          <w:rFonts w:ascii="Times New Roman" w:hAnsi="Times New Roman" w:cs="Times New Roman"/>
          <w:u w:val="single"/>
        </w:rPr>
        <w:t>Review and comment on the issuance by the Board of Trustees of MIDA Cormont Public Infrastructure District (PID)</w:t>
      </w:r>
    </w:p>
    <w:p w14:paraId="22AB97D4" w14:textId="0D437829" w:rsidR="001C21DF" w:rsidRDefault="001C21DF" w:rsidP="001C21DF">
      <w:pPr>
        <w:spacing w:after="0" w:line="240" w:lineRule="auto"/>
        <w:jc w:val="both"/>
      </w:pPr>
    </w:p>
    <w:p w14:paraId="11A52731" w14:textId="77777777" w:rsidR="00DC15A7" w:rsidRPr="00DC15A7" w:rsidRDefault="00DC15A7" w:rsidP="00DC15A7">
      <w:pPr>
        <w:spacing w:after="0" w:line="240" w:lineRule="auto"/>
        <w:jc w:val="both"/>
        <w:rPr>
          <w:rFonts w:ascii="Times New Roman" w:hAnsi="Times New Roman" w:cs="Times New Roman"/>
        </w:rPr>
      </w:pPr>
      <w:r w:rsidRPr="00DC15A7">
        <w:rPr>
          <w:rFonts w:ascii="Times New Roman" w:hAnsi="Times New Roman" w:cs="Times New Roman"/>
        </w:rPr>
        <w:t>Ms. Cottle provided updates on the MIDA project in Wasatch County, noting that the MIDA board first established the project area in 2012 and expanded it in 2018 to include a specific property. This property, essential to the village core, will offer amenities such as retail spaces, restaurants, an ice rink, an amphitheater, and a splash pad, serving both the military hotel and the general public.</w:t>
      </w:r>
    </w:p>
    <w:p w14:paraId="07DD311C" w14:textId="77777777" w:rsidR="00DC15A7" w:rsidRPr="00DC15A7" w:rsidRDefault="00DC15A7" w:rsidP="00DC15A7">
      <w:pPr>
        <w:spacing w:after="0" w:line="240" w:lineRule="auto"/>
        <w:jc w:val="both"/>
        <w:rPr>
          <w:rFonts w:ascii="Times New Roman" w:hAnsi="Times New Roman" w:cs="Times New Roman"/>
        </w:rPr>
      </w:pPr>
    </w:p>
    <w:p w14:paraId="4BB1BC63" w14:textId="77777777" w:rsidR="00DC15A7" w:rsidRPr="00DC15A7" w:rsidRDefault="00DC15A7" w:rsidP="00DC15A7">
      <w:pPr>
        <w:spacing w:after="0" w:line="240" w:lineRule="auto"/>
        <w:jc w:val="both"/>
        <w:rPr>
          <w:rFonts w:ascii="Times New Roman" w:hAnsi="Times New Roman" w:cs="Times New Roman"/>
        </w:rPr>
      </w:pPr>
      <w:r w:rsidRPr="00DC15A7">
        <w:rPr>
          <w:rFonts w:ascii="Times New Roman" w:hAnsi="Times New Roman" w:cs="Times New Roman"/>
        </w:rPr>
        <w:t>She explained that bond funds will be used to develop key components, including a subterranean parking structure with 594 stalls. Above this, a concrete podium will support the planned amenities. Additionally, five privately financed condominium buildings will be developed, ranging in price from $1 million to $8 million, with reservations already made for 80 of the 103 units.</w:t>
      </w:r>
    </w:p>
    <w:p w14:paraId="7C950B29" w14:textId="77777777" w:rsidR="00DC15A7" w:rsidRPr="00DC15A7" w:rsidRDefault="00DC15A7" w:rsidP="00DC15A7">
      <w:pPr>
        <w:spacing w:after="0" w:line="240" w:lineRule="auto"/>
        <w:jc w:val="both"/>
        <w:rPr>
          <w:rFonts w:ascii="Times New Roman" w:hAnsi="Times New Roman" w:cs="Times New Roman"/>
        </w:rPr>
      </w:pPr>
    </w:p>
    <w:p w14:paraId="7CDA24FE" w14:textId="77777777" w:rsidR="00DC15A7" w:rsidRPr="00DC15A7" w:rsidRDefault="00DC15A7" w:rsidP="00DC15A7">
      <w:pPr>
        <w:spacing w:after="0" w:line="240" w:lineRule="auto"/>
        <w:jc w:val="both"/>
        <w:rPr>
          <w:rFonts w:ascii="Times New Roman" w:hAnsi="Times New Roman" w:cs="Times New Roman"/>
        </w:rPr>
      </w:pPr>
      <w:r w:rsidRPr="00DC15A7">
        <w:rPr>
          <w:rFonts w:ascii="Times New Roman" w:hAnsi="Times New Roman" w:cs="Times New Roman"/>
        </w:rPr>
        <w:t>Ms. Cottle clarified that the Cormont Public Improvement District (PID) is responsible for issuing the bonds, not MIDA, highlighting that MIDA and the PID are separate entities. The project aims to foster new development, create jobs, strengthen the tax base, implement property tax provisions, distribute municipal services revenue, and ensure necessary public utilities and infrastructure improvements.</w:t>
      </w:r>
    </w:p>
    <w:p w14:paraId="57CA2347" w14:textId="77777777" w:rsidR="00DC15A7" w:rsidRPr="00DC15A7" w:rsidRDefault="00DC15A7" w:rsidP="00DC15A7">
      <w:pPr>
        <w:spacing w:after="0" w:line="240" w:lineRule="auto"/>
        <w:jc w:val="both"/>
        <w:rPr>
          <w:rFonts w:ascii="Times New Roman" w:hAnsi="Times New Roman" w:cs="Times New Roman"/>
        </w:rPr>
      </w:pPr>
    </w:p>
    <w:p w14:paraId="54335B83" w14:textId="351B8449" w:rsidR="00DE3D46" w:rsidRDefault="00DC15A7" w:rsidP="00DC15A7">
      <w:pPr>
        <w:spacing w:after="0" w:line="240" w:lineRule="auto"/>
        <w:jc w:val="both"/>
        <w:rPr>
          <w:rFonts w:ascii="Times New Roman" w:hAnsi="Times New Roman" w:cs="Times New Roman"/>
        </w:rPr>
      </w:pPr>
      <w:r w:rsidRPr="00DC15A7">
        <w:rPr>
          <w:rFonts w:ascii="Times New Roman" w:hAnsi="Times New Roman" w:cs="Times New Roman"/>
        </w:rPr>
        <w:lastRenderedPageBreak/>
        <w:t>She emphasized that the collaboration with Hill Air Force Base, local governments, districts, and landowners aligns with the broader goals of the MIDA Act and supports the development of the military hotel.</w:t>
      </w:r>
    </w:p>
    <w:p w14:paraId="7BAEA8A1" w14:textId="77777777" w:rsidR="00DC15A7" w:rsidRPr="00DE3D46" w:rsidRDefault="00DC15A7" w:rsidP="00DC15A7">
      <w:pPr>
        <w:spacing w:after="0" w:line="240" w:lineRule="auto"/>
        <w:jc w:val="both"/>
        <w:rPr>
          <w:rFonts w:ascii="Times New Roman" w:hAnsi="Times New Roman" w:cs="Times New Roman"/>
        </w:rPr>
      </w:pPr>
    </w:p>
    <w:p w14:paraId="39445536" w14:textId="3F9E623E" w:rsidR="00737F50" w:rsidRDefault="00DE3D46" w:rsidP="00263763">
      <w:pPr>
        <w:spacing w:after="0" w:line="240" w:lineRule="auto"/>
        <w:jc w:val="both"/>
        <w:rPr>
          <w:rFonts w:ascii="Times New Roman" w:hAnsi="Times New Roman" w:cs="Times New Roman"/>
        </w:rPr>
      </w:pPr>
      <w:r w:rsidRPr="00DE3D46">
        <w:rPr>
          <w:rFonts w:ascii="Times New Roman" w:hAnsi="Times New Roman" w:cs="Times New Roman"/>
        </w:rPr>
        <w:t>Ms. Cottle offered to provide the full findings packet for review, highlighting the MIDA board's thorough evaluation of the project to ensure alignment with economic development and public benefit goals. She clarified that there is no agreement between MIDA and the PID district, and no funding is being transferred between them. Additionally, the potential bonding has no recourse to MIDA or the State. Ms. Cottle then opened the floor for questions or suggested proceeding with the financing discussion, with the development team and partners available to address any related inquiries.</w:t>
      </w:r>
    </w:p>
    <w:p w14:paraId="3A2BBBF7" w14:textId="77777777" w:rsidR="00DE3D46" w:rsidRDefault="00DE3D46" w:rsidP="00263763">
      <w:pPr>
        <w:spacing w:after="0" w:line="240" w:lineRule="auto"/>
        <w:jc w:val="both"/>
        <w:rPr>
          <w:rFonts w:ascii="Times New Roman" w:hAnsi="Times New Roman" w:cs="Times New Roman"/>
        </w:rPr>
      </w:pPr>
    </w:p>
    <w:p w14:paraId="5542D35A" w14:textId="2F7D2FF0" w:rsidR="00737F50" w:rsidRDefault="00AA0EC5" w:rsidP="00263763">
      <w:pPr>
        <w:spacing w:after="0" w:line="240" w:lineRule="auto"/>
        <w:jc w:val="both"/>
        <w:rPr>
          <w:rFonts w:ascii="Times New Roman" w:hAnsi="Times New Roman" w:cs="Times New Roman"/>
        </w:rPr>
      </w:pPr>
      <w:r w:rsidRPr="00AA0EC5">
        <w:rPr>
          <w:rFonts w:ascii="Times New Roman" w:hAnsi="Times New Roman" w:cs="Times New Roman"/>
        </w:rPr>
        <w:t xml:space="preserve">Auditor Cannon inquired about the PID financing and payback structure. </w:t>
      </w:r>
      <w:r>
        <w:rPr>
          <w:rFonts w:ascii="Times New Roman" w:hAnsi="Times New Roman" w:cs="Times New Roman"/>
        </w:rPr>
        <w:t>She</w:t>
      </w:r>
      <w:r w:rsidRPr="00AA0EC5">
        <w:rPr>
          <w:rFonts w:ascii="Times New Roman" w:hAnsi="Times New Roman" w:cs="Times New Roman"/>
        </w:rPr>
        <w:t xml:space="preserve"> asked if the repayment of the bond would be financed through the 371 condominiums, noting that the property tax is imposed through the PID, and questioned whether the bond repayment would be allocated across these 371 condos.</w:t>
      </w:r>
      <w:r>
        <w:rPr>
          <w:rFonts w:ascii="Times New Roman" w:hAnsi="Times New Roman" w:cs="Times New Roman"/>
        </w:rPr>
        <w:t xml:space="preserve"> </w:t>
      </w:r>
      <w:r w:rsidRPr="00AA0EC5">
        <w:rPr>
          <w:rFonts w:ascii="Times New Roman" w:hAnsi="Times New Roman" w:cs="Times New Roman"/>
        </w:rPr>
        <w:t>Ms. Cottle clarified that the project is not solely residential condos, but a mix of both commercial and residential units. However, she noted that the mill levy will only apply to the residential portion of the development.</w:t>
      </w:r>
    </w:p>
    <w:p w14:paraId="70A4DE2E" w14:textId="7FEC7C4C" w:rsidR="00AA0EC5" w:rsidRDefault="00AA0EC5" w:rsidP="00263763">
      <w:pPr>
        <w:spacing w:after="0" w:line="240" w:lineRule="auto"/>
        <w:jc w:val="both"/>
        <w:rPr>
          <w:rFonts w:ascii="Times New Roman" w:hAnsi="Times New Roman" w:cs="Times New Roman"/>
        </w:rPr>
      </w:pPr>
    </w:p>
    <w:p w14:paraId="0B64952F" w14:textId="7E7785DE" w:rsidR="00C25097" w:rsidRDefault="00AA0EC5" w:rsidP="00263763">
      <w:pPr>
        <w:spacing w:after="0" w:line="240" w:lineRule="auto"/>
        <w:jc w:val="both"/>
        <w:rPr>
          <w:rFonts w:ascii="Times New Roman" w:hAnsi="Times New Roman" w:cs="Times New Roman"/>
        </w:rPr>
      </w:pPr>
      <w:r w:rsidRPr="00AA0EC5">
        <w:rPr>
          <w:rFonts w:ascii="Times New Roman" w:hAnsi="Times New Roman" w:cs="Times New Roman"/>
        </w:rPr>
        <w:t>Auditor Cannon pointed out that the question was raised because, when a property owner comes in, the PID assessment will be included as part of their property tax. This assessment may differ from other properties in the area due to the addition of the PID</w:t>
      </w:r>
      <w:r w:rsidR="00C25097">
        <w:rPr>
          <w:rFonts w:ascii="Times New Roman" w:hAnsi="Times New Roman" w:cs="Times New Roman"/>
        </w:rPr>
        <w:t xml:space="preserve">. Auditor Cannon asked if there would be a disclosure, ensuring that property owners are aware of the issue, as it will be included in the documentation. Mr. Georgelas indicated that is part of the declarations as part of the due diligence before the contract is signed. </w:t>
      </w:r>
    </w:p>
    <w:p w14:paraId="4A578092" w14:textId="19EC42AC" w:rsidR="00C25097" w:rsidRDefault="00C25097" w:rsidP="00263763">
      <w:pPr>
        <w:spacing w:after="0" w:line="240" w:lineRule="auto"/>
        <w:jc w:val="both"/>
        <w:rPr>
          <w:rFonts w:ascii="Times New Roman" w:hAnsi="Times New Roman" w:cs="Times New Roman"/>
        </w:rPr>
      </w:pPr>
    </w:p>
    <w:p w14:paraId="17C68DF7" w14:textId="1442BF06" w:rsidR="00C25097" w:rsidRDefault="00C25097" w:rsidP="00263763">
      <w:pPr>
        <w:spacing w:after="0" w:line="240" w:lineRule="auto"/>
        <w:jc w:val="both"/>
        <w:rPr>
          <w:rFonts w:ascii="Times New Roman" w:hAnsi="Times New Roman" w:cs="Times New Roman"/>
        </w:rPr>
      </w:pPr>
      <w:r>
        <w:rPr>
          <w:rFonts w:ascii="Times New Roman" w:hAnsi="Times New Roman" w:cs="Times New Roman"/>
        </w:rPr>
        <w:br/>
        <w:t>Auditor Cannon asked for an estimate of how much that will impact the average condo in that area. Mr. Georgelas confirmed it would be about $10K a year or about $10K per million in additional property tax and those figures are part of the disclosures.</w:t>
      </w:r>
    </w:p>
    <w:p w14:paraId="5FA70280" w14:textId="2517C09E" w:rsidR="00C25097" w:rsidRDefault="00C25097" w:rsidP="00263763">
      <w:pPr>
        <w:spacing w:after="0" w:line="240" w:lineRule="auto"/>
        <w:jc w:val="both"/>
        <w:rPr>
          <w:rFonts w:ascii="Times New Roman" w:hAnsi="Times New Roman" w:cs="Times New Roman"/>
        </w:rPr>
      </w:pPr>
    </w:p>
    <w:p w14:paraId="6C28EB3B" w14:textId="77777777" w:rsidR="00C25097" w:rsidRPr="00C25097" w:rsidRDefault="00C25097" w:rsidP="00C25097">
      <w:pPr>
        <w:spacing w:after="0" w:line="240" w:lineRule="auto"/>
        <w:jc w:val="both"/>
        <w:rPr>
          <w:rFonts w:ascii="Times New Roman" w:hAnsi="Times New Roman" w:cs="Times New Roman"/>
        </w:rPr>
      </w:pPr>
      <w:r>
        <w:rPr>
          <w:rFonts w:ascii="Times New Roman" w:hAnsi="Times New Roman" w:cs="Times New Roman"/>
        </w:rPr>
        <w:t xml:space="preserve">Treasurer Oaks asked about the financing. Ms. Lewis explained </w:t>
      </w:r>
      <w:r w:rsidRPr="00C25097">
        <w:rPr>
          <w:rFonts w:ascii="Times New Roman" w:hAnsi="Times New Roman" w:cs="Times New Roman"/>
        </w:rPr>
        <w:t>that the security for these bonds comes from the public infrastructure district, which is supported by property taxes. She emphasized that there is no sharing agreement of tax increment or sales tax between MIDA and the property owner. Additionally, no tax increment revenues are being used, and neither MIDA funds nor state funds are being used or pledged to secure the debt. There is no recourse to MIDA or the state.</w:t>
      </w:r>
    </w:p>
    <w:p w14:paraId="78D516A3" w14:textId="77777777" w:rsidR="00C25097" w:rsidRPr="00C25097" w:rsidRDefault="00C25097" w:rsidP="00C25097">
      <w:pPr>
        <w:spacing w:after="0" w:line="240" w:lineRule="auto"/>
        <w:jc w:val="both"/>
        <w:rPr>
          <w:rFonts w:ascii="Times New Roman" w:hAnsi="Times New Roman" w:cs="Times New Roman"/>
        </w:rPr>
      </w:pPr>
    </w:p>
    <w:p w14:paraId="1B453841" w14:textId="31FB93EA" w:rsidR="00C25097" w:rsidRDefault="00C25097" w:rsidP="00C25097">
      <w:pPr>
        <w:spacing w:after="0" w:line="240" w:lineRule="auto"/>
        <w:jc w:val="both"/>
        <w:rPr>
          <w:rFonts w:ascii="Times New Roman" w:hAnsi="Times New Roman" w:cs="Times New Roman"/>
        </w:rPr>
      </w:pPr>
      <w:r w:rsidRPr="00C25097">
        <w:rPr>
          <w:rFonts w:ascii="Times New Roman" w:hAnsi="Times New Roman" w:cs="Times New Roman"/>
        </w:rPr>
        <w:t>When asked about the security for the bonds, she clarified that the sole security is the additional property tax levied on the property within the PID. She also briefly outlined the parties involved in the transaction, noting that the MI</w:t>
      </w:r>
      <w:r w:rsidR="003F1563">
        <w:rPr>
          <w:rFonts w:ascii="Times New Roman" w:hAnsi="Times New Roman" w:cs="Times New Roman"/>
        </w:rPr>
        <w:t>D</w:t>
      </w:r>
      <w:r w:rsidRPr="00C25097">
        <w:rPr>
          <w:rFonts w:ascii="Times New Roman" w:hAnsi="Times New Roman" w:cs="Times New Roman"/>
        </w:rPr>
        <w:t>A Cormont PID is the actual bond issuer.</w:t>
      </w:r>
    </w:p>
    <w:p w14:paraId="1B663ED1" w14:textId="3C84A45A" w:rsidR="003F1563" w:rsidRDefault="003F1563" w:rsidP="00C25097">
      <w:pPr>
        <w:spacing w:after="0" w:line="240" w:lineRule="auto"/>
        <w:jc w:val="both"/>
        <w:rPr>
          <w:rFonts w:ascii="Times New Roman" w:hAnsi="Times New Roman" w:cs="Times New Roman"/>
        </w:rPr>
      </w:pPr>
    </w:p>
    <w:p w14:paraId="7ED07DEE"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Ms. Lewis explained that the anticipated par amount for the bonds at issuance will be approximately $140 million. She clarified that a series of these bonds are capital appreciation bonds, which accrue interest or are convertible capital appreciation bonds. These bonds accrue or accrete interest until a certain point, at which they become traditional fixed interest rate bonds as the interest accretes. She also noted that the final principal amount due will be higher than $140 million, but this has been thoroughly accounted for in the cash flow models.</w:t>
      </w:r>
    </w:p>
    <w:p w14:paraId="1F7C164A" w14:textId="77777777" w:rsidR="003F1563" w:rsidRPr="003F1563" w:rsidRDefault="003F1563" w:rsidP="003F1563">
      <w:pPr>
        <w:spacing w:after="0" w:line="240" w:lineRule="auto"/>
        <w:jc w:val="both"/>
        <w:rPr>
          <w:rFonts w:ascii="Times New Roman" w:hAnsi="Times New Roman" w:cs="Times New Roman"/>
        </w:rPr>
      </w:pPr>
    </w:p>
    <w:p w14:paraId="766FCE0D"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She stated that they plan to capitalize interest for the first three years on the current interest bonds to allow for as much taxable value as possible before the PID tax is applied. While under construction, capitalized interest will ensure that bondholders receive their fixed income payments.</w:t>
      </w:r>
    </w:p>
    <w:p w14:paraId="3A40B944" w14:textId="77777777" w:rsidR="003F1563" w:rsidRPr="003F1563" w:rsidRDefault="003F1563" w:rsidP="003F1563">
      <w:pPr>
        <w:spacing w:after="0" w:line="240" w:lineRule="auto"/>
        <w:jc w:val="both"/>
        <w:rPr>
          <w:rFonts w:ascii="Times New Roman" w:hAnsi="Times New Roman" w:cs="Times New Roman"/>
        </w:rPr>
      </w:pPr>
    </w:p>
    <w:p w14:paraId="601038F2"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Ms. Lewis further explained that the bond issue would be funded with a surplus fund, similar to a debt service reserve fund, but with the key distinction that drawing upon the surplus fund would not trigger an event of default. She highlighted the importance of having safeguards in place, such as the surplus fund, in case of economic fluctuations that might slow down sales.</w:t>
      </w:r>
    </w:p>
    <w:p w14:paraId="6965948C" w14:textId="77777777" w:rsidR="003F1563" w:rsidRPr="003F1563" w:rsidRDefault="003F1563" w:rsidP="003F1563">
      <w:pPr>
        <w:spacing w:after="0" w:line="240" w:lineRule="auto"/>
        <w:jc w:val="both"/>
        <w:rPr>
          <w:rFonts w:ascii="Times New Roman" w:hAnsi="Times New Roman" w:cs="Times New Roman"/>
        </w:rPr>
      </w:pPr>
    </w:p>
    <w:p w14:paraId="7900A9A1"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 xml:space="preserve">The bonds will consist of three series: current interest bonds, convertible capital appreciation bonds, and subordinate bonds. The final maturity date for all the bonds is March 15, 2055, a 30-year term. While PID </w:t>
      </w:r>
      <w:r w:rsidRPr="003F1563">
        <w:rPr>
          <w:rFonts w:ascii="Times New Roman" w:hAnsi="Times New Roman" w:cs="Times New Roman"/>
        </w:rPr>
        <w:lastRenderedPageBreak/>
        <w:t>taxes can remain in place for up to 40 years, they can only be used to repay debt and for some administrative costs of the PID, such as audits.</w:t>
      </w:r>
    </w:p>
    <w:p w14:paraId="29787F79" w14:textId="77777777" w:rsidR="003F1563" w:rsidRPr="003F1563" w:rsidRDefault="003F1563" w:rsidP="003F1563">
      <w:pPr>
        <w:spacing w:after="0" w:line="240" w:lineRule="auto"/>
        <w:jc w:val="both"/>
        <w:rPr>
          <w:rFonts w:ascii="Times New Roman" w:hAnsi="Times New Roman" w:cs="Times New Roman"/>
        </w:rPr>
      </w:pPr>
    </w:p>
    <w:p w14:paraId="0EBF13B6"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Ms. Lewis emphasized that bondholders would assume the risk, as the PID tax could remain in place for a longer period if the debt is not repaid within 30 years. The anticipated maturity date is still set for March 15, 2055. The bonds are designed to meet federal and state tax-exempt requirements and will be non-rated. Given their non-rated status, they are expected to have interest rates around 6.25% for the less risky bonds and about 9% for the subordinate series, which will carry higher risk and, consequently, higher interest costs.</w:t>
      </w:r>
    </w:p>
    <w:p w14:paraId="5363DCEC" w14:textId="77777777" w:rsidR="003F1563" w:rsidRPr="003F1563" w:rsidRDefault="003F1563" w:rsidP="003F1563">
      <w:pPr>
        <w:spacing w:after="0" w:line="240" w:lineRule="auto"/>
        <w:jc w:val="both"/>
        <w:rPr>
          <w:rFonts w:ascii="Times New Roman" w:hAnsi="Times New Roman" w:cs="Times New Roman"/>
        </w:rPr>
      </w:pPr>
    </w:p>
    <w:p w14:paraId="391F1F3A"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She noted that the meeting was being held to inform everyone about the project and the bonding plans, and to verify that no state revenues or assets would be claimed. This meeting marks the beginning of a 45-day comment period from the SFRC. If no comments are received, the process could move more quickly.</w:t>
      </w:r>
    </w:p>
    <w:p w14:paraId="79FDD792" w14:textId="77777777" w:rsidR="003F1563" w:rsidRPr="003F1563" w:rsidRDefault="003F1563" w:rsidP="003F1563">
      <w:pPr>
        <w:spacing w:after="0" w:line="240" w:lineRule="auto"/>
        <w:jc w:val="both"/>
        <w:rPr>
          <w:rFonts w:ascii="Times New Roman" w:hAnsi="Times New Roman" w:cs="Times New Roman"/>
        </w:rPr>
      </w:pPr>
    </w:p>
    <w:p w14:paraId="47A1F506" w14:textId="1A4404A3" w:rsid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Lastly, Ms. Lewis mentioned that attached to the meeting materials were the bond parameters, the draft senior indenture, and the subordinate indenture, and she opened the floor for any questions on these matters.</w:t>
      </w:r>
    </w:p>
    <w:p w14:paraId="21D2736C" w14:textId="21A2C68F" w:rsidR="00C25097" w:rsidRDefault="00C25097" w:rsidP="00263763">
      <w:pPr>
        <w:spacing w:after="0" w:line="240" w:lineRule="auto"/>
        <w:jc w:val="both"/>
        <w:rPr>
          <w:rFonts w:ascii="Times New Roman" w:hAnsi="Times New Roman" w:cs="Times New Roman"/>
        </w:rPr>
      </w:pPr>
    </w:p>
    <w:p w14:paraId="2E697DE6" w14:textId="6B06DA96" w:rsidR="00AA0EC5" w:rsidRDefault="00544CBC" w:rsidP="00263763">
      <w:pPr>
        <w:spacing w:after="0" w:line="240" w:lineRule="auto"/>
        <w:jc w:val="both"/>
        <w:rPr>
          <w:rFonts w:ascii="Times New Roman" w:hAnsi="Times New Roman" w:cs="Times New Roman"/>
        </w:rPr>
      </w:pPr>
      <w:r w:rsidRPr="00544CBC">
        <w:rPr>
          <w:rFonts w:ascii="Times New Roman" w:hAnsi="Times New Roman" w:cs="Times New Roman"/>
        </w:rPr>
        <w:t xml:space="preserve">Mr. Butterfield asked for clarification on what happens after the 30-year bonds are paid. He inquired whether the levy on taxes would remain in place once the bonds are paid off. </w:t>
      </w:r>
    </w:p>
    <w:p w14:paraId="5F43245C" w14:textId="1E8DDAAF" w:rsidR="00737F50" w:rsidRDefault="00737F50" w:rsidP="00263763">
      <w:pPr>
        <w:spacing w:after="0" w:line="240" w:lineRule="auto"/>
        <w:jc w:val="both"/>
        <w:rPr>
          <w:rFonts w:ascii="Times New Roman" w:hAnsi="Times New Roman" w:cs="Times New Roman"/>
        </w:rPr>
      </w:pPr>
    </w:p>
    <w:p w14:paraId="616F0414" w14:textId="77777777" w:rsidR="009D272A" w:rsidRPr="009D272A" w:rsidRDefault="009D272A" w:rsidP="009D272A">
      <w:pPr>
        <w:spacing w:after="0" w:line="240" w:lineRule="auto"/>
        <w:jc w:val="both"/>
        <w:rPr>
          <w:rFonts w:ascii="Times New Roman" w:hAnsi="Times New Roman" w:cs="Times New Roman"/>
        </w:rPr>
      </w:pPr>
      <w:r w:rsidRPr="009D272A">
        <w:rPr>
          <w:rFonts w:ascii="Times New Roman" w:hAnsi="Times New Roman" w:cs="Times New Roman"/>
        </w:rPr>
        <w:t>Ms. Lewis explained the difference between the 30-year repayment term and the 40 years applicable to the PID tax. She used an analogy for investors to clarify the situation. She noted that when purchasing these bonds, investors base their decisions on reasonable expectations about the condos' future valuations, absorption rates, total taxable value, and the PID tax rate. Independent third parties have been used to assess these factors, including projections for cash flow.</w:t>
      </w:r>
    </w:p>
    <w:p w14:paraId="7AFC6DB2" w14:textId="77777777" w:rsidR="009D272A" w:rsidRPr="009D272A" w:rsidRDefault="009D272A" w:rsidP="009D272A">
      <w:pPr>
        <w:spacing w:after="0" w:line="240" w:lineRule="auto"/>
        <w:jc w:val="both"/>
        <w:rPr>
          <w:rFonts w:ascii="Times New Roman" w:hAnsi="Times New Roman" w:cs="Times New Roman"/>
        </w:rPr>
      </w:pPr>
    </w:p>
    <w:p w14:paraId="41093E39" w14:textId="77777777" w:rsidR="009D272A" w:rsidRPr="009D272A" w:rsidRDefault="009D272A" w:rsidP="009D272A">
      <w:pPr>
        <w:spacing w:after="0" w:line="240" w:lineRule="auto"/>
        <w:jc w:val="both"/>
        <w:rPr>
          <w:rFonts w:ascii="Times New Roman" w:hAnsi="Times New Roman" w:cs="Times New Roman"/>
        </w:rPr>
      </w:pPr>
      <w:r w:rsidRPr="009D272A">
        <w:rPr>
          <w:rFonts w:ascii="Times New Roman" w:hAnsi="Times New Roman" w:cs="Times New Roman"/>
        </w:rPr>
        <w:t>However, Ms. Lewis acknowledged that unforeseen events, such as a pandemic, could delay the completion of some condo buildings. For example, if four of the five buildings were completed but the final one was delayed by a few years, the taxable value might not generate enough funds to cover the debt. In such a case, instead of facing a crisis or default, the bond structure allows for flexibility. If there’s a shortfall in payments, the additional years (31, 32, and 33, in her example) could be used to collect the PID tax and repay the bonds. Essentially, the tax could be imposed for extra years if needed, providing additional time to fulfill the bond payments.</w:t>
      </w:r>
    </w:p>
    <w:p w14:paraId="1AA4F497" w14:textId="77777777" w:rsidR="009D272A" w:rsidRPr="009D272A" w:rsidRDefault="009D272A" w:rsidP="009D272A">
      <w:pPr>
        <w:spacing w:after="0" w:line="240" w:lineRule="auto"/>
        <w:jc w:val="both"/>
        <w:rPr>
          <w:rFonts w:ascii="Times New Roman" w:hAnsi="Times New Roman" w:cs="Times New Roman"/>
        </w:rPr>
      </w:pPr>
    </w:p>
    <w:p w14:paraId="4547FD34" w14:textId="77777777" w:rsidR="009D272A" w:rsidRPr="009D272A" w:rsidRDefault="009D272A" w:rsidP="009D272A">
      <w:pPr>
        <w:spacing w:after="0" w:line="240" w:lineRule="auto"/>
        <w:jc w:val="both"/>
        <w:rPr>
          <w:rFonts w:ascii="Times New Roman" w:hAnsi="Times New Roman" w:cs="Times New Roman"/>
        </w:rPr>
      </w:pPr>
      <w:r w:rsidRPr="009D272A">
        <w:rPr>
          <w:rFonts w:ascii="Times New Roman" w:hAnsi="Times New Roman" w:cs="Times New Roman"/>
        </w:rPr>
        <w:t>Ms. Lewis emphasized that if the bonds are not paid off within 40 years, the bondholders would receive whatever payments are left, but there would be no further recourse to MIDA or the state. The PID would be concluded, and the bondholders would be left with whatever has been repaid.</w:t>
      </w:r>
    </w:p>
    <w:p w14:paraId="75C97E24" w14:textId="77777777" w:rsidR="009D272A" w:rsidRPr="009D272A" w:rsidRDefault="009D272A" w:rsidP="009D272A">
      <w:pPr>
        <w:spacing w:after="0" w:line="240" w:lineRule="auto"/>
        <w:jc w:val="both"/>
        <w:rPr>
          <w:rFonts w:ascii="Times New Roman" w:hAnsi="Times New Roman" w:cs="Times New Roman"/>
        </w:rPr>
      </w:pPr>
    </w:p>
    <w:p w14:paraId="631F41EF" w14:textId="4DF92B81" w:rsidR="00737F50" w:rsidRDefault="009D272A" w:rsidP="009D272A">
      <w:pPr>
        <w:spacing w:after="0" w:line="240" w:lineRule="auto"/>
        <w:jc w:val="both"/>
        <w:rPr>
          <w:rFonts w:ascii="Times New Roman" w:hAnsi="Times New Roman" w:cs="Times New Roman"/>
        </w:rPr>
      </w:pPr>
      <w:r w:rsidRPr="009D272A">
        <w:rPr>
          <w:rFonts w:ascii="Times New Roman" w:hAnsi="Times New Roman" w:cs="Times New Roman"/>
        </w:rPr>
        <w:t>She explained that this structure is why the interest rates on these bonds are higher than those on traditional bonds, such as state general obligation bonds or water revenue bonds, as investors are assuming more risk with the possibility of delayed payments.</w:t>
      </w:r>
    </w:p>
    <w:p w14:paraId="6ACACCC2" w14:textId="2B824CEB" w:rsidR="00737F50" w:rsidRDefault="00737F50" w:rsidP="00263763">
      <w:pPr>
        <w:spacing w:after="0" w:line="240" w:lineRule="auto"/>
        <w:jc w:val="both"/>
        <w:rPr>
          <w:rFonts w:ascii="Times New Roman" w:hAnsi="Times New Roman" w:cs="Times New Roman"/>
        </w:rPr>
      </w:pPr>
    </w:p>
    <w:p w14:paraId="0B39CA0A" w14:textId="1DFB493A" w:rsidR="00737F50" w:rsidRDefault="009D272A" w:rsidP="00263763">
      <w:pPr>
        <w:spacing w:after="0" w:line="240" w:lineRule="auto"/>
        <w:jc w:val="both"/>
        <w:rPr>
          <w:rFonts w:ascii="Times New Roman" w:hAnsi="Times New Roman" w:cs="Times New Roman"/>
        </w:rPr>
      </w:pPr>
      <w:r w:rsidRPr="009D272A">
        <w:rPr>
          <w:rFonts w:ascii="Times New Roman" w:hAnsi="Times New Roman" w:cs="Times New Roman"/>
        </w:rPr>
        <w:t xml:space="preserve">Auditor Cannon clarified the situation from the taxpayer's perspective, rather than the investor's side. </w:t>
      </w:r>
      <w:r w:rsidR="00A16B1D">
        <w:rPr>
          <w:rFonts w:ascii="Times New Roman" w:hAnsi="Times New Roman" w:cs="Times New Roman"/>
        </w:rPr>
        <w:t>She</w:t>
      </w:r>
      <w:r w:rsidRPr="009D272A">
        <w:rPr>
          <w:rFonts w:ascii="Times New Roman" w:hAnsi="Times New Roman" w:cs="Times New Roman"/>
        </w:rPr>
        <w:t xml:space="preserve"> explained that if a taxpayer purchased a property in one of the first buildings to be completed and sold, they could potentially be responsible for repaying the bond over 40 years instead of 30 years. On the other hand, if someone purchased a property later in the project, say 10 years into development, they might only be responsible for repaying the bond over 20 years instead of 30 years. In essence, the length of time a taxpayer is responsible for repaying their portion of the property tax depends on which phase of the development they buy into.</w:t>
      </w:r>
      <w:r>
        <w:rPr>
          <w:rFonts w:ascii="Times New Roman" w:hAnsi="Times New Roman" w:cs="Times New Roman"/>
        </w:rPr>
        <w:t xml:space="preserve"> Mr. Lewis stated that is correct.</w:t>
      </w:r>
    </w:p>
    <w:p w14:paraId="315A266C" w14:textId="4D0EBD83" w:rsidR="00737F50" w:rsidRDefault="00737F50" w:rsidP="00263763">
      <w:pPr>
        <w:spacing w:after="0" w:line="240" w:lineRule="auto"/>
        <w:jc w:val="both"/>
        <w:rPr>
          <w:rFonts w:ascii="Times New Roman" w:hAnsi="Times New Roman" w:cs="Times New Roman"/>
        </w:rPr>
      </w:pPr>
    </w:p>
    <w:p w14:paraId="4540A47E" w14:textId="2EB3729C" w:rsidR="00737F50" w:rsidRDefault="009D272A" w:rsidP="00263763">
      <w:pPr>
        <w:spacing w:after="0" w:line="240" w:lineRule="auto"/>
        <w:jc w:val="both"/>
        <w:rPr>
          <w:rFonts w:ascii="Times New Roman" w:hAnsi="Times New Roman" w:cs="Times New Roman"/>
        </w:rPr>
      </w:pPr>
      <w:r w:rsidRPr="009D272A">
        <w:rPr>
          <w:rFonts w:ascii="Times New Roman" w:hAnsi="Times New Roman" w:cs="Times New Roman"/>
        </w:rPr>
        <w:t>Mr. Butterfield asked if the property's value increases, leading to higher taxes, whether the mill levy would remain the same and the funds would be paid off earlier. He inquired if that would be how the situation would work.</w:t>
      </w:r>
      <w:r>
        <w:rPr>
          <w:rFonts w:ascii="Times New Roman" w:hAnsi="Times New Roman" w:cs="Times New Roman"/>
        </w:rPr>
        <w:t xml:space="preserve"> </w:t>
      </w:r>
      <w:r w:rsidRPr="009D272A">
        <w:rPr>
          <w:rFonts w:ascii="Times New Roman" w:hAnsi="Times New Roman" w:cs="Times New Roman"/>
        </w:rPr>
        <w:t xml:space="preserve">Mr. Georgelas explained that the system effectively accelerates the repayment, which has been the practice over the last decade. While the mill rate is frozen, the principal to which it is applied can increase and accelerate. This makes it different from other property tax levies, where the rate would typically decrease over time. He noted that when the development is in its earlier stages, the taxes are lower, but as projections </w:t>
      </w:r>
      <w:r w:rsidRPr="009D272A">
        <w:rPr>
          <w:rFonts w:ascii="Times New Roman" w:hAnsi="Times New Roman" w:cs="Times New Roman"/>
        </w:rPr>
        <w:lastRenderedPageBreak/>
        <w:t>show, later purchasers may come in at a value that is approximately 20% higher. As a result, those who buy later will pay more, especially early on when the values are lower.</w:t>
      </w:r>
    </w:p>
    <w:p w14:paraId="0C9F8B40" w14:textId="35408E55" w:rsidR="009D272A" w:rsidRDefault="009D272A" w:rsidP="00263763">
      <w:pPr>
        <w:spacing w:after="0" w:line="240" w:lineRule="auto"/>
        <w:jc w:val="both"/>
        <w:rPr>
          <w:rFonts w:ascii="Times New Roman" w:hAnsi="Times New Roman" w:cs="Times New Roman"/>
        </w:rPr>
      </w:pPr>
    </w:p>
    <w:p w14:paraId="08A12D8C" w14:textId="2F93CCD7" w:rsidR="009D272A" w:rsidRDefault="009D272A" w:rsidP="00263763">
      <w:pPr>
        <w:spacing w:after="0" w:line="240" w:lineRule="auto"/>
        <w:jc w:val="both"/>
        <w:rPr>
          <w:rFonts w:ascii="Times New Roman" w:hAnsi="Times New Roman" w:cs="Times New Roman"/>
        </w:rPr>
      </w:pPr>
      <w:r w:rsidRPr="009D272A">
        <w:rPr>
          <w:rFonts w:ascii="Times New Roman" w:hAnsi="Times New Roman" w:cs="Times New Roman"/>
        </w:rPr>
        <w:t>Mr. Butterfield inquired about the reinvestment strategy when the bonds are sold. He asked if there would be a negative carry before the development is completed, specifically regarding land use. He was considering how the proceeds from the bond sale are invested between the acquisition of the funds and the completion of the project.</w:t>
      </w:r>
    </w:p>
    <w:p w14:paraId="54262BD8" w14:textId="576CF235" w:rsidR="00D55832" w:rsidRDefault="00D55832" w:rsidP="00263763">
      <w:pPr>
        <w:spacing w:after="0" w:line="240" w:lineRule="auto"/>
        <w:jc w:val="both"/>
        <w:rPr>
          <w:rFonts w:ascii="Times New Roman" w:hAnsi="Times New Roman" w:cs="Times New Roman"/>
        </w:rPr>
      </w:pPr>
    </w:p>
    <w:p w14:paraId="0994B4F2" w14:textId="5260A7AB" w:rsidR="00D55832" w:rsidRDefault="00D55832" w:rsidP="00263763">
      <w:pPr>
        <w:spacing w:after="0" w:line="240" w:lineRule="auto"/>
        <w:jc w:val="both"/>
        <w:rPr>
          <w:rFonts w:ascii="Times New Roman" w:hAnsi="Times New Roman" w:cs="Times New Roman"/>
        </w:rPr>
      </w:pPr>
      <w:r w:rsidRPr="00D55832">
        <w:rPr>
          <w:rFonts w:ascii="Times New Roman" w:hAnsi="Times New Roman" w:cs="Times New Roman"/>
        </w:rPr>
        <w:t>Ms. Lewis explained that the investments are limited by state law under the State Money Management Act. While it is possible to write the bond documents to allow for slightly more aggressive investments than the Act typically permits, the focus is usually on secure instruments. Given the interest rates at which the bonds will be issued, she acknowledged that negative arbitrage is expected. The bonds will likely be invested at a rate of around 4.25% rather than the 6.75% to 9% rate of the bonds themselves. However, she emphasized that the investment proceeds will still benefit the project, although the exact rate of negative arbitrage cannot be determined at this time.</w:t>
      </w:r>
    </w:p>
    <w:p w14:paraId="279F8793" w14:textId="77777777" w:rsidR="009D272A" w:rsidRDefault="009D272A" w:rsidP="00263763">
      <w:pPr>
        <w:spacing w:after="0" w:line="240" w:lineRule="auto"/>
        <w:jc w:val="both"/>
        <w:rPr>
          <w:rFonts w:ascii="Times New Roman" w:hAnsi="Times New Roman" w:cs="Times New Roman"/>
        </w:rPr>
      </w:pPr>
    </w:p>
    <w:p w14:paraId="5D3C4BA3" w14:textId="5E3392B6" w:rsidR="00737F50" w:rsidRDefault="00D55832" w:rsidP="00263763">
      <w:pPr>
        <w:spacing w:after="0" w:line="240" w:lineRule="auto"/>
        <w:jc w:val="both"/>
        <w:rPr>
          <w:rFonts w:ascii="Times New Roman" w:hAnsi="Times New Roman" w:cs="Times New Roman"/>
        </w:rPr>
      </w:pPr>
      <w:r w:rsidRPr="00D55832">
        <w:rPr>
          <w:rFonts w:ascii="Times New Roman" w:hAnsi="Times New Roman" w:cs="Times New Roman"/>
        </w:rPr>
        <w:t>Ms. DiCaro asked if, once the bond is paid off, 100% of the property tax would go to MIDA.</w:t>
      </w:r>
      <w:r>
        <w:rPr>
          <w:rFonts w:ascii="Times New Roman" w:hAnsi="Times New Roman" w:cs="Times New Roman"/>
        </w:rPr>
        <w:t xml:space="preserve"> </w:t>
      </w:r>
      <w:r w:rsidRPr="00D55832">
        <w:rPr>
          <w:rFonts w:ascii="Times New Roman" w:hAnsi="Times New Roman" w:cs="Times New Roman"/>
        </w:rPr>
        <w:t>Mr. Georgelas explained that the mill levy simply goes away. It is an additional layer on top of the normal property tax, and once it is no longer needed, it ceases to exist.</w:t>
      </w:r>
    </w:p>
    <w:p w14:paraId="6020E1B8" w14:textId="68803D03" w:rsidR="00D55832" w:rsidRDefault="00D55832" w:rsidP="00263763">
      <w:pPr>
        <w:spacing w:after="0" w:line="240" w:lineRule="auto"/>
        <w:jc w:val="both"/>
        <w:rPr>
          <w:rFonts w:ascii="Times New Roman" w:hAnsi="Times New Roman" w:cs="Times New Roman"/>
        </w:rPr>
      </w:pPr>
    </w:p>
    <w:p w14:paraId="63649854" w14:textId="1F014958" w:rsidR="00D55832" w:rsidRDefault="00FB1B3E" w:rsidP="00263763">
      <w:pPr>
        <w:spacing w:after="0" w:line="240" w:lineRule="auto"/>
        <w:jc w:val="both"/>
        <w:rPr>
          <w:rFonts w:ascii="Times New Roman" w:hAnsi="Times New Roman" w:cs="Times New Roman"/>
        </w:rPr>
      </w:pPr>
      <w:r w:rsidRPr="00FB1B3E">
        <w:rPr>
          <w:rFonts w:ascii="Times New Roman" w:hAnsi="Times New Roman" w:cs="Times New Roman"/>
        </w:rPr>
        <w:t>Mr. Larson clarified that this is not a joint venture between MIDA and the developer where they would receive money back. He emphasized that the only thing pledged to the bonds is a generally applicable property tax, which is a common practice in areas with tax increment financing. Instead of taking money from other sources, this structure involves a property owner agreeing to purchase the property under these terms. The IRS analysis remains unchanged, as it is a generally applicable tax for a specific cost. He also noted that there is no guarantee of returns or profit for MIDA, the state, or anyone else, and the Treasury has classified it as an economic development grant fund without any further concerns about private use or abuse of private uses.</w:t>
      </w:r>
    </w:p>
    <w:p w14:paraId="0F677C87" w14:textId="10210C6E" w:rsidR="00FB1B3E" w:rsidRDefault="00FB1B3E" w:rsidP="00263763">
      <w:pPr>
        <w:spacing w:after="0" w:line="240" w:lineRule="auto"/>
        <w:jc w:val="both"/>
        <w:rPr>
          <w:rFonts w:ascii="Times New Roman" w:hAnsi="Times New Roman" w:cs="Times New Roman"/>
        </w:rPr>
      </w:pPr>
    </w:p>
    <w:p w14:paraId="5EE69314" w14:textId="556BDBFB" w:rsidR="00FB1B3E" w:rsidRDefault="00FB1B3E" w:rsidP="00263763">
      <w:pPr>
        <w:spacing w:after="0" w:line="240" w:lineRule="auto"/>
        <w:jc w:val="both"/>
        <w:rPr>
          <w:rFonts w:ascii="Times New Roman" w:hAnsi="Times New Roman" w:cs="Times New Roman"/>
        </w:rPr>
      </w:pPr>
      <w:r w:rsidRPr="00FB1B3E">
        <w:rPr>
          <w:rFonts w:ascii="Times New Roman" w:hAnsi="Times New Roman" w:cs="Times New Roman"/>
        </w:rPr>
        <w:t>Mr. Slaugh inquired if this structure could be considered a loophole, as it essentially allows private development to use tax-exempt bonds, provided an organization like MIDA sponsors it. He questioned whether this arrangement permits private development to benefit from tax-exempt bonds, despite the fact that the use of the development appears to be mostly private, with only small benefits directed toward military personnel or other public purposes. He asked if the entire project is classified as tax-exempt and governmental solely due to MIDA's involvement.</w:t>
      </w:r>
    </w:p>
    <w:p w14:paraId="3667E8A9" w14:textId="4B556978" w:rsidR="00FB1B3E" w:rsidRDefault="00FB1B3E" w:rsidP="00263763">
      <w:pPr>
        <w:spacing w:after="0" w:line="240" w:lineRule="auto"/>
        <w:jc w:val="both"/>
        <w:rPr>
          <w:rFonts w:ascii="Times New Roman" w:hAnsi="Times New Roman" w:cs="Times New Roman"/>
        </w:rPr>
      </w:pPr>
    </w:p>
    <w:p w14:paraId="26BC04C6" w14:textId="4B61F9A4" w:rsidR="00FB1B3E" w:rsidRDefault="00FB1B3E" w:rsidP="00263763">
      <w:pPr>
        <w:spacing w:after="0" w:line="240" w:lineRule="auto"/>
        <w:jc w:val="both"/>
        <w:rPr>
          <w:rFonts w:ascii="Times New Roman" w:hAnsi="Times New Roman" w:cs="Times New Roman"/>
        </w:rPr>
      </w:pPr>
      <w:r w:rsidRPr="00FB1B3E">
        <w:rPr>
          <w:rFonts w:ascii="Times New Roman" w:hAnsi="Times New Roman" w:cs="Times New Roman"/>
        </w:rPr>
        <w:t>Ms. Lewis explained that the public use aspect comes from the parking structure, which is open to the public. While there is a fee to park, it is still considered public parking. She further clarified that people could park there to go skiing or shopping, similar to how the Eccles Theater is a public theater. She noted that a PID is typically used for infrastructure that will then be available for public use. The intention is not to use the PID for constructing condos, but rather for any public infrastructure that could be jointly used.</w:t>
      </w:r>
    </w:p>
    <w:p w14:paraId="7D1635EF" w14:textId="582013C0" w:rsidR="00FB1B3E" w:rsidRDefault="00FB1B3E" w:rsidP="00263763">
      <w:pPr>
        <w:spacing w:after="0" w:line="240" w:lineRule="auto"/>
        <w:jc w:val="both"/>
        <w:rPr>
          <w:rFonts w:ascii="Times New Roman" w:hAnsi="Times New Roman" w:cs="Times New Roman"/>
        </w:rPr>
      </w:pPr>
    </w:p>
    <w:p w14:paraId="61A28563" w14:textId="3F5F88D0" w:rsidR="00FB1B3E" w:rsidRDefault="00FB1B3E" w:rsidP="00263763">
      <w:pPr>
        <w:spacing w:after="0" w:line="240" w:lineRule="auto"/>
        <w:jc w:val="both"/>
        <w:rPr>
          <w:rFonts w:ascii="Times New Roman" w:hAnsi="Times New Roman" w:cs="Times New Roman"/>
        </w:rPr>
      </w:pPr>
      <w:r w:rsidRPr="00FB1B3E">
        <w:rPr>
          <w:rFonts w:ascii="Times New Roman" w:hAnsi="Times New Roman" w:cs="Times New Roman"/>
        </w:rPr>
        <w:t>Mr. Slaugh asked if the expensive parking was what pushes the project above the threshold, inquiring whether there is some kind of value calculation that makes the parking structure qualify as public, or if that factor is not considered in the calculation at all.</w:t>
      </w:r>
    </w:p>
    <w:p w14:paraId="7510162E" w14:textId="052FD14F" w:rsidR="00FB1B3E" w:rsidRDefault="00FB1B3E" w:rsidP="00263763">
      <w:pPr>
        <w:spacing w:after="0" w:line="240" w:lineRule="auto"/>
        <w:jc w:val="both"/>
        <w:rPr>
          <w:rFonts w:ascii="Times New Roman" w:hAnsi="Times New Roman" w:cs="Times New Roman"/>
        </w:rPr>
      </w:pPr>
    </w:p>
    <w:p w14:paraId="167D7B13" w14:textId="216A2A07" w:rsidR="00FB1B3E" w:rsidRDefault="00FB1B3E" w:rsidP="00263763">
      <w:pPr>
        <w:spacing w:after="0" w:line="240" w:lineRule="auto"/>
        <w:jc w:val="both"/>
        <w:rPr>
          <w:rFonts w:ascii="Times New Roman" w:hAnsi="Times New Roman" w:cs="Times New Roman"/>
        </w:rPr>
      </w:pPr>
      <w:r w:rsidRPr="00FB1B3E">
        <w:rPr>
          <w:rFonts w:ascii="Times New Roman" w:hAnsi="Times New Roman" w:cs="Times New Roman"/>
        </w:rPr>
        <w:t>Mr. Larsen explained that under state law, private financing can be used, but it doesn't affect the public input requirement. He emphasized that this is not a loophole, as tax increment financing and economic development projects like this one are common across the country. The key difference here is that there is no participation from any governmental entity, and no removal of their benefits. It involves a property owner's consent to the use of their property in a manner that allows for the financing of the bonds. As long as the bonds are structured to avoid default, Treasury does not scrutinize whether the use is public or governmental. Since the tax is a generally applicable property tax, and the PID and MIDA are willing to forego any benefit for their budgets in order to allow the parking use, Treasury doesn't look beyond that.</w:t>
      </w:r>
    </w:p>
    <w:p w14:paraId="5133DA85" w14:textId="4D530206" w:rsidR="00FB1B3E" w:rsidRDefault="00FB1B3E" w:rsidP="00263763">
      <w:pPr>
        <w:spacing w:after="0" w:line="240" w:lineRule="auto"/>
        <w:jc w:val="both"/>
        <w:rPr>
          <w:rFonts w:ascii="Times New Roman" w:hAnsi="Times New Roman" w:cs="Times New Roman"/>
        </w:rPr>
      </w:pPr>
    </w:p>
    <w:p w14:paraId="6FBD5FA5" w14:textId="77777777" w:rsidR="008F6898" w:rsidRPr="008F6898" w:rsidRDefault="008F6898" w:rsidP="008F6898">
      <w:pPr>
        <w:spacing w:after="0" w:line="240" w:lineRule="auto"/>
        <w:jc w:val="both"/>
        <w:rPr>
          <w:rFonts w:ascii="Times New Roman" w:hAnsi="Times New Roman" w:cs="Times New Roman"/>
        </w:rPr>
      </w:pPr>
      <w:r w:rsidRPr="008F6898">
        <w:rPr>
          <w:rFonts w:ascii="Times New Roman" w:hAnsi="Times New Roman" w:cs="Times New Roman"/>
        </w:rPr>
        <w:lastRenderedPageBreak/>
        <w:t>Mr. Ostermiller explained that from a board member’s perspective, MIDA is very selective about which projects they get involved in. The agency is limited by statutory authority and is very conscious of its reputation and track record. Overextending or overreaching is seen as the best way to jeopardize their success, so they approach every project with caution. Their decision-making process is thorough and spans over a long period of time to ensure that any project aligns with MIDA's mission and structure. They evaluate factors such as the project's military connection and the public purpose it serves.</w:t>
      </w:r>
    </w:p>
    <w:p w14:paraId="4F0B3D5E" w14:textId="77777777" w:rsidR="008F6898" w:rsidRPr="008F6898" w:rsidRDefault="008F6898" w:rsidP="008F6898">
      <w:pPr>
        <w:spacing w:after="0" w:line="240" w:lineRule="auto"/>
        <w:jc w:val="both"/>
        <w:rPr>
          <w:rFonts w:ascii="Times New Roman" w:hAnsi="Times New Roman" w:cs="Times New Roman"/>
        </w:rPr>
      </w:pPr>
    </w:p>
    <w:p w14:paraId="048174A1" w14:textId="7D3E25DF" w:rsidR="00FB1B3E" w:rsidRDefault="008F6898" w:rsidP="008F6898">
      <w:pPr>
        <w:spacing w:after="0" w:line="240" w:lineRule="auto"/>
        <w:jc w:val="both"/>
        <w:rPr>
          <w:rFonts w:ascii="Times New Roman" w:hAnsi="Times New Roman" w:cs="Times New Roman"/>
        </w:rPr>
      </w:pPr>
      <w:r w:rsidRPr="008F6898">
        <w:rPr>
          <w:rFonts w:ascii="Times New Roman" w:hAnsi="Times New Roman" w:cs="Times New Roman"/>
        </w:rPr>
        <w:t>He emphasized that MIDA’s board includes elected officials, which makes them even more cautious about public perception. MIDA is selective in their involvement, and they do not pursue projects that do not fit within their scope. In this case, the project’s alignment with MIDA's mission, particularly the military nexus and the significance of parking for the development, were key factors in their decision-making. The development's potential to support the MRF and contribute to the area's success was seen as crucial, and thus, the project was deemed to be a good fit for MIDA’s goals.</w:t>
      </w:r>
    </w:p>
    <w:p w14:paraId="158043AD" w14:textId="74B0F72C" w:rsidR="00FB1B3E" w:rsidRDefault="00FB1B3E" w:rsidP="00263763">
      <w:pPr>
        <w:spacing w:after="0" w:line="240" w:lineRule="auto"/>
        <w:jc w:val="both"/>
        <w:rPr>
          <w:rFonts w:ascii="Times New Roman" w:hAnsi="Times New Roman" w:cs="Times New Roman"/>
        </w:rPr>
      </w:pPr>
    </w:p>
    <w:p w14:paraId="15AB47D2" w14:textId="28BD97CF" w:rsidR="00FB1B3E" w:rsidRDefault="008F6898" w:rsidP="00263763">
      <w:pPr>
        <w:spacing w:after="0" w:line="240" w:lineRule="auto"/>
        <w:jc w:val="both"/>
        <w:rPr>
          <w:rFonts w:ascii="Times New Roman" w:hAnsi="Times New Roman" w:cs="Times New Roman"/>
        </w:rPr>
      </w:pPr>
      <w:r w:rsidRPr="008F6898">
        <w:rPr>
          <w:rFonts w:ascii="Times New Roman" w:hAnsi="Times New Roman" w:cs="Times New Roman"/>
        </w:rPr>
        <w:t>Auditor Cannon clarified that this situation takes the concept of PIDs in Utah to a different level. Typically, PIDs are associated with local governments that have an elected board or commission directly accountable to taxpayers, who are responsible for paying the property tax. However, in this instance, the PID is under MIDA, where there is no directly elected board from the taxpayers who will ultimately be paying the bond. This creates a different dynamic in the implementation of the PID.</w:t>
      </w:r>
      <w:r>
        <w:rPr>
          <w:rFonts w:ascii="Times New Roman" w:hAnsi="Times New Roman" w:cs="Times New Roman"/>
        </w:rPr>
        <w:t xml:space="preserve"> Furthermore, </w:t>
      </w:r>
      <w:r w:rsidR="00EF6E64">
        <w:rPr>
          <w:rFonts w:ascii="Times New Roman" w:hAnsi="Times New Roman" w:cs="Times New Roman"/>
        </w:rPr>
        <w:t>auditor Cannon</w:t>
      </w:r>
      <w:r w:rsidRPr="008F6898">
        <w:rPr>
          <w:rFonts w:ascii="Times New Roman" w:hAnsi="Times New Roman" w:cs="Times New Roman"/>
        </w:rPr>
        <w:t xml:space="preserve"> noted that obtaining 100% consent from a developer is relatively easy, as the developer can then have their development costs reimbursed, which is ultimately passed on to taxpayers over the next 30 or potentially 40 years through the financing. </w:t>
      </w:r>
      <w:r>
        <w:rPr>
          <w:rFonts w:ascii="Times New Roman" w:hAnsi="Times New Roman" w:cs="Times New Roman"/>
        </w:rPr>
        <w:t xml:space="preserve">Auditor Cannon </w:t>
      </w:r>
      <w:r w:rsidRPr="008F6898">
        <w:rPr>
          <w:rFonts w:ascii="Times New Roman" w:hAnsi="Times New Roman" w:cs="Times New Roman"/>
        </w:rPr>
        <w:t>pointed out that having MIDA take on the ability to issue a PID represents a new step in the evolution of PIDs.</w:t>
      </w:r>
    </w:p>
    <w:p w14:paraId="0C759E78" w14:textId="174D12E6" w:rsidR="00EF6E64" w:rsidRDefault="00EF6E64" w:rsidP="00263763">
      <w:pPr>
        <w:spacing w:after="0" w:line="240" w:lineRule="auto"/>
        <w:jc w:val="both"/>
        <w:rPr>
          <w:rFonts w:ascii="Times New Roman" w:hAnsi="Times New Roman" w:cs="Times New Roman"/>
        </w:rPr>
      </w:pPr>
    </w:p>
    <w:p w14:paraId="02DAC8F7" w14:textId="2B0574B0" w:rsidR="00EF6E64" w:rsidRDefault="00EF6E64" w:rsidP="00263763">
      <w:pPr>
        <w:spacing w:after="0" w:line="240" w:lineRule="auto"/>
        <w:jc w:val="both"/>
        <w:rPr>
          <w:rFonts w:ascii="Times New Roman" w:hAnsi="Times New Roman" w:cs="Times New Roman"/>
        </w:rPr>
      </w:pPr>
      <w:r>
        <w:rPr>
          <w:rFonts w:ascii="Times New Roman" w:hAnsi="Times New Roman" w:cs="Times New Roman"/>
        </w:rPr>
        <w:t xml:space="preserve">Auditor Cannon </w:t>
      </w:r>
      <w:r w:rsidRPr="00EF6E64">
        <w:rPr>
          <w:rFonts w:ascii="Times New Roman" w:hAnsi="Times New Roman" w:cs="Times New Roman"/>
        </w:rPr>
        <w:t xml:space="preserve">expressed a general dislike for PIDs, particularly because of this step in the process. </w:t>
      </w:r>
      <w:r>
        <w:rPr>
          <w:rFonts w:ascii="Times New Roman" w:hAnsi="Times New Roman" w:cs="Times New Roman"/>
        </w:rPr>
        <w:t xml:space="preserve">It was </w:t>
      </w:r>
      <w:r w:rsidRPr="00EF6E64">
        <w:rPr>
          <w:rFonts w:ascii="Times New Roman" w:hAnsi="Times New Roman" w:cs="Times New Roman"/>
        </w:rPr>
        <w:t xml:space="preserve">noted that it is still uncertain whether taxpayers, who have not directly elected anyone involved in the process, are fully aware of the additional $10,000 in property taxes they will incur within this tax bracket. However, the </w:t>
      </w:r>
      <w:r>
        <w:rPr>
          <w:rFonts w:ascii="Times New Roman" w:hAnsi="Times New Roman" w:cs="Times New Roman"/>
        </w:rPr>
        <w:t>Auditor Cannon</w:t>
      </w:r>
      <w:r w:rsidRPr="00EF6E64">
        <w:rPr>
          <w:rFonts w:ascii="Times New Roman" w:hAnsi="Times New Roman" w:cs="Times New Roman"/>
        </w:rPr>
        <w:t xml:space="preserve"> mentioned that if taxpayers are fully informed and aware of the additional costs they are stepping into, they did not have the same concerns as they would in situations involving low-income housing, where residents may unexpectedly face additional </w:t>
      </w:r>
      <w:proofErr w:type="gramStart"/>
      <w:r w:rsidRPr="00EF6E64">
        <w:rPr>
          <w:rFonts w:ascii="Times New Roman" w:hAnsi="Times New Roman" w:cs="Times New Roman"/>
        </w:rPr>
        <w:t>costs</w:t>
      </w:r>
      <w:proofErr w:type="gramEnd"/>
      <w:r w:rsidRPr="00EF6E64">
        <w:rPr>
          <w:rFonts w:ascii="Times New Roman" w:hAnsi="Times New Roman" w:cs="Times New Roman"/>
        </w:rPr>
        <w:t xml:space="preserve"> they were not made aware of.</w:t>
      </w:r>
    </w:p>
    <w:p w14:paraId="776F5B07" w14:textId="06041F0C" w:rsidR="00FB1B3E" w:rsidRDefault="00FB1B3E" w:rsidP="00263763">
      <w:pPr>
        <w:spacing w:after="0" w:line="240" w:lineRule="auto"/>
        <w:jc w:val="both"/>
        <w:rPr>
          <w:rFonts w:ascii="Times New Roman" w:hAnsi="Times New Roman" w:cs="Times New Roman"/>
        </w:rPr>
      </w:pPr>
    </w:p>
    <w:p w14:paraId="6727BA71" w14:textId="413D672C" w:rsidR="00FB1B3E" w:rsidRDefault="00EF6E64" w:rsidP="00263763">
      <w:pPr>
        <w:spacing w:after="0" w:line="240" w:lineRule="auto"/>
        <w:jc w:val="both"/>
        <w:rPr>
          <w:rFonts w:ascii="Times New Roman" w:hAnsi="Times New Roman" w:cs="Times New Roman"/>
        </w:rPr>
      </w:pPr>
      <w:r w:rsidRPr="00EF6E64">
        <w:rPr>
          <w:rFonts w:ascii="Times New Roman" w:hAnsi="Times New Roman" w:cs="Times New Roman"/>
        </w:rPr>
        <w:t>Mr. Slaugh raised the question of when individuals are made aware of certain details during the process. He pointed out that if someone is further down the line, reviewing comps for non-pit areas and securing their buyer’s contract, they may suddenly receive a disclosure. This disclosure, informing them of an additional property tax, could come only after the purchase contract has already been finalized. Mr. Slaugh emphasized that this timing issue is a significant problem.</w:t>
      </w:r>
    </w:p>
    <w:p w14:paraId="7BC03124" w14:textId="172A2326" w:rsidR="00FB1B3E" w:rsidRDefault="00FB1B3E" w:rsidP="00263763">
      <w:pPr>
        <w:spacing w:after="0" w:line="240" w:lineRule="auto"/>
        <w:jc w:val="both"/>
        <w:rPr>
          <w:rFonts w:ascii="Times New Roman" w:hAnsi="Times New Roman" w:cs="Times New Roman"/>
        </w:rPr>
      </w:pPr>
    </w:p>
    <w:p w14:paraId="70C1BB56" w14:textId="77777777" w:rsidR="00EF6E64" w:rsidRPr="00EF6E64" w:rsidRDefault="00EF6E64" w:rsidP="00EF6E64">
      <w:pPr>
        <w:spacing w:after="0" w:line="240" w:lineRule="auto"/>
        <w:jc w:val="both"/>
        <w:rPr>
          <w:rFonts w:ascii="Times New Roman" w:hAnsi="Times New Roman" w:cs="Times New Roman"/>
        </w:rPr>
      </w:pPr>
      <w:r w:rsidRPr="00EF6E64">
        <w:rPr>
          <w:rFonts w:ascii="Times New Roman" w:hAnsi="Times New Roman" w:cs="Times New Roman"/>
        </w:rPr>
        <w:t>Mr. Georgelas explained that for their practice, including the ownership of Black Desert, they ensure that both the declarations and the condominium declarations are included in the original package of the real estate purchase contract. These documents are also part of the title report provided to buyers. He emphasized that this information is available during the due diligence process. If a buyer fails to identify it and decides to back out, they assume responsibility, having received full disclosure.</w:t>
      </w:r>
    </w:p>
    <w:p w14:paraId="533CB812" w14:textId="77777777" w:rsidR="00EF6E64" w:rsidRPr="00EF6E64" w:rsidRDefault="00EF6E64" w:rsidP="00EF6E64">
      <w:pPr>
        <w:spacing w:after="0" w:line="240" w:lineRule="auto"/>
        <w:jc w:val="both"/>
        <w:rPr>
          <w:rFonts w:ascii="Times New Roman" w:hAnsi="Times New Roman" w:cs="Times New Roman"/>
        </w:rPr>
      </w:pPr>
    </w:p>
    <w:p w14:paraId="46932007" w14:textId="5B6E5EAF" w:rsidR="00FB1B3E" w:rsidRDefault="00EF6E64" w:rsidP="00EF6E64">
      <w:pPr>
        <w:spacing w:after="0" w:line="240" w:lineRule="auto"/>
        <w:jc w:val="both"/>
        <w:rPr>
          <w:rFonts w:ascii="Times New Roman" w:hAnsi="Times New Roman" w:cs="Times New Roman"/>
        </w:rPr>
      </w:pPr>
      <w:r w:rsidRPr="00EF6E64">
        <w:rPr>
          <w:rFonts w:ascii="Times New Roman" w:hAnsi="Times New Roman" w:cs="Times New Roman"/>
        </w:rPr>
        <w:t>Mr. Georgelas also highlighted that they are currently $120 million invested, with the total risk nearing a billion dollars by the time the project is fully built out. He stressed the importance of getting the balance right and reassured that they are very sensitive to these issues. As operators of Black Desert and through their sister companies, they are committed to being there for the long term and want to avoid dealing with disgruntled owners for this reason.</w:t>
      </w:r>
    </w:p>
    <w:p w14:paraId="66AF97F0" w14:textId="7964B324" w:rsidR="00FB1B3E" w:rsidRDefault="00FB1B3E" w:rsidP="00263763">
      <w:pPr>
        <w:spacing w:after="0" w:line="240" w:lineRule="auto"/>
        <w:jc w:val="both"/>
        <w:rPr>
          <w:rFonts w:ascii="Times New Roman" w:hAnsi="Times New Roman" w:cs="Times New Roman"/>
        </w:rPr>
      </w:pPr>
    </w:p>
    <w:p w14:paraId="27396DEE" w14:textId="63A811C3" w:rsidR="00FB1B3E" w:rsidRDefault="00EF6E64" w:rsidP="00263763">
      <w:pPr>
        <w:spacing w:after="0" w:line="240" w:lineRule="auto"/>
        <w:jc w:val="both"/>
        <w:rPr>
          <w:rFonts w:ascii="Times New Roman" w:hAnsi="Times New Roman" w:cs="Times New Roman"/>
        </w:rPr>
      </w:pPr>
      <w:r w:rsidRPr="00EF6E64">
        <w:rPr>
          <w:rFonts w:ascii="Times New Roman" w:hAnsi="Times New Roman" w:cs="Times New Roman"/>
        </w:rPr>
        <w:t xml:space="preserve">Auditor Cannon acknowledged that it is important to recognize that this is a development tool highly beneficial to developers, as it allows them to bond based on future taxpayer revenue over a span of 30 to 40 years. </w:t>
      </w:r>
      <w:r w:rsidR="002406E8">
        <w:rPr>
          <w:rFonts w:ascii="Times New Roman" w:hAnsi="Times New Roman" w:cs="Times New Roman"/>
        </w:rPr>
        <w:t xml:space="preserve">She </w:t>
      </w:r>
      <w:r w:rsidRPr="00EF6E64">
        <w:rPr>
          <w:rFonts w:ascii="Times New Roman" w:hAnsi="Times New Roman" w:cs="Times New Roman"/>
        </w:rPr>
        <w:t>noted that it is a very attractive tool for developers and clarified that they are not necessarily withholding assistance.</w:t>
      </w:r>
    </w:p>
    <w:p w14:paraId="32A3B2DF" w14:textId="41BE5C74" w:rsidR="00FB1B3E" w:rsidRDefault="00FB1B3E" w:rsidP="00263763">
      <w:pPr>
        <w:spacing w:after="0" w:line="240" w:lineRule="auto"/>
        <w:jc w:val="both"/>
        <w:rPr>
          <w:rFonts w:ascii="Times New Roman" w:hAnsi="Times New Roman" w:cs="Times New Roman"/>
        </w:rPr>
      </w:pPr>
    </w:p>
    <w:p w14:paraId="5E645E55" w14:textId="657DBECC" w:rsidR="002406E8" w:rsidRPr="002406E8" w:rsidRDefault="002406E8" w:rsidP="002406E8">
      <w:pPr>
        <w:spacing w:after="0" w:line="240" w:lineRule="auto"/>
        <w:jc w:val="both"/>
        <w:rPr>
          <w:rFonts w:ascii="Times New Roman" w:hAnsi="Times New Roman" w:cs="Times New Roman"/>
        </w:rPr>
      </w:pPr>
      <w:r w:rsidRPr="002406E8">
        <w:rPr>
          <w:rFonts w:ascii="Times New Roman" w:hAnsi="Times New Roman" w:cs="Times New Roman"/>
        </w:rPr>
        <w:lastRenderedPageBreak/>
        <w:t xml:space="preserve">Mr. Slaugh pointed out that the issue arises when comparing comps, as some are in a PID while others are not. He noted that more sophisticated buyers might be able to factor these differences into their offer prices, influencing what they’re willing to pay for a home. However, he agreed with </w:t>
      </w:r>
      <w:r>
        <w:rPr>
          <w:rFonts w:ascii="Times New Roman" w:hAnsi="Times New Roman" w:cs="Times New Roman"/>
        </w:rPr>
        <w:t>Auditor Cannon</w:t>
      </w:r>
      <w:r w:rsidRPr="002406E8">
        <w:rPr>
          <w:rFonts w:ascii="Times New Roman" w:hAnsi="Times New Roman" w:cs="Times New Roman"/>
        </w:rPr>
        <w:t xml:space="preserve"> that the average buyer is not sophisticated enough to account for this difference. They wouldn't know how to adjust their offer, for example, lowering it by $10,000 for a similar home in a PID area compared to one in a non-PID area, by calculating the present value of future tax payments. Mr. Slaugh explained that this leads to the non-PID market artificially boosting the market values of properties in PID areas, creating an unfair and biased property market.</w:t>
      </w:r>
    </w:p>
    <w:p w14:paraId="4B83C63C" w14:textId="77777777" w:rsidR="002406E8" w:rsidRPr="002406E8" w:rsidRDefault="002406E8" w:rsidP="002406E8">
      <w:pPr>
        <w:spacing w:after="0" w:line="240" w:lineRule="auto"/>
        <w:jc w:val="both"/>
        <w:rPr>
          <w:rFonts w:ascii="Times New Roman" w:hAnsi="Times New Roman" w:cs="Times New Roman"/>
        </w:rPr>
      </w:pPr>
    </w:p>
    <w:p w14:paraId="1CEC9D67" w14:textId="15F16CC7" w:rsidR="002406E8" w:rsidRPr="002406E8" w:rsidRDefault="002406E8" w:rsidP="002406E8">
      <w:pPr>
        <w:spacing w:after="0" w:line="240" w:lineRule="auto"/>
        <w:jc w:val="both"/>
        <w:rPr>
          <w:rFonts w:ascii="Times New Roman" w:hAnsi="Times New Roman" w:cs="Times New Roman"/>
        </w:rPr>
      </w:pPr>
      <w:r w:rsidRPr="002406E8">
        <w:rPr>
          <w:rFonts w:ascii="Times New Roman" w:hAnsi="Times New Roman" w:cs="Times New Roman"/>
        </w:rPr>
        <w:t xml:space="preserve">Mr. Georgelas explained that the situation could be viewed from two perspectives. He noted that the tool was originally developed as a redevelopment strategy but has since evolved to give local municipalities broader authority to attract the type of development they desire. He pointed to </w:t>
      </w:r>
      <w:r>
        <w:rPr>
          <w:rFonts w:ascii="Times New Roman" w:hAnsi="Times New Roman" w:cs="Times New Roman"/>
        </w:rPr>
        <w:t xml:space="preserve">an </w:t>
      </w:r>
      <w:r w:rsidRPr="002406E8">
        <w:rPr>
          <w:rFonts w:ascii="Times New Roman" w:hAnsi="Times New Roman" w:cs="Times New Roman"/>
        </w:rPr>
        <w:t>example, where the primary source of tax revenue comes from resort commercial space, which they had to actively attract. Their role was to provide just that.</w:t>
      </w:r>
    </w:p>
    <w:p w14:paraId="3C5F2CF1" w14:textId="77777777" w:rsidR="002406E8" w:rsidRPr="002406E8" w:rsidRDefault="002406E8" w:rsidP="002406E8">
      <w:pPr>
        <w:spacing w:after="0" w:line="240" w:lineRule="auto"/>
        <w:jc w:val="both"/>
        <w:rPr>
          <w:rFonts w:ascii="Times New Roman" w:hAnsi="Times New Roman" w:cs="Times New Roman"/>
        </w:rPr>
      </w:pPr>
    </w:p>
    <w:p w14:paraId="1958C018" w14:textId="2A4C000E" w:rsidR="002406E8" w:rsidRPr="002406E8" w:rsidRDefault="002406E8" w:rsidP="002406E8">
      <w:pPr>
        <w:spacing w:after="0" w:line="240" w:lineRule="auto"/>
        <w:jc w:val="both"/>
        <w:rPr>
          <w:rFonts w:ascii="Times New Roman" w:hAnsi="Times New Roman" w:cs="Times New Roman"/>
        </w:rPr>
      </w:pPr>
      <w:r w:rsidRPr="002406E8">
        <w:rPr>
          <w:rFonts w:ascii="Times New Roman" w:hAnsi="Times New Roman" w:cs="Times New Roman"/>
        </w:rPr>
        <w:t>Mr. Georgelas continued by saying that now they are going to provide a DAC space, which will not burden the local community in terms of schools, aside from the needs for fire and police services. This development will significantly increase property values and support the community, as it’s the newest project in town and will have the highest value per square foot. He emphasized that they are not simply benefiting from others' successes when they take this money.</w:t>
      </w:r>
    </w:p>
    <w:p w14:paraId="3EED9639" w14:textId="2D24A346" w:rsidR="002406E8" w:rsidRDefault="002406E8" w:rsidP="00263763">
      <w:pPr>
        <w:spacing w:after="0" w:line="240" w:lineRule="auto"/>
        <w:jc w:val="both"/>
        <w:rPr>
          <w:rFonts w:ascii="Times New Roman" w:hAnsi="Times New Roman" w:cs="Times New Roman"/>
        </w:rPr>
      </w:pPr>
    </w:p>
    <w:p w14:paraId="42E57FCD" w14:textId="36144834" w:rsidR="00FB1B3E" w:rsidRDefault="0031762F" w:rsidP="00263763">
      <w:pPr>
        <w:spacing w:after="0" w:line="240" w:lineRule="auto"/>
        <w:jc w:val="both"/>
        <w:rPr>
          <w:rFonts w:ascii="Times New Roman" w:hAnsi="Times New Roman" w:cs="Times New Roman"/>
        </w:rPr>
      </w:pPr>
      <w:r w:rsidRPr="0031762F">
        <w:rPr>
          <w:rFonts w:ascii="Times New Roman" w:hAnsi="Times New Roman" w:cs="Times New Roman"/>
        </w:rPr>
        <w:t>Mr. Larsen suggested setting a time, whether it be in a week, week and a half, or two weeks—whichever is most convenient for the board—to allow for comments. This would provide an opportunity to potentially avoid the full 45-day waiting period for comments that may never come, helping to gain clarity more quickly.</w:t>
      </w:r>
    </w:p>
    <w:p w14:paraId="4322C9BC" w14:textId="28A1F8C8" w:rsidR="0031762F" w:rsidRDefault="0031762F" w:rsidP="00263763">
      <w:pPr>
        <w:spacing w:after="0" w:line="240" w:lineRule="auto"/>
        <w:jc w:val="both"/>
        <w:rPr>
          <w:rFonts w:ascii="Times New Roman" w:hAnsi="Times New Roman" w:cs="Times New Roman"/>
        </w:rPr>
      </w:pPr>
    </w:p>
    <w:p w14:paraId="68D1CF12" w14:textId="1F4E933A" w:rsidR="0031762F" w:rsidRDefault="0031762F" w:rsidP="00263763">
      <w:pPr>
        <w:spacing w:after="0" w:line="240" w:lineRule="auto"/>
        <w:jc w:val="both"/>
        <w:rPr>
          <w:rFonts w:ascii="Times New Roman" w:hAnsi="Times New Roman" w:cs="Times New Roman"/>
        </w:rPr>
      </w:pPr>
      <w:r w:rsidRPr="0031762F">
        <w:rPr>
          <w:rFonts w:ascii="Times New Roman" w:hAnsi="Times New Roman" w:cs="Times New Roman"/>
        </w:rPr>
        <w:t>Treasurer Oaks proposed setting St. Patrick's Day</w:t>
      </w:r>
      <w:r>
        <w:rPr>
          <w:rFonts w:ascii="Times New Roman" w:hAnsi="Times New Roman" w:cs="Times New Roman"/>
        </w:rPr>
        <w:t xml:space="preserve"> as the deadline for comments from the SFRC.</w:t>
      </w:r>
    </w:p>
    <w:p w14:paraId="1FA6DB3D" w14:textId="77777777" w:rsidR="00737F50" w:rsidRDefault="00737F50" w:rsidP="00263763">
      <w:pPr>
        <w:spacing w:after="0" w:line="240" w:lineRule="auto"/>
        <w:jc w:val="both"/>
        <w:rPr>
          <w:rFonts w:ascii="Times New Roman" w:hAnsi="Times New Roman" w:cs="Times New Roman"/>
        </w:rPr>
      </w:pPr>
    </w:p>
    <w:p w14:paraId="48C7DB9D" w14:textId="32FF7B3D" w:rsidR="007C6AB8" w:rsidRPr="001C21DF" w:rsidRDefault="007C6AB8" w:rsidP="007C6AB8">
      <w:pPr>
        <w:pStyle w:val="ListParagraph"/>
        <w:numPr>
          <w:ilvl w:val="0"/>
          <w:numId w:val="1"/>
        </w:numPr>
        <w:spacing w:after="0" w:line="240" w:lineRule="auto"/>
        <w:jc w:val="both"/>
        <w:rPr>
          <w:rFonts w:ascii="Times New Roman" w:hAnsi="Times New Roman" w:cs="Times New Roman"/>
          <w:u w:val="single"/>
        </w:rPr>
      </w:pPr>
      <w:bookmarkStart w:id="0" w:name="_Hlk178632564"/>
      <w:r w:rsidRPr="001C21DF">
        <w:rPr>
          <w:rFonts w:ascii="Times New Roman" w:hAnsi="Times New Roman" w:cs="Times New Roman"/>
          <w:u w:val="single"/>
        </w:rPr>
        <w:t>Other Items of Business:</w:t>
      </w:r>
    </w:p>
    <w:bookmarkEnd w:id="0"/>
    <w:p w14:paraId="0E27B1DF" w14:textId="77777777" w:rsidR="00973A5D" w:rsidRPr="001C21DF" w:rsidRDefault="00973A5D" w:rsidP="00973A5D">
      <w:pPr>
        <w:pStyle w:val="ListParagraph"/>
        <w:spacing w:after="0" w:line="240" w:lineRule="auto"/>
        <w:ind w:left="360"/>
        <w:jc w:val="both"/>
        <w:rPr>
          <w:rFonts w:ascii="Times New Roman" w:hAnsi="Times New Roman" w:cs="Times New Roman"/>
          <w:u w:val="single"/>
        </w:rPr>
      </w:pPr>
    </w:p>
    <w:p w14:paraId="7F42C6DA" w14:textId="66EB5E02" w:rsidR="000E60C1" w:rsidRDefault="000E60C1" w:rsidP="0031762F">
      <w:pPr>
        <w:spacing w:after="0" w:line="240" w:lineRule="auto"/>
        <w:rPr>
          <w:rFonts w:ascii="Times New Roman" w:hAnsi="Times New Roman" w:cs="Times New Roman"/>
        </w:rPr>
      </w:pPr>
      <w:r w:rsidRPr="000E60C1">
        <w:rPr>
          <w:rFonts w:ascii="Times New Roman" w:hAnsi="Times New Roman" w:cs="Times New Roman"/>
        </w:rPr>
        <w:t>There were no other items of business to discuss</w:t>
      </w:r>
      <w:r w:rsidR="0031762F">
        <w:rPr>
          <w:rFonts w:ascii="Times New Roman" w:hAnsi="Times New Roman" w:cs="Times New Roman"/>
        </w:rPr>
        <w:t>.</w:t>
      </w:r>
    </w:p>
    <w:p w14:paraId="5EFCC78D" w14:textId="77777777" w:rsidR="00B417CB" w:rsidRPr="001C21DF" w:rsidRDefault="00B417CB" w:rsidP="005C23F9">
      <w:pPr>
        <w:spacing w:after="0" w:line="240" w:lineRule="auto"/>
        <w:rPr>
          <w:rFonts w:ascii="Times New Roman" w:hAnsi="Times New Roman" w:cs="Times New Roman"/>
        </w:rPr>
      </w:pPr>
    </w:p>
    <w:p w14:paraId="3E97241C" w14:textId="00908BA0" w:rsidR="000E3F8C" w:rsidRDefault="000E3F8C" w:rsidP="000E3F8C">
      <w:pPr>
        <w:spacing w:after="0" w:line="240" w:lineRule="auto"/>
        <w:jc w:val="both"/>
        <w:rPr>
          <w:rFonts w:ascii="Times New Roman" w:hAnsi="Times New Roman" w:cs="Times New Roman"/>
        </w:rPr>
      </w:pPr>
      <w:r w:rsidRPr="001C21DF">
        <w:rPr>
          <w:rFonts w:ascii="Times New Roman" w:hAnsi="Times New Roman" w:cs="Times New Roman"/>
        </w:rPr>
        <w:t xml:space="preserve">Mr. </w:t>
      </w:r>
      <w:r w:rsidR="00B417CB">
        <w:rPr>
          <w:rFonts w:ascii="Times New Roman" w:hAnsi="Times New Roman" w:cs="Times New Roman"/>
        </w:rPr>
        <w:t>Wade</w:t>
      </w:r>
      <w:r w:rsidRPr="001C21DF">
        <w:rPr>
          <w:rFonts w:ascii="Times New Roman" w:hAnsi="Times New Roman" w:cs="Times New Roman"/>
        </w:rPr>
        <w:t xml:space="preserve"> made a motion to adjourn the meeting. </w:t>
      </w:r>
      <w:r w:rsidR="005646EB" w:rsidRPr="001C21DF">
        <w:rPr>
          <w:rFonts w:ascii="Times New Roman" w:hAnsi="Times New Roman" w:cs="Times New Roman"/>
        </w:rPr>
        <w:t xml:space="preserve">Mr. </w:t>
      </w:r>
      <w:r w:rsidR="00B417CB">
        <w:rPr>
          <w:rFonts w:ascii="Times New Roman" w:hAnsi="Times New Roman" w:cs="Times New Roman"/>
        </w:rPr>
        <w:t>Butterfield</w:t>
      </w:r>
      <w:r w:rsidRPr="001C21DF">
        <w:rPr>
          <w:rFonts w:ascii="Times New Roman" w:hAnsi="Times New Roman" w:cs="Times New Roman"/>
        </w:rPr>
        <w:t xml:space="preserve"> seconded the motion. The motion pa</w:t>
      </w:r>
      <w:r>
        <w:rPr>
          <w:rFonts w:ascii="Times New Roman" w:hAnsi="Times New Roman" w:cs="Times New Roman"/>
        </w:rPr>
        <w:t>ssed unanimously.</w:t>
      </w:r>
    </w:p>
    <w:p w14:paraId="0F11FB95" w14:textId="77777777" w:rsidR="000E3F8C" w:rsidRDefault="000E3F8C" w:rsidP="006D5A6A">
      <w:pPr>
        <w:spacing w:after="0" w:line="240" w:lineRule="auto"/>
        <w:jc w:val="both"/>
        <w:rPr>
          <w:rFonts w:ascii="Times New Roman" w:hAnsi="Times New Roman" w:cs="Times New Roman"/>
          <w:b/>
        </w:rPr>
      </w:pPr>
    </w:p>
    <w:p w14:paraId="56CD506A" w14:textId="47512555"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5E4F5452"/>
    <w:multiLevelType w:val="hybridMultilevel"/>
    <w:tmpl w:val="7FC63DF8"/>
    <w:lvl w:ilvl="0" w:tplc="5BBCAE6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586D33"/>
    <w:multiLevelType w:val="hybridMultilevel"/>
    <w:tmpl w:val="946ECE88"/>
    <w:lvl w:ilvl="0" w:tplc="FBEC20EE">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03CFA"/>
    <w:rsid w:val="000100A3"/>
    <w:rsid w:val="00023A17"/>
    <w:rsid w:val="00034EB1"/>
    <w:rsid w:val="00035925"/>
    <w:rsid w:val="00037346"/>
    <w:rsid w:val="000420D6"/>
    <w:rsid w:val="00050919"/>
    <w:rsid w:val="00051BAC"/>
    <w:rsid w:val="00054C7E"/>
    <w:rsid w:val="00054DD2"/>
    <w:rsid w:val="0005599D"/>
    <w:rsid w:val="00063411"/>
    <w:rsid w:val="00071114"/>
    <w:rsid w:val="000728F4"/>
    <w:rsid w:val="00074077"/>
    <w:rsid w:val="00074EC5"/>
    <w:rsid w:val="00083507"/>
    <w:rsid w:val="00085634"/>
    <w:rsid w:val="00092D89"/>
    <w:rsid w:val="000A11C3"/>
    <w:rsid w:val="000B731B"/>
    <w:rsid w:val="000B7A11"/>
    <w:rsid w:val="000B7DCD"/>
    <w:rsid w:val="000C2E3E"/>
    <w:rsid w:val="000C5E32"/>
    <w:rsid w:val="000D171C"/>
    <w:rsid w:val="000D18A3"/>
    <w:rsid w:val="000E00D1"/>
    <w:rsid w:val="000E0B8A"/>
    <w:rsid w:val="000E21CC"/>
    <w:rsid w:val="000E3F8C"/>
    <w:rsid w:val="000E60C1"/>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21DF"/>
    <w:rsid w:val="001C33B2"/>
    <w:rsid w:val="001C7252"/>
    <w:rsid w:val="001C7613"/>
    <w:rsid w:val="001D458C"/>
    <w:rsid w:val="001D6678"/>
    <w:rsid w:val="001D6E33"/>
    <w:rsid w:val="001E12B2"/>
    <w:rsid w:val="001E1F91"/>
    <w:rsid w:val="001E26B6"/>
    <w:rsid w:val="001F2AE4"/>
    <w:rsid w:val="001F6685"/>
    <w:rsid w:val="00223BA6"/>
    <w:rsid w:val="00232554"/>
    <w:rsid w:val="00233537"/>
    <w:rsid w:val="00233BB6"/>
    <w:rsid w:val="002406E8"/>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0923"/>
    <w:rsid w:val="002D5CF1"/>
    <w:rsid w:val="002E7A5E"/>
    <w:rsid w:val="002F33BE"/>
    <w:rsid w:val="002F7348"/>
    <w:rsid w:val="003004FC"/>
    <w:rsid w:val="00303BA2"/>
    <w:rsid w:val="00316448"/>
    <w:rsid w:val="0031762F"/>
    <w:rsid w:val="00322855"/>
    <w:rsid w:val="00330EBF"/>
    <w:rsid w:val="00333616"/>
    <w:rsid w:val="00337090"/>
    <w:rsid w:val="00337D18"/>
    <w:rsid w:val="00341DF7"/>
    <w:rsid w:val="00341E90"/>
    <w:rsid w:val="00342331"/>
    <w:rsid w:val="00351476"/>
    <w:rsid w:val="003536CF"/>
    <w:rsid w:val="00354BD6"/>
    <w:rsid w:val="003648BF"/>
    <w:rsid w:val="00364D51"/>
    <w:rsid w:val="00366DEB"/>
    <w:rsid w:val="0037618F"/>
    <w:rsid w:val="00376A14"/>
    <w:rsid w:val="00377065"/>
    <w:rsid w:val="00391043"/>
    <w:rsid w:val="003A1FC8"/>
    <w:rsid w:val="003C1E48"/>
    <w:rsid w:val="003E6C02"/>
    <w:rsid w:val="003F1563"/>
    <w:rsid w:val="004023EF"/>
    <w:rsid w:val="00404769"/>
    <w:rsid w:val="00411986"/>
    <w:rsid w:val="00425155"/>
    <w:rsid w:val="00427700"/>
    <w:rsid w:val="00433388"/>
    <w:rsid w:val="004404F8"/>
    <w:rsid w:val="004511C9"/>
    <w:rsid w:val="004727BA"/>
    <w:rsid w:val="00480094"/>
    <w:rsid w:val="0048567C"/>
    <w:rsid w:val="0049341A"/>
    <w:rsid w:val="004A2D94"/>
    <w:rsid w:val="004A4518"/>
    <w:rsid w:val="004A7119"/>
    <w:rsid w:val="004A7171"/>
    <w:rsid w:val="004B4FAC"/>
    <w:rsid w:val="004C29FB"/>
    <w:rsid w:val="004C4CCF"/>
    <w:rsid w:val="004D2257"/>
    <w:rsid w:val="004D751B"/>
    <w:rsid w:val="004E201A"/>
    <w:rsid w:val="004E2695"/>
    <w:rsid w:val="004E358C"/>
    <w:rsid w:val="004E5E55"/>
    <w:rsid w:val="004E608D"/>
    <w:rsid w:val="004F5A9E"/>
    <w:rsid w:val="004F7EEB"/>
    <w:rsid w:val="005008B9"/>
    <w:rsid w:val="00527436"/>
    <w:rsid w:val="005275FF"/>
    <w:rsid w:val="00543357"/>
    <w:rsid w:val="0054361B"/>
    <w:rsid w:val="005446A7"/>
    <w:rsid w:val="00544CBC"/>
    <w:rsid w:val="00553B0C"/>
    <w:rsid w:val="005578A0"/>
    <w:rsid w:val="005602C7"/>
    <w:rsid w:val="005603B2"/>
    <w:rsid w:val="00561968"/>
    <w:rsid w:val="00562118"/>
    <w:rsid w:val="00562929"/>
    <w:rsid w:val="005646EB"/>
    <w:rsid w:val="00574776"/>
    <w:rsid w:val="0057783E"/>
    <w:rsid w:val="0058396D"/>
    <w:rsid w:val="0058514B"/>
    <w:rsid w:val="0058659A"/>
    <w:rsid w:val="00586B3E"/>
    <w:rsid w:val="00586FBE"/>
    <w:rsid w:val="0059027E"/>
    <w:rsid w:val="005913FE"/>
    <w:rsid w:val="0059244D"/>
    <w:rsid w:val="00594785"/>
    <w:rsid w:val="005A5621"/>
    <w:rsid w:val="005C23F9"/>
    <w:rsid w:val="005C2DAD"/>
    <w:rsid w:val="005C4500"/>
    <w:rsid w:val="005C4D81"/>
    <w:rsid w:val="005C6F04"/>
    <w:rsid w:val="005D444C"/>
    <w:rsid w:val="005D709F"/>
    <w:rsid w:val="005D71E4"/>
    <w:rsid w:val="005D7311"/>
    <w:rsid w:val="005E2B7E"/>
    <w:rsid w:val="005F2D02"/>
    <w:rsid w:val="005F51CF"/>
    <w:rsid w:val="005F54B1"/>
    <w:rsid w:val="005F734C"/>
    <w:rsid w:val="00600F11"/>
    <w:rsid w:val="00605B42"/>
    <w:rsid w:val="00617B6D"/>
    <w:rsid w:val="00645C03"/>
    <w:rsid w:val="006518EA"/>
    <w:rsid w:val="00651FCE"/>
    <w:rsid w:val="006528CE"/>
    <w:rsid w:val="00660C0C"/>
    <w:rsid w:val="00662EAC"/>
    <w:rsid w:val="00664FC7"/>
    <w:rsid w:val="00667A80"/>
    <w:rsid w:val="00670D99"/>
    <w:rsid w:val="006823A5"/>
    <w:rsid w:val="00682D4B"/>
    <w:rsid w:val="00687EA8"/>
    <w:rsid w:val="006902EA"/>
    <w:rsid w:val="006A025F"/>
    <w:rsid w:val="006A2D51"/>
    <w:rsid w:val="006A6234"/>
    <w:rsid w:val="006B5479"/>
    <w:rsid w:val="006C16D1"/>
    <w:rsid w:val="006C4C62"/>
    <w:rsid w:val="006C686A"/>
    <w:rsid w:val="006D5A6A"/>
    <w:rsid w:val="006E0D54"/>
    <w:rsid w:val="006E55BF"/>
    <w:rsid w:val="006E6873"/>
    <w:rsid w:val="006E7B9C"/>
    <w:rsid w:val="006F15E0"/>
    <w:rsid w:val="006F366F"/>
    <w:rsid w:val="006F52C8"/>
    <w:rsid w:val="006F5DBE"/>
    <w:rsid w:val="006F67F9"/>
    <w:rsid w:val="006F7A05"/>
    <w:rsid w:val="007027C2"/>
    <w:rsid w:val="00703781"/>
    <w:rsid w:val="007164DF"/>
    <w:rsid w:val="00716C30"/>
    <w:rsid w:val="00717DE3"/>
    <w:rsid w:val="007208FD"/>
    <w:rsid w:val="007319BC"/>
    <w:rsid w:val="00733145"/>
    <w:rsid w:val="00737F50"/>
    <w:rsid w:val="007434E5"/>
    <w:rsid w:val="00752A0D"/>
    <w:rsid w:val="00752FED"/>
    <w:rsid w:val="00753765"/>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806FD3"/>
    <w:rsid w:val="00814A4B"/>
    <w:rsid w:val="0081625B"/>
    <w:rsid w:val="00816B0F"/>
    <w:rsid w:val="0081785C"/>
    <w:rsid w:val="00820535"/>
    <w:rsid w:val="0082067E"/>
    <w:rsid w:val="00826223"/>
    <w:rsid w:val="008376BA"/>
    <w:rsid w:val="0085177D"/>
    <w:rsid w:val="00851DA2"/>
    <w:rsid w:val="00853C6D"/>
    <w:rsid w:val="00865EEB"/>
    <w:rsid w:val="0087139B"/>
    <w:rsid w:val="00875978"/>
    <w:rsid w:val="008928B8"/>
    <w:rsid w:val="008A4DC5"/>
    <w:rsid w:val="008B1C3B"/>
    <w:rsid w:val="008B3017"/>
    <w:rsid w:val="008B5866"/>
    <w:rsid w:val="008B5DDA"/>
    <w:rsid w:val="008D211F"/>
    <w:rsid w:val="008D5E68"/>
    <w:rsid w:val="008D759C"/>
    <w:rsid w:val="008E30B6"/>
    <w:rsid w:val="008E39BF"/>
    <w:rsid w:val="008E75A7"/>
    <w:rsid w:val="008F6898"/>
    <w:rsid w:val="009013A8"/>
    <w:rsid w:val="00901AB4"/>
    <w:rsid w:val="0090224A"/>
    <w:rsid w:val="009255D1"/>
    <w:rsid w:val="00927E7C"/>
    <w:rsid w:val="00937B32"/>
    <w:rsid w:val="00950BC6"/>
    <w:rsid w:val="00951672"/>
    <w:rsid w:val="0095324A"/>
    <w:rsid w:val="00965E97"/>
    <w:rsid w:val="00973A5D"/>
    <w:rsid w:val="009775D6"/>
    <w:rsid w:val="00977CDF"/>
    <w:rsid w:val="00984AD2"/>
    <w:rsid w:val="00994483"/>
    <w:rsid w:val="00995D3D"/>
    <w:rsid w:val="009A39D5"/>
    <w:rsid w:val="009A5542"/>
    <w:rsid w:val="009B7513"/>
    <w:rsid w:val="009D272A"/>
    <w:rsid w:val="00A12D92"/>
    <w:rsid w:val="00A16B1D"/>
    <w:rsid w:val="00A319EE"/>
    <w:rsid w:val="00A31F5D"/>
    <w:rsid w:val="00A40F3C"/>
    <w:rsid w:val="00A46E38"/>
    <w:rsid w:val="00A5400C"/>
    <w:rsid w:val="00A603B8"/>
    <w:rsid w:val="00A8266D"/>
    <w:rsid w:val="00A87EC0"/>
    <w:rsid w:val="00A90BA3"/>
    <w:rsid w:val="00A95E13"/>
    <w:rsid w:val="00AA0353"/>
    <w:rsid w:val="00AA0EC5"/>
    <w:rsid w:val="00AA4C6D"/>
    <w:rsid w:val="00AB0CAC"/>
    <w:rsid w:val="00AB3B52"/>
    <w:rsid w:val="00AB42A1"/>
    <w:rsid w:val="00AB665A"/>
    <w:rsid w:val="00AB73FE"/>
    <w:rsid w:val="00AC0DD9"/>
    <w:rsid w:val="00AC1ED2"/>
    <w:rsid w:val="00AE6ACE"/>
    <w:rsid w:val="00AE7919"/>
    <w:rsid w:val="00AF094A"/>
    <w:rsid w:val="00AF6F79"/>
    <w:rsid w:val="00AF7383"/>
    <w:rsid w:val="00B03429"/>
    <w:rsid w:val="00B056E5"/>
    <w:rsid w:val="00B0732F"/>
    <w:rsid w:val="00B07C62"/>
    <w:rsid w:val="00B20516"/>
    <w:rsid w:val="00B278FA"/>
    <w:rsid w:val="00B36170"/>
    <w:rsid w:val="00B417CB"/>
    <w:rsid w:val="00B50D90"/>
    <w:rsid w:val="00B52C82"/>
    <w:rsid w:val="00B7033E"/>
    <w:rsid w:val="00B73D6A"/>
    <w:rsid w:val="00B826E5"/>
    <w:rsid w:val="00B86AF2"/>
    <w:rsid w:val="00BA1EA0"/>
    <w:rsid w:val="00BB0ECC"/>
    <w:rsid w:val="00BB5CAE"/>
    <w:rsid w:val="00BC154F"/>
    <w:rsid w:val="00BC1E2A"/>
    <w:rsid w:val="00BC47AA"/>
    <w:rsid w:val="00BC7910"/>
    <w:rsid w:val="00BC7DD2"/>
    <w:rsid w:val="00BC7DFA"/>
    <w:rsid w:val="00BD7514"/>
    <w:rsid w:val="00BE3664"/>
    <w:rsid w:val="00BE4538"/>
    <w:rsid w:val="00BE5484"/>
    <w:rsid w:val="00BE673A"/>
    <w:rsid w:val="00BE7039"/>
    <w:rsid w:val="00BF43FA"/>
    <w:rsid w:val="00BF6974"/>
    <w:rsid w:val="00C01CFB"/>
    <w:rsid w:val="00C01D64"/>
    <w:rsid w:val="00C02269"/>
    <w:rsid w:val="00C07B01"/>
    <w:rsid w:val="00C11374"/>
    <w:rsid w:val="00C15993"/>
    <w:rsid w:val="00C21D60"/>
    <w:rsid w:val="00C25097"/>
    <w:rsid w:val="00C32037"/>
    <w:rsid w:val="00C420E0"/>
    <w:rsid w:val="00C43EB2"/>
    <w:rsid w:val="00C50EE3"/>
    <w:rsid w:val="00C566B4"/>
    <w:rsid w:val="00C61ED0"/>
    <w:rsid w:val="00C65BBD"/>
    <w:rsid w:val="00C70536"/>
    <w:rsid w:val="00C73DED"/>
    <w:rsid w:val="00C7602F"/>
    <w:rsid w:val="00C7733B"/>
    <w:rsid w:val="00C95406"/>
    <w:rsid w:val="00CA0FEA"/>
    <w:rsid w:val="00CB12B7"/>
    <w:rsid w:val="00CB1840"/>
    <w:rsid w:val="00CB1CE2"/>
    <w:rsid w:val="00CB2F82"/>
    <w:rsid w:val="00CB42E0"/>
    <w:rsid w:val="00CC4A5F"/>
    <w:rsid w:val="00CD0721"/>
    <w:rsid w:val="00CD24BB"/>
    <w:rsid w:val="00CF2334"/>
    <w:rsid w:val="00D04544"/>
    <w:rsid w:val="00D06CF1"/>
    <w:rsid w:val="00D10817"/>
    <w:rsid w:val="00D330DE"/>
    <w:rsid w:val="00D37E1D"/>
    <w:rsid w:val="00D4293D"/>
    <w:rsid w:val="00D46FB1"/>
    <w:rsid w:val="00D55832"/>
    <w:rsid w:val="00D56C85"/>
    <w:rsid w:val="00D57DA3"/>
    <w:rsid w:val="00D62520"/>
    <w:rsid w:val="00D700A5"/>
    <w:rsid w:val="00D71556"/>
    <w:rsid w:val="00D76F7A"/>
    <w:rsid w:val="00D87870"/>
    <w:rsid w:val="00D91629"/>
    <w:rsid w:val="00D97FCE"/>
    <w:rsid w:val="00DA4861"/>
    <w:rsid w:val="00DA7A56"/>
    <w:rsid w:val="00DB3501"/>
    <w:rsid w:val="00DB6615"/>
    <w:rsid w:val="00DC15A7"/>
    <w:rsid w:val="00DC24A6"/>
    <w:rsid w:val="00DC7763"/>
    <w:rsid w:val="00DD657B"/>
    <w:rsid w:val="00DE0B19"/>
    <w:rsid w:val="00DE3D46"/>
    <w:rsid w:val="00DE4110"/>
    <w:rsid w:val="00DE6976"/>
    <w:rsid w:val="00E0032E"/>
    <w:rsid w:val="00E02ECD"/>
    <w:rsid w:val="00E07E01"/>
    <w:rsid w:val="00E12E5F"/>
    <w:rsid w:val="00E20014"/>
    <w:rsid w:val="00E20DEB"/>
    <w:rsid w:val="00E23D09"/>
    <w:rsid w:val="00E349CE"/>
    <w:rsid w:val="00E3589A"/>
    <w:rsid w:val="00E35DE5"/>
    <w:rsid w:val="00E37BAA"/>
    <w:rsid w:val="00E4129D"/>
    <w:rsid w:val="00E41F89"/>
    <w:rsid w:val="00E42329"/>
    <w:rsid w:val="00E512C4"/>
    <w:rsid w:val="00E5181D"/>
    <w:rsid w:val="00E56ED1"/>
    <w:rsid w:val="00E7169E"/>
    <w:rsid w:val="00E82A0B"/>
    <w:rsid w:val="00E868C3"/>
    <w:rsid w:val="00EA5A05"/>
    <w:rsid w:val="00EA6415"/>
    <w:rsid w:val="00EB1C7C"/>
    <w:rsid w:val="00EB5039"/>
    <w:rsid w:val="00EB6F41"/>
    <w:rsid w:val="00EB7945"/>
    <w:rsid w:val="00EC06B8"/>
    <w:rsid w:val="00EC79AE"/>
    <w:rsid w:val="00ED5BB7"/>
    <w:rsid w:val="00ED67AC"/>
    <w:rsid w:val="00EE0FCD"/>
    <w:rsid w:val="00EE323A"/>
    <w:rsid w:val="00EE3CD1"/>
    <w:rsid w:val="00EE5998"/>
    <w:rsid w:val="00EF1AE7"/>
    <w:rsid w:val="00EF3242"/>
    <w:rsid w:val="00EF6E64"/>
    <w:rsid w:val="00EF7039"/>
    <w:rsid w:val="00EF7B2E"/>
    <w:rsid w:val="00F019E0"/>
    <w:rsid w:val="00F0263B"/>
    <w:rsid w:val="00F13AF8"/>
    <w:rsid w:val="00F34CDF"/>
    <w:rsid w:val="00F408EE"/>
    <w:rsid w:val="00F443BB"/>
    <w:rsid w:val="00F46DC7"/>
    <w:rsid w:val="00F602A6"/>
    <w:rsid w:val="00F60D54"/>
    <w:rsid w:val="00F61681"/>
    <w:rsid w:val="00F6249B"/>
    <w:rsid w:val="00F627EA"/>
    <w:rsid w:val="00F65B47"/>
    <w:rsid w:val="00F6675F"/>
    <w:rsid w:val="00F73552"/>
    <w:rsid w:val="00F81E51"/>
    <w:rsid w:val="00F87A1D"/>
    <w:rsid w:val="00FA4E4C"/>
    <w:rsid w:val="00FB1B3E"/>
    <w:rsid w:val="00FB2C29"/>
    <w:rsid w:val="00FB3009"/>
    <w:rsid w:val="00FB3194"/>
    <w:rsid w:val="00FB3473"/>
    <w:rsid w:val="00FB7928"/>
    <w:rsid w:val="00FC1C3F"/>
    <w:rsid w:val="00FC2CDA"/>
    <w:rsid w:val="00FC6141"/>
    <w:rsid w:val="00FD6D9F"/>
    <w:rsid w:val="00FE2DCB"/>
    <w:rsid w:val="00FE4972"/>
    <w:rsid w:val="00FF1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 w:type="paragraph" w:styleId="NormalWeb">
    <w:name w:val="Normal (Web)"/>
    <w:basedOn w:val="Normal"/>
    <w:uiPriority w:val="99"/>
    <w:semiHidden/>
    <w:unhideWhenUsed/>
    <w:rsid w:val="00CC4A5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1137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3393</Words>
  <Characters>19346</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22694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2</cp:revision>
  <dcterms:created xsi:type="dcterms:W3CDTF">2025-03-28T19:22:00Z</dcterms:created>
  <dcterms:modified xsi:type="dcterms:W3CDTF">2025-03-28T19:22:00Z</dcterms:modified>
</cp:coreProperties>
</file>