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PROHIBITION OF CORPORAL PUNISHMENT POLICY</w:t>
      </w:r>
    </w:p>
    <w:p w:rsidR="00000000" w:rsidDel="00000000" w:rsidP="00000000" w:rsidRDefault="00000000" w:rsidRPr="00000000" w14:paraId="00000002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Purpose: The purpose of this policy is to comply with the requirements of Utah Administrative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Code R277-608 Prohibition of Corporal Punishment in Utah's Public Schools.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Definition: Corporal punishment means the intentional infliction of physical pain as a disciplinary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measure upon the body of a minor child under the age of 18 or under the age of 23 who is receiving educational services as an individual with a disability.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Policy: A school employee may not inflict or cause the infliction of corporal punishment upon a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child who is receiving services from the school.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A school employee is NOT prohibited to use reasonable and necessary physical restraint or force in self defense or otherwise appropriate to the circumstances to:  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obtain possession of a weapon or other dangerous object in the possession or under the control of a child;  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protect the child or another person from physical injury;  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remove from a situation a child who is violent or disruptive; or  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protect property from being damaged.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Any rule, ordinance, policy, practice, or directive which purports to direct or permit the commission of corporal punishment is void and unenforceable. A school employee may not be subjected to any sanction for failure or refusal to commit corporal punishment. 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 xml:space="preserve">If a violation of the prohibition of corporal punishment is confirmed, school administrators shall take prompt and appropriate action, including in-service training and other administrative action, to ensure against a repetition of the violation. Any individual who makes a report or cooperates in an investigation concerning a violation is immune from any civil or criminal liability that might otherwise result by reason of those actions. 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Behavior reduction intervention which is in compliance with Section 76-2-401 and with state and local rules adopted under Utah Code Section 53A-15-301 is excepted from this prohibition policy.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