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B2F1" w14:textId="77777777" w:rsidR="00E836E7" w:rsidRPr="00D81F5A" w:rsidRDefault="00E836E7"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w:t>
      </w:r>
      <w:proofErr w:type="gramStart"/>
      <w:r w:rsidRPr="00D81F5A">
        <w:rPr>
          <w:b/>
          <w:i/>
          <w:iCs/>
          <w:color w:val="808080" w:themeColor="background1" w:themeShade="80"/>
          <w:sz w:val="20"/>
        </w:rPr>
        <w:t>timestamp</w:t>
      </w:r>
      <w:proofErr w:type="gramEnd"/>
      <w:r w:rsidRPr="00D81F5A">
        <w:rPr>
          <w:b/>
          <w:i/>
          <w:iCs/>
          <w:color w:val="808080" w:themeColor="background1" w:themeShade="80"/>
          <w:sz w:val="20"/>
        </w:rPr>
        <w:t xml:space="preserve">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948"/>
      </w:tblGrid>
      <w:tr w:rsidR="00E836E7" w:rsidRPr="00D81F5A" w14:paraId="5F51D57E" w14:textId="77777777" w:rsidTr="004F7FC9">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9E1B134" w14:textId="77777777" w:rsidR="00E836E7" w:rsidRPr="00D81F5A" w:rsidRDefault="00E836E7" w:rsidP="004F7FC9">
            <w:pPr>
              <w:jc w:val="both"/>
            </w:pPr>
            <w:r w:rsidRPr="00D81F5A">
              <w:br w:type="page"/>
            </w:r>
            <w:r w:rsidRPr="00D81F5A">
              <w:br w:type="page"/>
            </w:r>
            <w:r w:rsidRPr="00D81F5A">
              <w:br w:type="page"/>
            </w:r>
            <w:r w:rsidRPr="00D81F5A">
              <w:br w:type="page"/>
            </w:r>
            <w:r w:rsidRPr="00D81F5A">
              <w:rPr>
                <w:noProof/>
              </w:rPr>
              <w:drawing>
                <wp:inline distT="0" distB="0" distL="0" distR="0" wp14:anchorId="18D33F0D" wp14:editId="7B26A6B8">
                  <wp:extent cx="1371666" cy="1379979"/>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32730" name="Picture 1550032730" descr="A logo of a mountain with sun and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257CFB7" w14:textId="77777777" w:rsidR="00E836E7" w:rsidRPr="00D81F5A" w:rsidRDefault="00E836E7" w:rsidP="004F7FC9">
            <w:pPr>
              <w:rPr>
                <w:b/>
                <w:bCs/>
                <w:sz w:val="36"/>
                <w:szCs w:val="36"/>
              </w:rPr>
            </w:pPr>
            <w:r w:rsidRPr="00D81F5A">
              <w:rPr>
                <w:b/>
                <w:bCs/>
                <w:sz w:val="36"/>
                <w:szCs w:val="36"/>
              </w:rPr>
              <w:t>PROVO MUNICIPAL COUNCIL</w:t>
            </w:r>
          </w:p>
          <w:p w14:paraId="6DC85F51" w14:textId="77777777" w:rsidR="00E836E7" w:rsidRPr="00D81F5A" w:rsidRDefault="00E836E7" w:rsidP="004F7FC9">
            <w:pPr>
              <w:rPr>
                <w:b/>
                <w:bCs/>
                <w:sz w:val="28"/>
                <w:szCs w:val="28"/>
              </w:rPr>
            </w:pPr>
            <w:r w:rsidRPr="00D81F5A">
              <w:rPr>
                <w:b/>
                <w:bCs/>
                <w:sz w:val="28"/>
                <w:szCs w:val="28"/>
              </w:rPr>
              <w:t>Work Meeting Minutes</w:t>
            </w:r>
          </w:p>
          <w:p w14:paraId="3AFD9D56" w14:textId="52CC1F7A" w:rsidR="00E836E7" w:rsidRPr="00D81F5A" w:rsidRDefault="00156E00" w:rsidP="004F7FC9">
            <w:r>
              <w:t>2:30 PM; August 6, 2024</w:t>
            </w:r>
          </w:p>
          <w:p w14:paraId="2E89D046" w14:textId="77777777" w:rsidR="00E836E7" w:rsidRPr="00D81F5A" w:rsidRDefault="00E836E7" w:rsidP="004F7FC9">
            <w:r w:rsidRPr="00D81F5A">
              <w:t>Provo Peak Room</w:t>
            </w:r>
          </w:p>
          <w:p w14:paraId="7807D3B6" w14:textId="77777777" w:rsidR="00E836E7" w:rsidRPr="00D81F5A" w:rsidRDefault="00E836E7" w:rsidP="004F7FC9">
            <w:r w:rsidRPr="00D81F5A">
              <w:t xml:space="preserve">Hybrid meeting: 445 W. Center Street, Provo, UT 84601 or </w:t>
            </w:r>
            <w:hyperlink r:id="rId11" w:history="1">
              <w:r w:rsidRPr="00D81F5A">
                <w:rPr>
                  <w:rStyle w:val="Hyperlink"/>
                </w:rPr>
                <w:t>https://www.youtube.com/provocitycouncil</w:t>
              </w:r>
            </w:hyperlink>
            <w:r w:rsidRPr="00D81F5A">
              <w:t xml:space="preserve"> </w:t>
            </w:r>
          </w:p>
        </w:tc>
      </w:tr>
    </w:tbl>
    <w:bookmarkEnd w:id="0"/>
    <w:p w14:paraId="61781DA9" w14:textId="77777777" w:rsidR="00E836E7" w:rsidRPr="00D81F5A" w:rsidRDefault="00E836E7" w:rsidP="00E836E7">
      <w:pPr>
        <w:jc w:val="both"/>
        <w:rPr>
          <w:b/>
          <w:bCs/>
          <w:sz w:val="28"/>
          <w:szCs w:val="28"/>
        </w:rPr>
      </w:pPr>
      <w:r w:rsidRPr="00D81F5A">
        <w:rPr>
          <w:b/>
          <w:bCs/>
          <w:sz w:val="28"/>
          <w:szCs w:val="28"/>
        </w:rPr>
        <w:t xml:space="preserve">Agenda </w:t>
      </w:r>
    </w:p>
    <w:p w14:paraId="5816C2E5" w14:textId="77777777" w:rsidR="00E836E7" w:rsidRPr="00D81F5A" w:rsidRDefault="00E836E7" w:rsidP="00E836E7">
      <w:pPr>
        <w:jc w:val="both"/>
      </w:pPr>
    </w:p>
    <w:p w14:paraId="7C3FB79C" w14:textId="77777777" w:rsidR="00E836E7" w:rsidRPr="00D81F5A" w:rsidRDefault="00E836E7" w:rsidP="00E836E7">
      <w:pPr>
        <w:jc w:val="both"/>
      </w:pPr>
      <w:r w:rsidRPr="00D81F5A">
        <w:rPr>
          <w:b/>
          <w:bCs/>
          <w:sz w:val="28"/>
          <w:szCs w:val="28"/>
        </w:rPr>
        <w:t xml:space="preserve">Roll Call </w:t>
      </w:r>
    </w:p>
    <w:p w14:paraId="3373D582" w14:textId="77777777" w:rsidR="00E836E7" w:rsidRPr="00D81F5A" w:rsidRDefault="00E836E7" w:rsidP="00E836E7">
      <w:pPr>
        <w:ind w:firstLine="720"/>
        <w:jc w:val="both"/>
      </w:pPr>
      <w:r w:rsidRPr="00D81F5A">
        <w:t>Council Chair Katrice MacKay, conducting</w:t>
      </w:r>
    </w:p>
    <w:p w14:paraId="7DD29D30" w14:textId="77777777" w:rsidR="00E836E7" w:rsidRPr="00D81F5A" w:rsidRDefault="00E836E7" w:rsidP="00E836E7">
      <w:pPr>
        <w:ind w:firstLine="720"/>
        <w:jc w:val="both"/>
      </w:pPr>
      <w:r w:rsidRPr="00D81F5A">
        <w:t>Council Vice-Chair Rachel Whipple</w:t>
      </w:r>
    </w:p>
    <w:p w14:paraId="13E526C9" w14:textId="77777777" w:rsidR="00E836E7" w:rsidRPr="00D81F5A" w:rsidRDefault="00E836E7" w:rsidP="00E836E7">
      <w:pPr>
        <w:jc w:val="both"/>
      </w:pPr>
      <w:r w:rsidRPr="00D81F5A">
        <w:tab/>
        <w:t>Councilor Becky Bogdin</w:t>
      </w:r>
    </w:p>
    <w:p w14:paraId="590DB9AC" w14:textId="77777777" w:rsidR="00E836E7" w:rsidRPr="00D81F5A" w:rsidRDefault="00E836E7" w:rsidP="00E836E7">
      <w:pPr>
        <w:jc w:val="both"/>
      </w:pPr>
      <w:r w:rsidRPr="00D81F5A">
        <w:tab/>
        <w:t>Councilor Craig Christensen</w:t>
      </w:r>
    </w:p>
    <w:p w14:paraId="7E98CE5A" w14:textId="77777777" w:rsidR="00E836E7" w:rsidRPr="00D81F5A" w:rsidRDefault="00E836E7" w:rsidP="00E836E7">
      <w:pPr>
        <w:jc w:val="both"/>
      </w:pPr>
      <w:r w:rsidRPr="00D81F5A">
        <w:tab/>
        <w:t>Councilor Gary Garrett</w:t>
      </w:r>
    </w:p>
    <w:p w14:paraId="47314EDA" w14:textId="77777777" w:rsidR="00E836E7" w:rsidRPr="00D81F5A" w:rsidRDefault="00E836E7" w:rsidP="00E836E7">
      <w:pPr>
        <w:jc w:val="both"/>
      </w:pPr>
      <w:r w:rsidRPr="00D81F5A">
        <w:tab/>
        <w:t>Councilor George Handley</w:t>
      </w:r>
    </w:p>
    <w:p w14:paraId="49AADA49" w14:textId="77777777" w:rsidR="00E836E7" w:rsidRPr="00D81F5A" w:rsidRDefault="00E836E7" w:rsidP="00E836E7">
      <w:pPr>
        <w:jc w:val="both"/>
      </w:pPr>
      <w:r w:rsidRPr="00D81F5A">
        <w:tab/>
        <w:t>Councilor Travis Hoban</w:t>
      </w:r>
      <w:r>
        <w:t xml:space="preserve"> </w:t>
      </w:r>
    </w:p>
    <w:p w14:paraId="3A84FB3C" w14:textId="77777777" w:rsidR="00E836E7" w:rsidRPr="00D81F5A" w:rsidRDefault="00E836E7" w:rsidP="00E836E7">
      <w:pPr>
        <w:jc w:val="both"/>
      </w:pPr>
      <w:r w:rsidRPr="00D81F5A">
        <w:tab/>
        <w:t>Mayor Michelle Kaufusi</w:t>
      </w:r>
    </w:p>
    <w:p w14:paraId="1AA70909" w14:textId="77777777" w:rsidR="00E836E7" w:rsidRPr="00D81F5A" w:rsidRDefault="00E836E7" w:rsidP="00E836E7">
      <w:pPr>
        <w:jc w:val="both"/>
      </w:pPr>
    </w:p>
    <w:p w14:paraId="151268C0" w14:textId="77777777" w:rsidR="00E836E7" w:rsidRPr="00D81F5A" w:rsidRDefault="00E836E7" w:rsidP="00E836E7">
      <w:pPr>
        <w:jc w:val="both"/>
      </w:pPr>
    </w:p>
    <w:p w14:paraId="5E82BB45" w14:textId="7BE068C1" w:rsidR="00E836E7" w:rsidRPr="00156E00" w:rsidRDefault="00E836E7" w:rsidP="00E836E7">
      <w:pPr>
        <w:jc w:val="both"/>
        <w:rPr>
          <w:b/>
          <w:bCs/>
          <w:sz w:val="28"/>
          <w:szCs w:val="28"/>
        </w:rPr>
      </w:pPr>
      <w:r w:rsidRPr="00D81F5A">
        <w:rPr>
          <w:b/>
          <w:bCs/>
          <w:sz w:val="28"/>
          <w:szCs w:val="28"/>
        </w:rPr>
        <w:t>Business</w:t>
      </w:r>
    </w:p>
    <w:p w14:paraId="5939A297" w14:textId="78295750" w:rsidR="00FF2041" w:rsidRDefault="00FF2041" w:rsidP="00FF2041">
      <w:pPr>
        <w:pStyle w:val="NormalWeb"/>
      </w:pPr>
      <w:r>
        <w:rPr>
          <w:rStyle w:val="Strong"/>
          <w:rFonts w:eastAsiaTheme="majorEastAsia"/>
        </w:rPr>
        <w:t xml:space="preserve">Item 1: </w:t>
      </w:r>
      <w:r w:rsidRPr="00FF2041">
        <w:rPr>
          <w:rStyle w:val="Strong"/>
          <w:rFonts w:eastAsiaTheme="majorEastAsia"/>
        </w:rPr>
        <w:t>Update on Provo River Bridge and Trail at 820 North (24-067)</w:t>
      </w:r>
      <w:r w:rsidR="00156E00">
        <w:rPr>
          <w:rStyle w:val="Strong"/>
          <w:rFonts w:eastAsiaTheme="majorEastAsia"/>
        </w:rPr>
        <w:t xml:space="preserve"> </w:t>
      </w:r>
      <w:hyperlink r:id="rId12" w:history="1">
        <w:r w:rsidR="00156E00" w:rsidRPr="00156E00">
          <w:rPr>
            <w:rStyle w:val="Hyperlink"/>
            <w:rFonts w:eastAsiaTheme="majorEastAsia"/>
            <w:b/>
            <w:bCs/>
          </w:rPr>
          <w:t>0:05:30</w:t>
        </w:r>
      </w:hyperlink>
    </w:p>
    <w:p w14:paraId="131F627C" w14:textId="77777777" w:rsidR="00FF2041" w:rsidRDefault="00FF2041" w:rsidP="00FF2041">
      <w:pPr>
        <w:pStyle w:val="NormalWeb"/>
      </w:pPr>
      <w:r>
        <w:t>Gordon Haight, Director of Public Works, presented an update on the Provo River Bridge and Trail project at 820 North. He noted that the project had been included in the city’s general plan since 1977. The current bridge, dating back to the early 1960s, has reached the end of its lifecycle. Provo City secured $13.6 million in funding for the project, with the city providing a 7% match, bringing the total project cost to approximately $13.7 million.</w:t>
      </w:r>
    </w:p>
    <w:p w14:paraId="3611EA8A" w14:textId="77777777" w:rsidR="00FF2041" w:rsidRDefault="00FF2041" w:rsidP="00FF2041">
      <w:pPr>
        <w:pStyle w:val="NormalWeb"/>
      </w:pPr>
      <w:r>
        <w:t>Vern Keeslar, Traffic Manager, detailed the public outreach process, which involved multiple meetings with local neighborhoods. A public meeting on June 6th was attended by over 60 residents, whose input led to design adjustments. Key changes included closing the road earlier than initially planned and incorporating traffic calming measures into the design.</w:t>
      </w:r>
    </w:p>
    <w:p w14:paraId="685F9283" w14:textId="77777777" w:rsidR="00FF2041" w:rsidRDefault="00FF2041" w:rsidP="00FF2041">
      <w:pPr>
        <w:pStyle w:val="NormalWeb"/>
      </w:pPr>
      <w:r>
        <w:t xml:space="preserve">David Nicholson, </w:t>
      </w:r>
      <w:proofErr w:type="gramStart"/>
      <w:r>
        <w:t>Engineer</w:t>
      </w:r>
      <w:proofErr w:type="gramEnd"/>
      <w:r>
        <w:t>, presented the proposed cross-sections for the bridge. Based on public feedback, the design had been modified to propose an 83-foot-wide bridge, accommodating current and anticipated future needs. The interim design narrows the road to 45 feet, with provisions for future expansion to include bike lanes and wider pedestrian walkways.</w:t>
      </w:r>
    </w:p>
    <w:p w14:paraId="35849863" w14:textId="77777777" w:rsidR="00FF2041" w:rsidRDefault="00FF2041" w:rsidP="00FF2041">
      <w:pPr>
        <w:pStyle w:val="NormalWeb"/>
      </w:pPr>
      <w:r>
        <w:t xml:space="preserve">Councilor Handley inquired about the triggers for the full build-out of the bridge. Nicholson explained that this would depend on public funding availability and traffic thresholds, estimating a timeline of 18-20 years before expansion might be necessary. Councilor Hoban requested more </w:t>
      </w:r>
      <w:r>
        <w:lastRenderedPageBreak/>
        <w:t>specific data on traffic numbers or other metrics that would prompt the full build-out. Councilor Whipple asked about the bridge’s projected lifespan, which Nicholson confirmed to be 75 years. Councilor Garrett sought clarification on the extent of bike lanes and pedestrian walkways beyond the bridge. Nicholson noted that these would transition into existing facilities, with specific distances determined by grade and existing infrastructure.</w:t>
      </w:r>
    </w:p>
    <w:p w14:paraId="3AD6DDEA" w14:textId="77777777" w:rsidR="00FF2041" w:rsidRDefault="00FF2041" w:rsidP="00FF2041">
      <w:pPr>
        <w:pStyle w:val="NormalWeb"/>
      </w:pPr>
      <w:r>
        <w:t>The council discussed potential future developments in the area, including the possibility of grade separation for nearby railroad crossings and the impacts of the project on adjacent schools.</w:t>
      </w:r>
    </w:p>
    <w:p w14:paraId="22C2AD13" w14:textId="42604300" w:rsidR="00FF2041" w:rsidRDefault="00FF2041" w:rsidP="00FF2041">
      <w:pPr>
        <w:pStyle w:val="NormalWeb"/>
      </w:pPr>
      <w:r>
        <w:rPr>
          <w:rStyle w:val="Strong"/>
          <w:rFonts w:eastAsiaTheme="majorEastAsia"/>
        </w:rPr>
        <w:t>Item 2: An ordinance amending Provo City Code Chapter 14.15 (Residential Manufactured Home Park Zone); Citywide application (PLOTA20240155)</w:t>
      </w:r>
      <w:r w:rsidR="00156E00">
        <w:rPr>
          <w:rStyle w:val="Strong"/>
          <w:rFonts w:eastAsiaTheme="majorEastAsia"/>
        </w:rPr>
        <w:t xml:space="preserve"> </w:t>
      </w:r>
      <w:hyperlink r:id="rId13" w:history="1">
        <w:r w:rsidR="00156E00" w:rsidRPr="00156E00">
          <w:rPr>
            <w:rStyle w:val="Hyperlink"/>
            <w:rFonts w:eastAsiaTheme="majorEastAsia"/>
            <w:b/>
            <w:bCs/>
          </w:rPr>
          <w:t>0:22:22</w:t>
        </w:r>
      </w:hyperlink>
    </w:p>
    <w:p w14:paraId="21768407" w14:textId="77777777" w:rsidR="00FF2041" w:rsidRDefault="00FF2041" w:rsidP="00FF2041">
      <w:pPr>
        <w:pStyle w:val="NormalWeb"/>
      </w:pPr>
      <w:r>
        <w:t xml:space="preserve">Aaron Ardmore, Planner, presented an ordinance to amend Provo City Code Chapter 14.15, which governs the Residential Manufactured Home Park Zone. The proposed amendment sought to remove garages as </w:t>
      </w:r>
      <w:proofErr w:type="gramStart"/>
      <w:r>
        <w:t>a permitted</w:t>
      </w:r>
      <w:proofErr w:type="gramEnd"/>
      <w:r>
        <w:t xml:space="preserve"> accessory use in these zones, clarifying that garages were never intended as permanent structures.</w:t>
      </w:r>
    </w:p>
    <w:p w14:paraId="5AB3B704" w14:textId="77777777" w:rsidR="00FF2041" w:rsidRDefault="00FF2041" w:rsidP="00FF2041">
      <w:pPr>
        <w:pStyle w:val="NormalWeb"/>
      </w:pPr>
      <w:r>
        <w:t>Councilor Whipple asked about the legality of existing garages and the enforcement process. Mr. Ardmore explained that some garages had been constructed without proper permits and noted that enforcement actions to address these issues were ongoing.</w:t>
      </w:r>
    </w:p>
    <w:p w14:paraId="3B80F051" w14:textId="77777777" w:rsidR="00FF2041" w:rsidRDefault="00FF2041" w:rsidP="00FF2041">
      <w:pPr>
        <w:pStyle w:val="NormalWeb"/>
      </w:pPr>
      <w:r>
        <w:t>Councilor Bogdin inquired about the rationale for increasing the allowable fence height from six feet to seven feet. Mr. Ardmore clarified that this change was intended to align with updates made to similar provisions in other areas of the city code, ensuring consistency.</w:t>
      </w:r>
    </w:p>
    <w:p w14:paraId="5C90216D" w14:textId="77777777" w:rsidR="00FF2041" w:rsidRDefault="00FF2041" w:rsidP="00FF2041">
      <w:pPr>
        <w:pStyle w:val="NormalWeb"/>
      </w:pPr>
      <w:r>
        <w:t>The council deliberated on the potential impacts of the amendment on residents and compliance measures moving forward.</w:t>
      </w:r>
    </w:p>
    <w:p w14:paraId="2CE9004F" w14:textId="31B63694" w:rsidR="00FF2041" w:rsidRDefault="00FF2041" w:rsidP="00FF2041">
      <w:pPr>
        <w:pStyle w:val="NormalWeb"/>
      </w:pPr>
      <w:r>
        <w:rPr>
          <w:rStyle w:val="Strong"/>
          <w:rFonts w:eastAsiaTheme="majorEastAsia"/>
        </w:rPr>
        <w:t>Item 3: A discussion regarding an ordinance to amend Provo City Code for parking requirements in the Mixed-Use Zones; citywide application (PLOTA20240173)</w:t>
      </w:r>
      <w:r w:rsidR="00156E00">
        <w:rPr>
          <w:rStyle w:val="Strong"/>
          <w:rFonts w:eastAsiaTheme="majorEastAsia"/>
        </w:rPr>
        <w:t xml:space="preserve"> </w:t>
      </w:r>
      <w:hyperlink r:id="rId14" w:history="1">
        <w:r w:rsidR="00156E00" w:rsidRPr="00156E00">
          <w:rPr>
            <w:rStyle w:val="Hyperlink"/>
            <w:rFonts w:eastAsiaTheme="majorEastAsia"/>
            <w:b/>
            <w:bCs/>
          </w:rPr>
          <w:t>0:26:30</w:t>
        </w:r>
      </w:hyperlink>
    </w:p>
    <w:p w14:paraId="01BD9F29" w14:textId="77777777" w:rsidR="00FF2041" w:rsidRDefault="00FF2041" w:rsidP="00FF2041">
      <w:pPr>
        <w:pStyle w:val="NormalWeb"/>
      </w:pPr>
      <w:r>
        <w:t xml:space="preserve">Aaron Ardmore, Planner, presented an ordinance to amend Provo City Code Section 14.21.140, addressing parking requirements in mixed-use zones. The proposed amendment sought to standardize parking requirements by eliminating the automatic </w:t>
      </w:r>
      <w:proofErr w:type="gramStart"/>
      <w:r>
        <w:t>reduction</w:t>
      </w:r>
      <w:proofErr w:type="gramEnd"/>
      <w:r>
        <w:t xml:space="preserve"> that had previously been allowed, thereby aligning these requirements with those of other zones.</w:t>
      </w:r>
    </w:p>
    <w:p w14:paraId="628F8DCE" w14:textId="77777777" w:rsidR="00FF2041" w:rsidRDefault="00FF2041" w:rsidP="00FF2041">
      <w:pPr>
        <w:pStyle w:val="NormalWeb"/>
      </w:pPr>
      <w:r>
        <w:t>Chair MacKay expressed support for the proposed changes, noting that this issue had been a long-standing concern for the council.</w:t>
      </w:r>
    </w:p>
    <w:p w14:paraId="2C33B4C2" w14:textId="6B1FA15B" w:rsidR="00FF2041" w:rsidRDefault="00FF2041" w:rsidP="00FF2041">
      <w:pPr>
        <w:pStyle w:val="NormalWeb"/>
      </w:pPr>
      <w:r>
        <w:t>The council considered the implications of the amendment on future developments and its potential impact on residents and businesses within mixed-use zones.</w:t>
      </w:r>
    </w:p>
    <w:p w14:paraId="7BB706F2" w14:textId="77777777" w:rsidR="00156E00" w:rsidRDefault="00156E00" w:rsidP="00FF2041">
      <w:pPr>
        <w:pStyle w:val="NormalWeb"/>
      </w:pPr>
    </w:p>
    <w:p w14:paraId="094D4DEC" w14:textId="77777777" w:rsidR="00156E00" w:rsidRDefault="00156E00" w:rsidP="00FF2041">
      <w:pPr>
        <w:pStyle w:val="NormalWeb"/>
      </w:pPr>
    </w:p>
    <w:p w14:paraId="4F70761B" w14:textId="3C768BAF" w:rsidR="00FF2041" w:rsidRDefault="00FF2041" w:rsidP="00FF2041">
      <w:pPr>
        <w:pStyle w:val="NormalWeb"/>
      </w:pPr>
      <w:r>
        <w:rPr>
          <w:rStyle w:val="Strong"/>
          <w:rFonts w:eastAsiaTheme="majorEastAsia"/>
        </w:rPr>
        <w:t>Item 4: A discussion regarding an ordinance to amend On-premises Short Hold Time Electronic Display Sign standards; citywide application (PLOTA20240164)</w:t>
      </w:r>
      <w:r w:rsidR="00156E00">
        <w:rPr>
          <w:rStyle w:val="Strong"/>
          <w:rFonts w:eastAsiaTheme="majorEastAsia"/>
        </w:rPr>
        <w:t xml:space="preserve"> </w:t>
      </w:r>
      <w:hyperlink r:id="rId15" w:history="1">
        <w:r w:rsidR="00156E00" w:rsidRPr="00156E00">
          <w:rPr>
            <w:rStyle w:val="Hyperlink"/>
            <w:rFonts w:eastAsiaTheme="majorEastAsia"/>
            <w:b/>
            <w:bCs/>
          </w:rPr>
          <w:t>0:28:29</w:t>
        </w:r>
      </w:hyperlink>
    </w:p>
    <w:p w14:paraId="286FDC27" w14:textId="77777777" w:rsidR="00FF2041" w:rsidRDefault="00FF2041" w:rsidP="00FF2041">
      <w:pPr>
        <w:pStyle w:val="NormalWeb"/>
      </w:pPr>
      <w:r>
        <w:t xml:space="preserve">Aaron Ardmore, Planner, presented a discussion regarding an ordinance amendment to modify standards for </w:t>
      </w:r>
      <w:proofErr w:type="gramStart"/>
      <w:r>
        <w:t>on-premise</w:t>
      </w:r>
      <w:proofErr w:type="gramEnd"/>
      <w:r>
        <w:t xml:space="preserve"> short hold time electronic display signs. The amendment had been requested by Lisa Hancock on behalf of a medical building on North Canyon Road to permit multiple tenants to advertise their businesses on a shared sign.</w:t>
      </w:r>
    </w:p>
    <w:p w14:paraId="665D7EAF" w14:textId="77777777" w:rsidR="00FF2041" w:rsidRDefault="00FF2041" w:rsidP="00FF2041">
      <w:pPr>
        <w:pStyle w:val="NormalWeb"/>
      </w:pPr>
      <w:r>
        <w:t>Mr. Ardmore explained that due to zoning restrictions, only approximately five properties within the corridor would qualify to utilize the proposed code changes. He noted that the Planning Commission had reviewed the proposal and recommended its approval.</w:t>
      </w:r>
    </w:p>
    <w:p w14:paraId="2BD1FA75" w14:textId="77777777" w:rsidR="00FF2041" w:rsidRDefault="00FF2041" w:rsidP="00FF2041">
      <w:pPr>
        <w:pStyle w:val="NormalWeb"/>
      </w:pPr>
      <w:r>
        <w:t>Chair MacKay highlighted that the applicant had agreed to position the sign on the south side of the building, ensuring minimal impact on nearby residential areas.</w:t>
      </w:r>
    </w:p>
    <w:p w14:paraId="31823026" w14:textId="77777777" w:rsidR="00FF2041" w:rsidRDefault="00FF2041" w:rsidP="00FF2041">
      <w:pPr>
        <w:pStyle w:val="NormalWeb"/>
      </w:pPr>
      <w:r>
        <w:t>Councilor Bogdin inquired whether a development agreement could be implemented to secure compliance with the placement of the sign. Mr. Ardmore clarified that a development agreement was not applicable for a text amendment but assured the council that compliance would be enforced through the sign permit process.</w:t>
      </w:r>
    </w:p>
    <w:p w14:paraId="6A7DECE1" w14:textId="77777777" w:rsidR="00FF2041" w:rsidRDefault="00FF2041" w:rsidP="00FF2041">
      <w:pPr>
        <w:pStyle w:val="NormalWeb"/>
      </w:pPr>
      <w:r>
        <w:t>The council discussed the potential impacts of the amendment and the measures in place to mitigate concerns related to sign placement and community standards.</w:t>
      </w:r>
    </w:p>
    <w:p w14:paraId="14139F54" w14:textId="5FAD3195" w:rsidR="00A879AF" w:rsidRDefault="00A879AF" w:rsidP="00A879AF">
      <w:pPr>
        <w:pStyle w:val="NormalWeb"/>
      </w:pPr>
      <w:r>
        <w:rPr>
          <w:rStyle w:val="Strong"/>
          <w:rFonts w:eastAsiaTheme="majorEastAsia"/>
        </w:rPr>
        <w:t>Item 5: A discussion regarding an ordinance to amend the Zone Map classification of real property located at 210 S 500 W, from Residential Conservation (RC) Zone to General Commercial (CG) Zone – Franklin Neighborhood (PLRZ20240163)</w:t>
      </w:r>
      <w:r w:rsidR="00156E00">
        <w:rPr>
          <w:rStyle w:val="Strong"/>
          <w:rFonts w:eastAsiaTheme="majorEastAsia"/>
        </w:rPr>
        <w:t xml:space="preserve"> </w:t>
      </w:r>
      <w:hyperlink r:id="rId16" w:history="1">
        <w:r w:rsidR="00156E00" w:rsidRPr="00156E00">
          <w:rPr>
            <w:rStyle w:val="Hyperlink"/>
            <w:rFonts w:eastAsiaTheme="majorEastAsia"/>
            <w:b/>
            <w:bCs/>
          </w:rPr>
          <w:t>0:42:08</w:t>
        </w:r>
      </w:hyperlink>
    </w:p>
    <w:p w14:paraId="4FD41D2D" w14:textId="77777777" w:rsidR="00A879AF" w:rsidRDefault="00A879AF" w:rsidP="00A879AF">
      <w:pPr>
        <w:pStyle w:val="NormalWeb"/>
      </w:pPr>
      <w:r>
        <w:t>Mary Barnes, Planner, presented a discussion on an ordinance to amend the zone map classification for the property at 210 South 500 West, changing its designation from Residential Conservation (RC) to General Commercial (CG). The applicant requested this rezone to facilitate the creation of a legal short-term rental.</w:t>
      </w:r>
    </w:p>
    <w:p w14:paraId="17702204" w14:textId="77777777" w:rsidR="00A879AF" w:rsidRDefault="00A879AF" w:rsidP="00A879AF">
      <w:pPr>
        <w:pStyle w:val="NormalWeb"/>
      </w:pPr>
      <w:r>
        <w:t>Ms. Barnes explained that while the property abuts existing commercial uses to the south, the surrounding properties are predominantly residential. She noted that both the general plan and the Franklin Neighborhood Plan designate this corner as single-family residential.</w:t>
      </w:r>
    </w:p>
    <w:p w14:paraId="43D59EB0" w14:textId="77777777" w:rsidR="00A879AF" w:rsidRDefault="00A879AF" w:rsidP="00A879AF">
      <w:pPr>
        <w:pStyle w:val="NormalWeb"/>
      </w:pPr>
      <w:r>
        <w:t>The Planning Commission reviewed the request and recommended its denial, citing concerns about incompatibility with the residential character of the street and potential reductions in housing supply.</w:t>
      </w:r>
    </w:p>
    <w:p w14:paraId="7535985B" w14:textId="77777777" w:rsidR="00A879AF" w:rsidRDefault="00A879AF" w:rsidP="00A879AF">
      <w:pPr>
        <w:pStyle w:val="NormalWeb"/>
      </w:pPr>
      <w:r>
        <w:t>Councilor Handley expressed concerns regarding the RC zone’s restrictive nature, particularly in limiting creative housing solutions. Councilor Whipple suggested that requiring owner-occupancy for short-term rentals could be a viable approach but acknowledged that such measures were not part of the current proposal.</w:t>
      </w:r>
    </w:p>
    <w:p w14:paraId="2422D3C5" w14:textId="77777777" w:rsidR="00A879AF" w:rsidRDefault="00A879AF" w:rsidP="00A879AF">
      <w:pPr>
        <w:pStyle w:val="NormalWeb"/>
      </w:pPr>
      <w:r>
        <w:t>The council deliberated on the implications of the rezone, weighing the need for additional flexibility against the importance of preserving residential zoning and housing availability.</w:t>
      </w:r>
    </w:p>
    <w:p w14:paraId="33A4EA07" w14:textId="1C1FD14B" w:rsidR="00A879AF" w:rsidRDefault="00A879AF" w:rsidP="00A879AF">
      <w:pPr>
        <w:pStyle w:val="NormalWeb"/>
      </w:pPr>
      <w:r>
        <w:rPr>
          <w:rStyle w:val="Strong"/>
          <w:rFonts w:eastAsiaTheme="majorEastAsia"/>
        </w:rPr>
        <w:t>Item 6: A discussion regarding an ordinance to prohibit parking in front of mailboxes in certain areas in proximity to Timpview High School (24-060)</w:t>
      </w:r>
      <w:r w:rsidR="00156E00">
        <w:rPr>
          <w:rStyle w:val="Strong"/>
          <w:rFonts w:eastAsiaTheme="majorEastAsia"/>
        </w:rPr>
        <w:t xml:space="preserve"> </w:t>
      </w:r>
      <w:hyperlink r:id="rId17" w:history="1">
        <w:r w:rsidR="00156E00" w:rsidRPr="00156E00">
          <w:rPr>
            <w:rStyle w:val="Hyperlink"/>
            <w:rFonts w:eastAsiaTheme="majorEastAsia"/>
            <w:b/>
            <w:bCs/>
          </w:rPr>
          <w:t>0:56:35</w:t>
        </w:r>
      </w:hyperlink>
    </w:p>
    <w:p w14:paraId="58B2EEE6" w14:textId="20ABEE3B" w:rsidR="00A879AF" w:rsidRDefault="00A879AF" w:rsidP="00A879AF">
      <w:pPr>
        <w:pStyle w:val="NormalWeb"/>
      </w:pPr>
      <w:r>
        <w:t>David Pyle, Intern, presented a discussion on an ordinance to prohibit parking in front of mailboxes in specified areas near Timpview High School. The proposed boundaries were detailed, covering streets identified as frequent sources of complaints.</w:t>
      </w:r>
    </w:p>
    <w:p w14:paraId="6383DE05" w14:textId="77777777" w:rsidR="00A879AF" w:rsidRDefault="00A879AF" w:rsidP="00A879AF">
      <w:pPr>
        <w:pStyle w:val="NormalWeb"/>
      </w:pPr>
      <w:r>
        <w:t>Mr. Pyle outlined the proposed restriction, which would prohibit parking within 10 feet on either side of mailboxes between 6 AM and 6 PM, Monday through Saturday.</w:t>
      </w:r>
    </w:p>
    <w:p w14:paraId="54E9584E" w14:textId="77777777" w:rsidR="00A879AF" w:rsidRDefault="00A879AF" w:rsidP="00A879AF">
      <w:pPr>
        <w:pStyle w:val="NormalWeb"/>
      </w:pPr>
      <w:r>
        <w:t xml:space="preserve">Councilor Bogdin asked about the volume of complaints prompting this proposal. Sandra </w:t>
      </w:r>
      <w:proofErr w:type="spellStart"/>
      <w:r>
        <w:t>Bussio</w:t>
      </w:r>
      <w:proofErr w:type="spellEnd"/>
      <w:r>
        <w:t>, Parking Program Manager, reported receiving 2-3 inquiries daily regarding mailbox-related enforcement in the Timpview area.</w:t>
      </w:r>
    </w:p>
    <w:p w14:paraId="16ED9728" w14:textId="77777777" w:rsidR="00A879AF" w:rsidRDefault="00A879AF" w:rsidP="00A879AF">
      <w:pPr>
        <w:pStyle w:val="NormalWeb"/>
      </w:pPr>
      <w:r>
        <w:t>Councilor Christensen, a resident near the affected area, expressed support for the ordinance but questioned the necessity of enforcing the restriction on Saturdays.</w:t>
      </w:r>
    </w:p>
    <w:p w14:paraId="33CCA5CF" w14:textId="77777777" w:rsidR="00A879AF" w:rsidRDefault="00A879AF" w:rsidP="00A879AF">
      <w:pPr>
        <w:pStyle w:val="NormalWeb"/>
      </w:pPr>
      <w:r>
        <w:t>The council discussed the ordinance’s potential effects on parking availability during school events and emphasized the importance of educating students and residents about the new regulations.</w:t>
      </w:r>
    </w:p>
    <w:p w14:paraId="457E4E51" w14:textId="14E0075A" w:rsidR="0021125F" w:rsidRDefault="0021125F" w:rsidP="0021125F">
      <w:pPr>
        <w:pStyle w:val="NormalWeb"/>
      </w:pPr>
      <w:r>
        <w:rPr>
          <w:rStyle w:val="Strong"/>
          <w:rFonts w:eastAsiaTheme="majorEastAsia"/>
        </w:rPr>
        <w:t>Item 7: A discussion regarding the Provo City Council Housing Summit (24-071)</w:t>
      </w:r>
      <w:r w:rsidR="00156E00">
        <w:rPr>
          <w:rStyle w:val="Strong"/>
          <w:rFonts w:eastAsiaTheme="majorEastAsia"/>
        </w:rPr>
        <w:t xml:space="preserve"> </w:t>
      </w:r>
      <w:hyperlink r:id="rId18" w:history="1">
        <w:r w:rsidR="00156E00" w:rsidRPr="00156E00">
          <w:rPr>
            <w:rStyle w:val="Hyperlink"/>
            <w:rFonts w:eastAsiaTheme="majorEastAsia"/>
            <w:b/>
            <w:bCs/>
          </w:rPr>
          <w:t>1:08:23</w:t>
        </w:r>
      </w:hyperlink>
    </w:p>
    <w:p w14:paraId="198F43AF" w14:textId="3F13C684" w:rsidR="0021125F" w:rsidRDefault="0021125F" w:rsidP="0021125F">
      <w:pPr>
        <w:pStyle w:val="NormalWeb"/>
      </w:pPr>
      <w:r>
        <w:t>Melia Dayley, Policy Analyst, Michael Sanders, Policy Analyst, and David Pyle, Intern, presented information about the upcoming Provo City Council Housing Summit, scheduled for October 10, 2024. The summit is designed to bring together diverse stakeholders to address the challenges and explore solutions related to homeownership in Provo.</w:t>
      </w:r>
    </w:p>
    <w:p w14:paraId="28244447" w14:textId="77777777" w:rsidR="0021125F" w:rsidRDefault="0021125F" w:rsidP="0021125F">
      <w:pPr>
        <w:pStyle w:val="NormalWeb"/>
      </w:pPr>
      <w:r>
        <w:t>Ms. Dayley provided an overview of the preparation timeline, which includes collaboration with the Utah League of Cities and Towns (ULCT), city staff, and the development of a housing review guide for council members. She also highlighted the Utah Housing Conference in September as an opportunity to gain valuable insights ahead of the summit.</w:t>
      </w:r>
    </w:p>
    <w:p w14:paraId="125C1802" w14:textId="77777777" w:rsidR="0021125F" w:rsidRDefault="0021125F" w:rsidP="0021125F">
      <w:pPr>
        <w:pStyle w:val="NormalWeb"/>
      </w:pPr>
      <w:r>
        <w:t>Mr. Sanders outlined the structure of the summit, emphasizing its focus on the council’s goals, existing city initiatives, challenges, and potential state-level assistance. The agenda will include a presentation on Provo’s housing story, an interactive activity, and facilitated discussions.</w:t>
      </w:r>
    </w:p>
    <w:p w14:paraId="7211D1C0" w14:textId="77777777" w:rsidR="0021125F" w:rsidRDefault="0021125F" w:rsidP="0021125F">
      <w:pPr>
        <w:pStyle w:val="NormalWeb"/>
      </w:pPr>
      <w:r>
        <w:t>Councilor Whipple proposed incorporating a quiz or contest to encourage council members to deepen their understanding of Provo’s housing challenges and opportunities.</w:t>
      </w:r>
    </w:p>
    <w:p w14:paraId="30A8A877" w14:textId="673E1276" w:rsidR="0021125F" w:rsidRDefault="0021125F" w:rsidP="0021125F">
      <w:pPr>
        <w:pStyle w:val="NormalWeb"/>
      </w:pPr>
      <w:r>
        <w:t xml:space="preserve">The presenters stressed that the summit would be council-led (not staff). The </w:t>
      </w:r>
      <w:proofErr w:type="gramStart"/>
      <w:r>
        <w:t>ultimate goal</w:t>
      </w:r>
      <w:proofErr w:type="gramEnd"/>
      <w:r>
        <w:t xml:space="preserve"> is to position Provo as an informed and proactive partner in addressing housing issues alongside state legislators.</w:t>
      </w:r>
    </w:p>
    <w:p w14:paraId="678D97BF" w14:textId="12612AAB" w:rsidR="0021125F" w:rsidRDefault="0021125F" w:rsidP="0021125F">
      <w:pPr>
        <w:pStyle w:val="NormalWeb"/>
      </w:pPr>
      <w:r>
        <w:rPr>
          <w:rStyle w:val="Strong"/>
          <w:rFonts w:eastAsiaTheme="majorEastAsia"/>
        </w:rPr>
        <w:t>Item 8: A discussion regarding the Provo Youth City Council (24-072)</w:t>
      </w:r>
      <w:r w:rsidR="00156E00">
        <w:rPr>
          <w:rStyle w:val="Strong"/>
          <w:rFonts w:eastAsiaTheme="majorEastAsia"/>
        </w:rPr>
        <w:t xml:space="preserve"> </w:t>
      </w:r>
      <w:hyperlink r:id="rId19" w:history="1">
        <w:r w:rsidR="00156E00" w:rsidRPr="00156E00">
          <w:rPr>
            <w:rStyle w:val="Hyperlink"/>
            <w:rFonts w:eastAsiaTheme="majorEastAsia"/>
            <w:b/>
            <w:bCs/>
          </w:rPr>
          <w:t>1:22:52</w:t>
        </w:r>
      </w:hyperlink>
    </w:p>
    <w:p w14:paraId="3E0371BF" w14:textId="77777777" w:rsidR="0021125F" w:rsidRDefault="0021125F" w:rsidP="0021125F">
      <w:pPr>
        <w:pStyle w:val="NormalWeb"/>
      </w:pPr>
      <w:r>
        <w:t>Justin Harrison, Council Executive Director, presented a discussion about the Provo Youth City Council. He noted that Helen Peterson, who had been managing the program, was retiring, necessitating a decision on the program’s future.</w:t>
      </w:r>
    </w:p>
    <w:p w14:paraId="252F93CA" w14:textId="77777777" w:rsidR="0021125F" w:rsidRDefault="0021125F" w:rsidP="0021125F">
      <w:pPr>
        <w:pStyle w:val="NormalWeb"/>
      </w:pPr>
      <w:r>
        <w:t>Council members raised several concerns and suggestions during the discussion, including:</w:t>
      </w:r>
    </w:p>
    <w:p w14:paraId="2D457956" w14:textId="77777777" w:rsidR="0021125F" w:rsidRDefault="0021125F" w:rsidP="0021125F">
      <w:pPr>
        <w:pStyle w:val="NormalWeb"/>
        <w:numPr>
          <w:ilvl w:val="0"/>
          <w:numId w:val="2"/>
        </w:numPr>
      </w:pPr>
      <w:r>
        <w:t>The importance of fostering more interaction between the city council and youth council members.</w:t>
      </w:r>
    </w:p>
    <w:p w14:paraId="5D4CA09F" w14:textId="77777777" w:rsidR="0021125F" w:rsidRDefault="0021125F" w:rsidP="0021125F">
      <w:pPr>
        <w:pStyle w:val="NormalWeb"/>
        <w:numPr>
          <w:ilvl w:val="0"/>
          <w:numId w:val="2"/>
        </w:numPr>
      </w:pPr>
      <w:r>
        <w:t>Exploring potential partnerships with local schools or universities to support the program.</w:t>
      </w:r>
    </w:p>
    <w:p w14:paraId="5FBADF6F" w14:textId="77777777" w:rsidR="0021125F" w:rsidRDefault="0021125F" w:rsidP="0021125F">
      <w:pPr>
        <w:pStyle w:val="NormalWeb"/>
        <w:numPr>
          <w:ilvl w:val="0"/>
          <w:numId w:val="2"/>
        </w:numPr>
      </w:pPr>
      <w:r>
        <w:t>Evaluating whether the program should remain in the city code.</w:t>
      </w:r>
    </w:p>
    <w:p w14:paraId="52BB8942" w14:textId="7B697C54" w:rsidR="0021125F" w:rsidRDefault="0021125F" w:rsidP="0021125F">
      <w:pPr>
        <w:pStyle w:val="NormalWeb"/>
        <w:numPr>
          <w:ilvl w:val="0"/>
          <w:numId w:val="2"/>
        </w:numPr>
      </w:pPr>
      <w:r>
        <w:t>Considering the designation of a council member as a liaison to the youth council to strengthen connections.</w:t>
      </w:r>
    </w:p>
    <w:p w14:paraId="3714FB81" w14:textId="037C4DA6" w:rsidR="0021125F" w:rsidRDefault="0021125F" w:rsidP="0021125F">
      <w:pPr>
        <w:pStyle w:val="NormalWeb"/>
      </w:pPr>
      <w:r>
        <w:t>The council deliberated on these points, emphasizing the need for input from local youth to shape the program’s direction.</w:t>
      </w:r>
    </w:p>
    <w:p w14:paraId="32F466E3" w14:textId="77777777" w:rsidR="0021125F" w:rsidRDefault="0021125F" w:rsidP="0021125F">
      <w:pPr>
        <w:pStyle w:val="NormalWeb"/>
        <w:rPr>
          <w:b/>
          <w:bCs/>
        </w:rPr>
      </w:pPr>
      <w:r>
        <w:rPr>
          <w:b/>
          <w:bCs/>
        </w:rPr>
        <w:t>Motion</w:t>
      </w:r>
    </w:p>
    <w:p w14:paraId="06DAFBCD" w14:textId="77777777" w:rsidR="0021125F" w:rsidRPr="0021125F" w:rsidRDefault="0021125F" w:rsidP="0021125F">
      <w:pPr>
        <w:pStyle w:val="NormalWeb"/>
      </w:pPr>
      <w:r w:rsidRPr="0021125F">
        <w:t xml:space="preserve">Councilmember Whipple made a motion to remove the Youth City Council program from the city code. </w:t>
      </w:r>
    </w:p>
    <w:p w14:paraId="70C308B0" w14:textId="77777777" w:rsidR="0021125F" w:rsidRDefault="0021125F" w:rsidP="0021125F">
      <w:pPr>
        <w:pStyle w:val="NormalWeb"/>
      </w:pPr>
      <w:r w:rsidRPr="0021125F">
        <w:t xml:space="preserve">Councilor Hoban moved to amend the original motion to transfer the Youth City Council program from the city code to the council handbook. Councilor Bogdin seconded the motion. </w:t>
      </w:r>
    </w:p>
    <w:p w14:paraId="5927ECF5" w14:textId="472F7141" w:rsidR="0021125F" w:rsidRDefault="0021125F" w:rsidP="0021125F">
      <w:pPr>
        <w:pStyle w:val="NormalWeb"/>
      </w:pPr>
      <w:r w:rsidRPr="0021125F">
        <w:t xml:space="preserve">The amended motion passed with a vote of 6-1, Councilor Handley </w:t>
      </w:r>
      <w:r>
        <w:t>opposed</w:t>
      </w:r>
      <w:r w:rsidRPr="0021125F">
        <w:t>.</w:t>
      </w:r>
    </w:p>
    <w:p w14:paraId="256F2AEA" w14:textId="40F7CCA6" w:rsidR="00E836E7" w:rsidRPr="00D81F5A" w:rsidRDefault="0021125F" w:rsidP="00156E00">
      <w:pPr>
        <w:pStyle w:val="NormalWeb"/>
      </w:pPr>
      <w:r>
        <w:t>The discussion underscored a commitment to continuing the program with an updated approach that aligns with current needs and opportunities.</w:t>
      </w:r>
    </w:p>
    <w:p w14:paraId="34CE231B" w14:textId="77777777" w:rsidR="00E836E7" w:rsidRPr="00D81F5A" w:rsidRDefault="00E836E7" w:rsidP="00E836E7">
      <w:pPr>
        <w:jc w:val="both"/>
        <w:rPr>
          <w:b/>
          <w:sz w:val="28"/>
          <w:szCs w:val="28"/>
        </w:rPr>
      </w:pPr>
      <w:bookmarkStart w:id="1" w:name="S8151"/>
      <w:r w:rsidRPr="00D81F5A">
        <w:rPr>
          <w:b/>
          <w:sz w:val="28"/>
          <w:szCs w:val="28"/>
        </w:rPr>
        <w:t>Adjournment</w:t>
      </w:r>
      <w:bookmarkEnd w:id="1"/>
    </w:p>
    <w:p w14:paraId="6325A350" w14:textId="77777777" w:rsidR="00E836E7" w:rsidRPr="00D81F5A" w:rsidRDefault="00E836E7" w:rsidP="00E836E7">
      <w:pPr>
        <w:jc w:val="both"/>
      </w:pPr>
    </w:p>
    <w:p w14:paraId="35F73278" w14:textId="77777777" w:rsidR="00E836E7" w:rsidRPr="00D81F5A" w:rsidRDefault="00E836E7" w:rsidP="00E836E7">
      <w:pPr>
        <w:jc w:val="both"/>
      </w:pPr>
    </w:p>
    <w:p w14:paraId="6757E97A" w14:textId="77777777" w:rsidR="00E836E7" w:rsidRPr="00D81F5A" w:rsidRDefault="00E836E7" w:rsidP="00E836E7">
      <w:pPr>
        <w:jc w:val="both"/>
      </w:pPr>
    </w:p>
    <w:p w14:paraId="32A4DCE4" w14:textId="77777777" w:rsidR="00E836E7" w:rsidRPr="00D81F5A" w:rsidRDefault="00E836E7" w:rsidP="00E836E7">
      <w:pPr>
        <w:jc w:val="both"/>
      </w:pPr>
    </w:p>
    <w:p w14:paraId="79BADC0F" w14:textId="77777777" w:rsidR="00E836E7" w:rsidRPr="00D81F5A" w:rsidRDefault="00E836E7" w:rsidP="00E836E7">
      <w:pPr>
        <w:jc w:val="both"/>
      </w:pPr>
    </w:p>
    <w:p w14:paraId="1099255C" w14:textId="77777777" w:rsidR="00E836E7" w:rsidRPr="00D81F5A" w:rsidRDefault="00E836E7" w:rsidP="00E836E7">
      <w:pPr>
        <w:jc w:val="both"/>
      </w:pPr>
    </w:p>
    <w:p w14:paraId="5E3B0247" w14:textId="77777777" w:rsidR="00CE006A" w:rsidRDefault="00CE006A"/>
    <w:sectPr w:rsidR="00CE006A" w:rsidSect="00E836E7">
      <w:headerReference w:type="even" r:id="rId20"/>
      <w:headerReference w:type="default" r:id="rId21"/>
      <w:footerReference w:type="default" r:id="rId22"/>
      <w:headerReference w:type="first" r:id="rId23"/>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9B15" w14:textId="77777777" w:rsidR="00FF2041" w:rsidRDefault="00FF2041">
      <w:r>
        <w:separator/>
      </w:r>
    </w:p>
  </w:endnote>
  <w:endnote w:type="continuationSeparator" w:id="0">
    <w:p w14:paraId="43BEC1D8" w14:textId="77777777" w:rsidR="00FF2041" w:rsidRDefault="00FF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AEA5" w14:textId="72271D13" w:rsidR="0097638C" w:rsidRPr="007916E6" w:rsidRDefault="0097638C" w:rsidP="00D80BB5">
    <w:pPr>
      <w:pStyle w:val="Footer"/>
      <w:tabs>
        <w:tab w:val="clear" w:pos="8640"/>
        <w:tab w:val="left" w:pos="7860"/>
        <w:tab w:val="right" w:pos="9360"/>
      </w:tabs>
      <w:jc w:val="both"/>
      <w:rPr>
        <w:sz w:val="20"/>
        <w:szCs w:val="20"/>
      </w:rPr>
    </w:pPr>
    <w:r>
      <w:rPr>
        <w:sz w:val="20"/>
        <w:szCs w:val="20"/>
      </w:rPr>
      <w:t xml:space="preserve">Provo City Municipal Council Work Meeting – </w:t>
    </w:r>
    <w:r w:rsidR="00FF2041">
      <w:rPr>
        <w:sz w:val="20"/>
        <w:szCs w:val="20"/>
      </w:rPr>
      <w:t xml:space="preserve">August 6, </w:t>
    </w:r>
    <w:proofErr w:type="gramStart"/>
    <w:r w:rsidR="00FF2041">
      <w:rPr>
        <w:sz w:val="20"/>
        <w:szCs w:val="20"/>
      </w:rPr>
      <w:t>2024</w:t>
    </w:r>
    <w:proofErr w:type="gramEnd"/>
    <w:r>
      <w:rPr>
        <w:sz w:val="20"/>
        <w:szCs w:val="20"/>
      </w:rPr>
      <w:tab/>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E5D7" w14:textId="77777777" w:rsidR="00FF2041" w:rsidRDefault="00FF2041">
      <w:r>
        <w:separator/>
      </w:r>
    </w:p>
  </w:footnote>
  <w:footnote w:type="continuationSeparator" w:id="0">
    <w:p w14:paraId="67694DB7" w14:textId="77777777" w:rsidR="00FF2041" w:rsidRDefault="00FF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F62D" w14:textId="44CE5846" w:rsidR="00D63B52" w:rsidRDefault="00D63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9A12" w14:textId="3B1D5543" w:rsidR="00D63B52" w:rsidRDefault="00D6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A51D" w14:textId="12D9B3AB" w:rsidR="00D63B52" w:rsidRDefault="00D6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D897CE0"/>
    <w:multiLevelType w:val="multilevel"/>
    <w:tmpl w:val="D330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05781">
    <w:abstractNumId w:val="0"/>
  </w:num>
  <w:num w:numId="2" w16cid:durableId="917178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41"/>
    <w:rsid w:val="000B6021"/>
    <w:rsid w:val="00156E00"/>
    <w:rsid w:val="00206FF3"/>
    <w:rsid w:val="0021125F"/>
    <w:rsid w:val="00233C0A"/>
    <w:rsid w:val="00263542"/>
    <w:rsid w:val="004473AB"/>
    <w:rsid w:val="00483148"/>
    <w:rsid w:val="004D7986"/>
    <w:rsid w:val="00726EC7"/>
    <w:rsid w:val="00730B9A"/>
    <w:rsid w:val="00742700"/>
    <w:rsid w:val="00847EEE"/>
    <w:rsid w:val="008E53DD"/>
    <w:rsid w:val="008F47D2"/>
    <w:rsid w:val="0097638C"/>
    <w:rsid w:val="00A70FDA"/>
    <w:rsid w:val="00A73E3F"/>
    <w:rsid w:val="00A879AF"/>
    <w:rsid w:val="00AC2A8E"/>
    <w:rsid w:val="00BF462F"/>
    <w:rsid w:val="00CE006A"/>
    <w:rsid w:val="00D064BE"/>
    <w:rsid w:val="00D63B52"/>
    <w:rsid w:val="00E516BF"/>
    <w:rsid w:val="00E836E7"/>
    <w:rsid w:val="00FF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196CA"/>
  <w15:chartTrackingRefBased/>
  <w15:docId w15:val="{D626A588-33BC-4F89-9EF8-9407913F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paragraph" w:styleId="NormalWeb">
    <w:name w:val="Normal (Web)"/>
    <w:basedOn w:val="Normal"/>
    <w:uiPriority w:val="99"/>
    <w:unhideWhenUsed/>
    <w:rsid w:val="00FF2041"/>
    <w:pPr>
      <w:spacing w:before="100" w:beforeAutospacing="1" w:after="100" w:afterAutospacing="1"/>
    </w:pPr>
  </w:style>
  <w:style w:type="character" w:styleId="Strong">
    <w:name w:val="Strong"/>
    <w:basedOn w:val="DefaultParagraphFont"/>
    <w:uiPriority w:val="22"/>
    <w:qFormat/>
    <w:rsid w:val="00FF2041"/>
    <w:rPr>
      <w:b/>
      <w:bCs/>
    </w:rPr>
  </w:style>
  <w:style w:type="character" w:styleId="UnresolvedMention">
    <w:name w:val="Unresolved Mention"/>
    <w:basedOn w:val="DefaultParagraphFont"/>
    <w:uiPriority w:val="99"/>
    <w:semiHidden/>
    <w:unhideWhenUsed/>
    <w:rsid w:val="00156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429">
      <w:bodyDiv w:val="1"/>
      <w:marLeft w:val="0"/>
      <w:marRight w:val="0"/>
      <w:marTop w:val="0"/>
      <w:marBottom w:val="0"/>
      <w:divBdr>
        <w:top w:val="none" w:sz="0" w:space="0" w:color="auto"/>
        <w:left w:val="none" w:sz="0" w:space="0" w:color="auto"/>
        <w:bottom w:val="none" w:sz="0" w:space="0" w:color="auto"/>
        <w:right w:val="none" w:sz="0" w:space="0" w:color="auto"/>
      </w:divBdr>
    </w:div>
    <w:div w:id="233274315">
      <w:bodyDiv w:val="1"/>
      <w:marLeft w:val="0"/>
      <w:marRight w:val="0"/>
      <w:marTop w:val="0"/>
      <w:marBottom w:val="0"/>
      <w:divBdr>
        <w:top w:val="none" w:sz="0" w:space="0" w:color="auto"/>
        <w:left w:val="none" w:sz="0" w:space="0" w:color="auto"/>
        <w:bottom w:val="none" w:sz="0" w:space="0" w:color="auto"/>
        <w:right w:val="none" w:sz="0" w:space="0" w:color="auto"/>
      </w:divBdr>
    </w:div>
    <w:div w:id="255209119">
      <w:bodyDiv w:val="1"/>
      <w:marLeft w:val="0"/>
      <w:marRight w:val="0"/>
      <w:marTop w:val="0"/>
      <w:marBottom w:val="0"/>
      <w:divBdr>
        <w:top w:val="none" w:sz="0" w:space="0" w:color="auto"/>
        <w:left w:val="none" w:sz="0" w:space="0" w:color="auto"/>
        <w:bottom w:val="none" w:sz="0" w:space="0" w:color="auto"/>
        <w:right w:val="none" w:sz="0" w:space="0" w:color="auto"/>
      </w:divBdr>
    </w:div>
    <w:div w:id="597560467">
      <w:bodyDiv w:val="1"/>
      <w:marLeft w:val="0"/>
      <w:marRight w:val="0"/>
      <w:marTop w:val="0"/>
      <w:marBottom w:val="0"/>
      <w:divBdr>
        <w:top w:val="none" w:sz="0" w:space="0" w:color="auto"/>
        <w:left w:val="none" w:sz="0" w:space="0" w:color="auto"/>
        <w:bottom w:val="none" w:sz="0" w:space="0" w:color="auto"/>
        <w:right w:val="none" w:sz="0" w:space="0" w:color="auto"/>
      </w:divBdr>
    </w:div>
    <w:div w:id="622423608">
      <w:bodyDiv w:val="1"/>
      <w:marLeft w:val="0"/>
      <w:marRight w:val="0"/>
      <w:marTop w:val="0"/>
      <w:marBottom w:val="0"/>
      <w:divBdr>
        <w:top w:val="none" w:sz="0" w:space="0" w:color="auto"/>
        <w:left w:val="none" w:sz="0" w:space="0" w:color="auto"/>
        <w:bottom w:val="none" w:sz="0" w:space="0" w:color="auto"/>
        <w:right w:val="none" w:sz="0" w:space="0" w:color="auto"/>
      </w:divBdr>
    </w:div>
    <w:div w:id="1007438532">
      <w:bodyDiv w:val="1"/>
      <w:marLeft w:val="0"/>
      <w:marRight w:val="0"/>
      <w:marTop w:val="0"/>
      <w:marBottom w:val="0"/>
      <w:divBdr>
        <w:top w:val="none" w:sz="0" w:space="0" w:color="auto"/>
        <w:left w:val="none" w:sz="0" w:space="0" w:color="auto"/>
        <w:bottom w:val="none" w:sz="0" w:space="0" w:color="auto"/>
        <w:right w:val="none" w:sz="0" w:space="0" w:color="auto"/>
      </w:divBdr>
    </w:div>
    <w:div w:id="1146362007">
      <w:bodyDiv w:val="1"/>
      <w:marLeft w:val="0"/>
      <w:marRight w:val="0"/>
      <w:marTop w:val="0"/>
      <w:marBottom w:val="0"/>
      <w:divBdr>
        <w:top w:val="none" w:sz="0" w:space="0" w:color="auto"/>
        <w:left w:val="none" w:sz="0" w:space="0" w:color="auto"/>
        <w:bottom w:val="none" w:sz="0" w:space="0" w:color="auto"/>
        <w:right w:val="none" w:sz="0" w:space="0" w:color="auto"/>
      </w:divBdr>
    </w:div>
    <w:div w:id="1432970532">
      <w:bodyDiv w:val="1"/>
      <w:marLeft w:val="0"/>
      <w:marRight w:val="0"/>
      <w:marTop w:val="0"/>
      <w:marBottom w:val="0"/>
      <w:divBdr>
        <w:top w:val="none" w:sz="0" w:space="0" w:color="auto"/>
        <w:left w:val="none" w:sz="0" w:space="0" w:color="auto"/>
        <w:bottom w:val="none" w:sz="0" w:space="0" w:color="auto"/>
        <w:right w:val="none" w:sz="0" w:space="0" w:color="auto"/>
      </w:divBdr>
    </w:div>
    <w:div w:id="1486388330">
      <w:bodyDiv w:val="1"/>
      <w:marLeft w:val="0"/>
      <w:marRight w:val="0"/>
      <w:marTop w:val="0"/>
      <w:marBottom w:val="0"/>
      <w:divBdr>
        <w:top w:val="none" w:sz="0" w:space="0" w:color="auto"/>
        <w:left w:val="none" w:sz="0" w:space="0" w:color="auto"/>
        <w:bottom w:val="none" w:sz="0" w:space="0" w:color="auto"/>
        <w:right w:val="none" w:sz="0" w:space="0" w:color="auto"/>
      </w:divBdr>
    </w:div>
    <w:div w:id="1496991021">
      <w:bodyDiv w:val="1"/>
      <w:marLeft w:val="0"/>
      <w:marRight w:val="0"/>
      <w:marTop w:val="0"/>
      <w:marBottom w:val="0"/>
      <w:divBdr>
        <w:top w:val="none" w:sz="0" w:space="0" w:color="auto"/>
        <w:left w:val="none" w:sz="0" w:space="0" w:color="auto"/>
        <w:bottom w:val="none" w:sz="0" w:space="0" w:color="auto"/>
        <w:right w:val="none" w:sz="0" w:space="0" w:color="auto"/>
      </w:divBdr>
    </w:div>
    <w:div w:id="1681663269">
      <w:bodyDiv w:val="1"/>
      <w:marLeft w:val="0"/>
      <w:marRight w:val="0"/>
      <w:marTop w:val="0"/>
      <w:marBottom w:val="0"/>
      <w:divBdr>
        <w:top w:val="none" w:sz="0" w:space="0" w:color="auto"/>
        <w:left w:val="none" w:sz="0" w:space="0" w:color="auto"/>
        <w:bottom w:val="none" w:sz="0" w:space="0" w:color="auto"/>
        <w:right w:val="none" w:sz="0" w:space="0" w:color="auto"/>
      </w:divBdr>
    </w:div>
    <w:div w:id="174228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BVG6JzvYb58&amp;t=1342s" TargetMode="External"/><Relationship Id="rId18" Type="http://schemas.openxmlformats.org/officeDocument/2006/relationships/hyperlink" Target="https://www.youtube.com/watch?v=BVG6JzvYb58&amp;t=4103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youtube.com/watch?v=BVG6JzvYb58&amp;t=330s" TargetMode="External"/><Relationship Id="rId17" Type="http://schemas.openxmlformats.org/officeDocument/2006/relationships/hyperlink" Target="https://www.youtube.com/watch?v=BVG6JzvYb58&amp;t=3395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BVG6JzvYb58&amp;t=2528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rovocitycounci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BVG6JzvYb58&amp;t=1709s"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youtube.com/watch?v=BVG6JzvYb58&amp;t=4972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BVG6JzvYb58&amp;t=1590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rtins\Documents\Templates\Work%20Meeting%20Minutes%20PENDING%20MINUTES%20-%20AWAITING%20APPROV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Props1.xml><?xml version="1.0" encoding="utf-8"?>
<ds:datastoreItem xmlns:ds="http://schemas.openxmlformats.org/officeDocument/2006/customXml" ds:itemID="{073671C3-4741-4A0C-986D-917184E54DFD}">
  <ds:schemaRefs>
    <ds:schemaRef ds:uri="http://schemas.microsoft.com/sharepoint/v3/contenttype/forms"/>
  </ds:schemaRefs>
</ds:datastoreItem>
</file>

<file path=customXml/itemProps2.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FAA95-A725-4C54-AC67-D49B131AE94C}">
  <ds:schemaRefs>
    <ds:schemaRef ds:uri="http://schemas.microsoft.com/office/2006/metadata/properties"/>
    <ds:schemaRef ds:uri="http://schemas.microsoft.com/office/infopath/2007/PartnerControls"/>
    <ds:schemaRef ds:uri="cf06d1eb-9af4-44f7-92ee-90826b05862e"/>
  </ds:schemaRefs>
</ds:datastoreItem>
</file>

<file path=docProps/app.xml><?xml version="1.0" encoding="utf-8"?>
<Properties xmlns="http://schemas.openxmlformats.org/officeDocument/2006/extended-properties" xmlns:vt="http://schemas.openxmlformats.org/officeDocument/2006/docPropsVTypes">
  <Template>Work Meeting Minutes PENDING MINUTES - AWAITING APPROVAL</Template>
  <TotalTime>37</TotalTime>
  <Pages>5</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Martins</dc:creator>
  <cp:keywords/>
  <dc:description/>
  <cp:lastModifiedBy>Kevin Martins</cp:lastModifiedBy>
  <cp:revision>2</cp:revision>
  <dcterms:created xsi:type="dcterms:W3CDTF">2024-12-30T17:51:00Z</dcterms:created>
  <dcterms:modified xsi:type="dcterms:W3CDTF">2025-01-15T22:19:00Z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ies>
</file>