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027054" w14:textId="77777777" w:rsidR="00E428FA" w:rsidRDefault="00E428FA" w:rsidP="00E428FA">
      <w:pPr>
        <w:pStyle w:val="BodyText"/>
        <w:spacing w:before="60"/>
        <w:ind w:left="120"/>
      </w:pPr>
      <w:r>
        <w:t>WHEN</w:t>
      </w:r>
      <w:r>
        <w:rPr>
          <w:spacing w:val="-7"/>
        </w:rPr>
        <w:t xml:space="preserve"> </w:t>
      </w:r>
      <w:r>
        <w:t>RECORDED,</w:t>
      </w:r>
      <w:r>
        <w:rPr>
          <w:spacing w:val="-4"/>
        </w:rPr>
        <w:t xml:space="preserve"> </w:t>
      </w:r>
      <w:r>
        <w:t>RETURN</w:t>
      </w:r>
      <w:r>
        <w:rPr>
          <w:spacing w:val="-4"/>
        </w:rPr>
        <w:t xml:space="preserve"> </w:t>
      </w:r>
      <w:r>
        <w:rPr>
          <w:spacing w:val="-5"/>
        </w:rPr>
        <w:t>TO:</w:t>
      </w:r>
    </w:p>
    <w:p w14:paraId="2E9C0156" w14:textId="77777777" w:rsidR="00E428FA" w:rsidRDefault="00E428FA" w:rsidP="00E428FA">
      <w:pPr>
        <w:pStyle w:val="BodyText"/>
      </w:pPr>
    </w:p>
    <w:p w14:paraId="31EC0A46" w14:textId="32CCE372" w:rsidR="00E428FA" w:rsidRDefault="00E428FA" w:rsidP="00D00737">
      <w:pPr>
        <w:pStyle w:val="BodyText"/>
        <w:spacing w:after="0"/>
        <w:ind w:left="119" w:right="5310"/>
      </w:pPr>
      <w:r>
        <w:t xml:space="preserve">Randall M. Larsen </w:t>
      </w:r>
      <w:r w:rsidR="00AD7F57">
        <w:br/>
      </w:r>
      <w:r>
        <w:t>Gilmore</w:t>
      </w:r>
      <w:r>
        <w:rPr>
          <w:spacing w:val="-12"/>
        </w:rPr>
        <w:t xml:space="preserve"> </w:t>
      </w:r>
      <w:r>
        <w:t>&amp;</w:t>
      </w:r>
      <w:r>
        <w:rPr>
          <w:spacing w:val="-13"/>
        </w:rPr>
        <w:t xml:space="preserve"> </w:t>
      </w:r>
      <w:r>
        <w:t>Bell,</w:t>
      </w:r>
      <w:r>
        <w:rPr>
          <w:spacing w:val="-12"/>
        </w:rPr>
        <w:t xml:space="preserve"> </w:t>
      </w:r>
      <w:r>
        <w:t>P.C.</w:t>
      </w:r>
    </w:p>
    <w:p w14:paraId="47BF5F02" w14:textId="61EC319B" w:rsidR="00D00737" w:rsidRDefault="00E428FA" w:rsidP="00D00737">
      <w:pPr>
        <w:pStyle w:val="BodyText"/>
        <w:spacing w:after="0"/>
        <w:ind w:left="120" w:right="5408"/>
      </w:pPr>
      <w:r>
        <w:t>15</w:t>
      </w:r>
      <w:r>
        <w:rPr>
          <w:spacing w:val="-8"/>
        </w:rPr>
        <w:t xml:space="preserve"> </w:t>
      </w:r>
      <w:r>
        <w:t>West</w:t>
      </w:r>
      <w:r>
        <w:rPr>
          <w:spacing w:val="-8"/>
        </w:rPr>
        <w:t xml:space="preserve"> </w:t>
      </w:r>
      <w:r>
        <w:t>South</w:t>
      </w:r>
      <w:r>
        <w:rPr>
          <w:spacing w:val="-8"/>
        </w:rPr>
        <w:t xml:space="preserve"> </w:t>
      </w:r>
      <w:r>
        <w:t>Temple,</w:t>
      </w:r>
      <w:r>
        <w:rPr>
          <w:spacing w:val="-9"/>
        </w:rPr>
        <w:t xml:space="preserve"> </w:t>
      </w:r>
      <w:r>
        <w:t>Suite</w:t>
      </w:r>
      <w:r>
        <w:rPr>
          <w:spacing w:val="-8"/>
        </w:rPr>
        <w:t xml:space="preserve"> </w:t>
      </w:r>
      <w:r>
        <w:t>14</w:t>
      </w:r>
      <w:r w:rsidR="00D00737">
        <w:t>0</w:t>
      </w:r>
      <w:r>
        <w:t xml:space="preserve">0 </w:t>
      </w:r>
    </w:p>
    <w:p w14:paraId="4752E497" w14:textId="6EF8541A" w:rsidR="00E428FA" w:rsidRDefault="00E428FA" w:rsidP="00D00737">
      <w:pPr>
        <w:pStyle w:val="BodyText"/>
        <w:spacing w:after="0"/>
        <w:ind w:left="120" w:right="5408"/>
      </w:pPr>
      <w:r>
        <w:t>Salt Lake City, Utah</w:t>
      </w:r>
      <w:r>
        <w:rPr>
          <w:spacing w:val="40"/>
        </w:rPr>
        <w:t xml:space="preserve"> </w:t>
      </w:r>
      <w:r>
        <w:t>84101</w:t>
      </w:r>
    </w:p>
    <w:p w14:paraId="5218416E" w14:textId="77777777" w:rsidR="00E428FA" w:rsidRDefault="00E428FA" w:rsidP="00E428FA">
      <w:pPr>
        <w:pStyle w:val="BodyText"/>
        <w:rPr>
          <w:sz w:val="26"/>
        </w:rPr>
      </w:pPr>
    </w:p>
    <w:p w14:paraId="07930B3B" w14:textId="77777777" w:rsidR="00E428FA" w:rsidRDefault="00E428FA" w:rsidP="00E428FA">
      <w:pPr>
        <w:pStyle w:val="BodyText"/>
        <w:rPr>
          <w:sz w:val="26"/>
        </w:rPr>
      </w:pPr>
    </w:p>
    <w:p w14:paraId="23BF9BAB" w14:textId="77777777" w:rsidR="00AE31E5" w:rsidRDefault="00AE31E5" w:rsidP="00E428FA">
      <w:pPr>
        <w:pStyle w:val="BodyText"/>
        <w:rPr>
          <w:sz w:val="26"/>
        </w:rPr>
      </w:pPr>
    </w:p>
    <w:p w14:paraId="2F2289FC" w14:textId="77777777" w:rsidR="00E428FA" w:rsidRDefault="00E428FA" w:rsidP="00E428FA">
      <w:pPr>
        <w:pStyle w:val="BodyText"/>
        <w:pBdr>
          <w:bottom w:val="single" w:sz="12" w:space="1" w:color="auto"/>
        </w:pBdr>
        <w:rPr>
          <w:sz w:val="26"/>
        </w:rPr>
      </w:pPr>
    </w:p>
    <w:p w14:paraId="3ECC0FD9" w14:textId="77777777" w:rsidR="00AE31E5" w:rsidRDefault="00AE31E5" w:rsidP="00E428FA">
      <w:pPr>
        <w:pStyle w:val="BodyText"/>
        <w:rPr>
          <w:sz w:val="26"/>
        </w:rPr>
      </w:pPr>
    </w:p>
    <w:p w14:paraId="0B61009F" w14:textId="5EC5E217" w:rsidR="00E428FA" w:rsidRDefault="00E428FA" w:rsidP="00A2055E">
      <w:pPr>
        <w:pStyle w:val="BodyText"/>
        <w:spacing w:before="1"/>
        <w:jc w:val="center"/>
      </w:pPr>
      <w:r>
        <w:t>NOTICE</w:t>
      </w:r>
      <w:r>
        <w:rPr>
          <w:spacing w:val="-5"/>
        </w:rPr>
        <w:t xml:space="preserve"> </w:t>
      </w:r>
      <w:r>
        <w:t>OF</w:t>
      </w:r>
      <w:r>
        <w:rPr>
          <w:spacing w:val="-6"/>
        </w:rPr>
        <w:t xml:space="preserve"> AMENDMENT TO </w:t>
      </w:r>
      <w:r>
        <w:t>ASSESSMENT</w:t>
      </w:r>
      <w:r>
        <w:rPr>
          <w:spacing w:val="-5"/>
        </w:rPr>
        <w:t xml:space="preserve"> </w:t>
      </w:r>
      <w:r>
        <w:rPr>
          <w:spacing w:val="-2"/>
        </w:rPr>
        <w:t>INTEREST</w:t>
      </w:r>
    </w:p>
    <w:p w14:paraId="70E41171" w14:textId="77777777" w:rsidR="00E428FA" w:rsidRDefault="00E428FA" w:rsidP="00E428FA">
      <w:pPr>
        <w:pStyle w:val="BodyText"/>
        <w:rPr>
          <w:sz w:val="22"/>
        </w:rPr>
      </w:pPr>
    </w:p>
    <w:p w14:paraId="787DFDC1" w14:textId="29D8C297" w:rsidR="00E428FA" w:rsidRPr="00C95A07" w:rsidRDefault="00A2055E" w:rsidP="00E428FA">
      <w:pPr>
        <w:jc w:val="center"/>
      </w:pPr>
      <w:r>
        <w:t>THREE BRIDGES PUBLIC INFRASTRUCTURE DISTRICT NO. 1</w:t>
      </w:r>
    </w:p>
    <w:p w14:paraId="5F782128" w14:textId="77777777" w:rsidR="00AE31E5" w:rsidRDefault="00A2055E" w:rsidP="00AE31E5">
      <w:pPr>
        <w:pStyle w:val="BodyText"/>
        <w:spacing w:after="0"/>
        <w:jc w:val="center"/>
      </w:pPr>
      <w:r>
        <w:t>THREE BRIDGES ASSESSMENT AREA NO. 1</w:t>
      </w:r>
      <w:r w:rsidR="00AE31E5">
        <w:br/>
      </w:r>
    </w:p>
    <w:p w14:paraId="2C966C33" w14:textId="77777777" w:rsidR="00AE31E5" w:rsidRDefault="00AE31E5" w:rsidP="00AE31E5">
      <w:pPr>
        <w:pStyle w:val="00BodyText5"/>
        <w:jc w:val="center"/>
      </w:pPr>
      <w:r>
        <w:t>FIRST AMENDMENT TO ASSESSMENT ORDINANCE</w:t>
      </w:r>
    </w:p>
    <w:p w14:paraId="0E2DC9BF" w14:textId="28A277CC" w:rsidR="00E428FA" w:rsidRDefault="00A2055E" w:rsidP="00AE31E5">
      <w:pPr>
        <w:pStyle w:val="BodyText"/>
        <w:spacing w:after="240"/>
        <w:jc w:val="center"/>
      </w:pPr>
      <w:r>
        <w:rPr>
          <w:spacing w:val="-3"/>
        </w:rPr>
        <w:t>[DATE OF AMENDMENT]</w:t>
      </w:r>
      <w:r w:rsidR="00E428FA">
        <w:t>,</w:t>
      </w:r>
      <w:r w:rsidR="00E428FA">
        <w:rPr>
          <w:spacing w:val="-1"/>
        </w:rPr>
        <w:t xml:space="preserve"> </w:t>
      </w:r>
      <w:r w:rsidR="00E428FA">
        <w:rPr>
          <w:spacing w:val="-4"/>
        </w:rPr>
        <w:t>2024</w:t>
      </w:r>
    </w:p>
    <w:p w14:paraId="551C0062" w14:textId="63CC440B" w:rsidR="004A419C" w:rsidRDefault="003C43D3" w:rsidP="006C2C76">
      <w:pPr>
        <w:pStyle w:val="00BodyText5"/>
      </w:pPr>
      <w:bookmarkStart w:id="0" w:name="_Hlk88055131"/>
      <w:r>
        <w:t xml:space="preserve">WHEREAS, the Board of Trustees (the “Board”) of the </w:t>
      </w:r>
      <w:r w:rsidR="00C92C89">
        <w:t>Three Bridges</w:t>
      </w:r>
      <w:r w:rsidR="00A3266C">
        <w:t xml:space="preserve"> Public Infrastructure </w:t>
      </w:r>
      <w:r w:rsidR="0096069F">
        <w:t>District</w:t>
      </w:r>
      <w:r>
        <w:t xml:space="preserve"> </w:t>
      </w:r>
      <w:r w:rsidR="00C92C89">
        <w:t xml:space="preserve">No. 1 </w:t>
      </w:r>
      <w:r>
        <w:t>(the “District”), adopted Resolution No. 202</w:t>
      </w:r>
      <w:r w:rsidR="0096069F">
        <w:t>4</w:t>
      </w:r>
      <w:r>
        <w:t>-0</w:t>
      </w:r>
      <w:r w:rsidR="001718DD">
        <w:t>6</w:t>
      </w:r>
      <w:r>
        <w:t xml:space="preserve"> on </w:t>
      </w:r>
      <w:r w:rsidR="001718DD">
        <w:t>October 7</w:t>
      </w:r>
      <w:r w:rsidR="0096069F">
        <w:t>, 2024</w:t>
      </w:r>
      <w:r>
        <w:t xml:space="preserve"> (the “Authorizing Resolution”), pursuant to which the Board authorized and approved the form of an Assessment Ordinance (the “Assessment Ordinance”) and the form of the related designation resolution (the “Designation Resolution”)</w:t>
      </w:r>
      <w:r w:rsidR="004A419C">
        <w:t>; and</w:t>
      </w:r>
    </w:p>
    <w:bookmarkEnd w:id="0"/>
    <w:p w14:paraId="381E3919" w14:textId="52F3B1DB" w:rsidR="00AE3BBC" w:rsidRDefault="004A419C" w:rsidP="00AE3BBC">
      <w:pPr>
        <w:pStyle w:val="00BodyText5"/>
      </w:pPr>
      <w:r>
        <w:t>WHEREAS, the District, pursuant to the Assessment Area Act, Title 11</w:t>
      </w:r>
      <w:r w:rsidR="005E63B4">
        <w:t>,</w:t>
      </w:r>
      <w:r>
        <w:t xml:space="preserve"> Chapter 42, Utah Code Annotated 1953, as amended (the “Act”), and pursuant to the Authorizing Resolution and the Designation Resolution, designated the </w:t>
      </w:r>
      <w:r w:rsidR="00A2055E">
        <w:t>Three Bridges Assessment Area No. 1</w:t>
      </w:r>
      <w:r w:rsidR="00E271FA">
        <w:rPr>
          <w:color w:val="000000"/>
        </w:rPr>
        <w:t xml:space="preserve"> </w:t>
      </w:r>
      <w:r w:rsidR="00184C98">
        <w:rPr>
          <w:color w:val="000000"/>
        </w:rPr>
        <w:t>(the “</w:t>
      </w:r>
      <w:r>
        <w:t>Assessment Area</w:t>
      </w:r>
      <w:r w:rsidR="00184C98">
        <w:t>”)</w:t>
      </w:r>
      <w:r>
        <w:t>; and</w:t>
      </w:r>
    </w:p>
    <w:p w14:paraId="6E9BE034" w14:textId="7A508769" w:rsidR="006E3E74" w:rsidRDefault="00AE3BBC" w:rsidP="006E3E74">
      <w:pPr>
        <w:pStyle w:val="00BodyText5"/>
      </w:pPr>
      <w:r>
        <w:t xml:space="preserve">WHEREAS, the Assessment Ordinance dated </w:t>
      </w:r>
      <w:r w:rsidR="005E63B4">
        <w:t xml:space="preserve">as of </w:t>
      </w:r>
      <w:r w:rsidR="00B974CB">
        <w:t>October 7</w:t>
      </w:r>
      <w:r w:rsidR="0096069F">
        <w:t>, 2024</w:t>
      </w:r>
      <w:r>
        <w:t xml:space="preserve"> was signed by the Board and recorded with the </w:t>
      </w:r>
      <w:r w:rsidR="00B974CB">
        <w:t>Utah</w:t>
      </w:r>
      <w:r w:rsidR="0096069F">
        <w:t xml:space="preserve"> County</w:t>
      </w:r>
      <w:r>
        <w:t xml:space="preserve"> Recorder</w:t>
      </w:r>
      <w:r w:rsidR="009543AA">
        <w:t xml:space="preserve"> and </w:t>
      </w:r>
      <w:r w:rsidR="009543AA" w:rsidRPr="009543AA">
        <w:t>recorded on the records of the County as Entry No. __________</w:t>
      </w:r>
      <w:r>
        <w:t>; and</w:t>
      </w:r>
    </w:p>
    <w:p w14:paraId="726AA832" w14:textId="36FD72B6" w:rsidR="00547EC5" w:rsidRDefault="00547EC5" w:rsidP="006E3E74">
      <w:pPr>
        <w:pStyle w:val="00BodyText5"/>
      </w:pPr>
      <w:r>
        <w:t>WHEREAS, the District desires that the Assessment Bonds be issued in two series, with one series representing Assessments required to be prepaid and one series representing amounts permitted to be passed on; and</w:t>
      </w:r>
    </w:p>
    <w:p w14:paraId="64A2BD55" w14:textId="25A5F7B3" w:rsidR="00D14377" w:rsidRPr="00BC5680" w:rsidRDefault="00BC5680" w:rsidP="00547EC5">
      <w:pPr>
        <w:pStyle w:val="00BodyText5"/>
      </w:pPr>
      <w:r>
        <w:t>WHEREAS, the</w:t>
      </w:r>
      <w:r w:rsidR="00645918">
        <w:t xml:space="preserve"> </w:t>
      </w:r>
      <w:r>
        <w:t xml:space="preserve">District </w:t>
      </w:r>
      <w:r w:rsidR="003C43D3">
        <w:t xml:space="preserve">now desires to </w:t>
      </w:r>
      <w:r w:rsidR="00835B51">
        <w:t xml:space="preserve">amend </w:t>
      </w:r>
      <w:r w:rsidR="00547EC5">
        <w:t xml:space="preserve">the Assessment Ordinance </w:t>
      </w:r>
      <w:r w:rsidR="006E3E74">
        <w:t xml:space="preserve">to </w:t>
      </w:r>
      <w:r w:rsidR="00C20D25">
        <w:t xml:space="preserve">update the </w:t>
      </w:r>
      <w:r w:rsidR="00537EC8">
        <w:t xml:space="preserve">amount to be assessed </w:t>
      </w:r>
      <w:r w:rsidR="00645918" w:rsidRPr="000C5237">
        <w:t>within the Assessment Area</w:t>
      </w:r>
      <w:r w:rsidR="00537EC8">
        <w:t xml:space="preserve">, </w:t>
      </w:r>
      <w:r w:rsidR="00547EC5">
        <w:t xml:space="preserve">modify the amount of Assessments required </w:t>
      </w:r>
      <w:r w:rsidR="00547EC5">
        <w:lastRenderedPageBreak/>
        <w:t xml:space="preserve">to be prepaid and the timing of such prepayments, to </w:t>
      </w:r>
      <w:r w:rsidR="00537EC8">
        <w:t>amend and replace Exhibit A of the Assessment Ordinance</w:t>
      </w:r>
      <w:r w:rsidR="005D6F41">
        <w:t>, and related changes</w:t>
      </w:r>
      <w:r w:rsidR="00340407">
        <w:t>; and</w:t>
      </w:r>
    </w:p>
    <w:p w14:paraId="77D55E10" w14:textId="5EB79385" w:rsidR="00AE3BBC" w:rsidRDefault="00AE3BBC" w:rsidP="00AE3BBC">
      <w:pPr>
        <w:pStyle w:val="BodyText5"/>
      </w:pPr>
      <w:r w:rsidRPr="00CC761B">
        <w:t>WHEREAS, pursuant to</w:t>
      </w:r>
      <w:r w:rsidR="00B04D63" w:rsidRPr="00CC761B">
        <w:t>,</w:t>
      </w:r>
      <w:r w:rsidRPr="00CC761B">
        <w:t xml:space="preserve"> and in compliance with</w:t>
      </w:r>
      <w:r w:rsidR="00B04D63" w:rsidRPr="00CC761B">
        <w:t>,</w:t>
      </w:r>
      <w:r w:rsidRPr="00CC761B">
        <w:t xml:space="preserve"> the provisions of Section</w:t>
      </w:r>
      <w:r w:rsidR="00BC5680" w:rsidRPr="00CC761B">
        <w:t xml:space="preserve"> </w:t>
      </w:r>
      <w:r w:rsidR="0087420D" w:rsidRPr="00CC761B">
        <w:t xml:space="preserve">16 </w:t>
      </w:r>
      <w:r w:rsidRPr="00CC761B">
        <w:t>of the</w:t>
      </w:r>
      <w:r w:rsidRPr="002738F3">
        <w:t xml:space="preserve"> </w:t>
      </w:r>
      <w:r w:rsidR="00324B00">
        <w:t>Assessment Ordinance</w:t>
      </w:r>
      <w:r w:rsidRPr="002738F3">
        <w:t xml:space="preserve">, the </w:t>
      </w:r>
      <w:r>
        <w:t>Board</w:t>
      </w:r>
      <w:r w:rsidRPr="002738F3">
        <w:t xml:space="preserve"> des</w:t>
      </w:r>
      <w:r>
        <w:t xml:space="preserve">ires to adopt this </w:t>
      </w:r>
      <w:r w:rsidR="00AD3F55">
        <w:t>First Amendment to</w:t>
      </w:r>
      <w:r w:rsidR="00BC5680">
        <w:t xml:space="preserve"> Assessment </w:t>
      </w:r>
      <w:r>
        <w:t xml:space="preserve">Ordinance </w:t>
      </w:r>
      <w:r w:rsidR="00BC5680">
        <w:t xml:space="preserve">to </w:t>
      </w:r>
      <w:r w:rsidR="00B04D63">
        <w:t>effectuate the amendments described herein</w:t>
      </w:r>
      <w:r w:rsidR="00324B00">
        <w:t>:</w:t>
      </w:r>
    </w:p>
    <w:p w14:paraId="1D038B39" w14:textId="32C337D5" w:rsidR="004A419C" w:rsidRDefault="004A419C" w:rsidP="006C2C76">
      <w:pPr>
        <w:pStyle w:val="00BodyText5"/>
      </w:pPr>
      <w:r>
        <w:t xml:space="preserve">NOW THEREFORE, BE IT ORDAINED BY THE BOARD OF TRUSTEES OF THE </w:t>
      </w:r>
      <w:r w:rsidR="00A2055E">
        <w:t>THREE BRIDGES PUBLIC INFRASTRUCTURE DISTRICT NO. 1</w:t>
      </w:r>
      <w:r>
        <w:t>:</w:t>
      </w:r>
    </w:p>
    <w:p w14:paraId="078C059B" w14:textId="73B6D18A" w:rsidR="006E3E74" w:rsidRDefault="006E3E74" w:rsidP="00AD3F55">
      <w:pPr>
        <w:pStyle w:val="Heading1"/>
        <w:keepNext w:val="0"/>
      </w:pPr>
      <w:bookmarkStart w:id="1" w:name="_Ref259518248"/>
      <w:r w:rsidRPr="006E3E74">
        <w:rPr>
          <w:u w:val="single"/>
        </w:rPr>
        <w:t xml:space="preserve">Amendment of Section 1 of the </w:t>
      </w:r>
      <w:r w:rsidR="00DD0C8B" w:rsidRPr="006E3E74">
        <w:rPr>
          <w:u w:val="single"/>
        </w:rPr>
        <w:t>Assessment</w:t>
      </w:r>
      <w:r w:rsidRPr="006E3E74">
        <w:rPr>
          <w:u w:val="single"/>
        </w:rPr>
        <w:t xml:space="preserve"> Ordinance</w:t>
      </w:r>
      <w:r>
        <w:t xml:space="preserve">. Section 1 of the Assessment Ordinance is hereby amended to </w:t>
      </w:r>
      <w:r w:rsidR="00C20D25">
        <w:t xml:space="preserve">delete the definition of “Residential Homebuyer” and to </w:t>
      </w:r>
      <w:r>
        <w:t>include the following definition</w:t>
      </w:r>
      <w:r w:rsidR="005D6F41">
        <w:t>s</w:t>
      </w:r>
      <w:r>
        <w:t>:</w:t>
      </w:r>
    </w:p>
    <w:p w14:paraId="2C744626" w14:textId="09A3F741" w:rsidR="005D6F41" w:rsidRDefault="005D6F41" w:rsidP="005D6F41">
      <w:pPr>
        <w:pStyle w:val="00BodyText5"/>
      </w:pPr>
      <w:r>
        <w:t>“Series 2024-1 Assessments” means all Assessments required to be prepaid in accordance with Section 7(a) of the Assessment Ordinance</w:t>
      </w:r>
      <w:r>
        <w:t xml:space="preserve"> and shown as the Series 2024-1 Assessments in the Assessment List</w:t>
      </w:r>
      <w:r>
        <w:t>.</w:t>
      </w:r>
    </w:p>
    <w:p w14:paraId="03B3F501" w14:textId="72513FF1" w:rsidR="005D6F41" w:rsidRDefault="005D6F41" w:rsidP="005D6F41">
      <w:pPr>
        <w:pStyle w:val="00BodyText5"/>
      </w:pPr>
      <w:r>
        <w:t>“Series 2024-2 Assessments” means all Assessments other than the Series 2024-1 Assessments</w:t>
      </w:r>
      <w:r>
        <w:t xml:space="preserve"> </w:t>
      </w:r>
      <w:r w:rsidRPr="005D6F41">
        <w:t>and shown as the Series 2024-</w:t>
      </w:r>
      <w:r>
        <w:t>2</w:t>
      </w:r>
      <w:r w:rsidRPr="005D6F41">
        <w:t xml:space="preserve"> Assessments in the Assessment List</w:t>
      </w:r>
      <w:r>
        <w:t>.</w:t>
      </w:r>
    </w:p>
    <w:p w14:paraId="6E0B0FE3" w14:textId="47917E0A" w:rsidR="00C20D25" w:rsidRDefault="006E3E74" w:rsidP="00C20D25">
      <w:pPr>
        <w:ind w:firstLine="720"/>
        <w:jc w:val="both"/>
        <w:rPr>
          <w:rFonts w:cs="Arial"/>
          <w:bCs/>
          <w:szCs w:val="32"/>
        </w:rPr>
      </w:pPr>
      <w:r>
        <w:rPr>
          <w:rFonts w:cs="Arial"/>
          <w:bCs/>
          <w:szCs w:val="32"/>
        </w:rPr>
        <w:t>“</w:t>
      </w:r>
      <w:r w:rsidR="00C20D25">
        <w:rPr>
          <w:rFonts w:cs="Arial"/>
          <w:bCs/>
          <w:szCs w:val="32"/>
        </w:rPr>
        <w:t>Third Party</w:t>
      </w:r>
      <w:r>
        <w:rPr>
          <w:rFonts w:cs="Arial"/>
          <w:bCs/>
          <w:szCs w:val="32"/>
        </w:rPr>
        <w:t>” means</w:t>
      </w:r>
      <w:r w:rsidR="00C20D25">
        <w:rPr>
          <w:rFonts w:cs="Arial"/>
          <w:bCs/>
          <w:szCs w:val="32"/>
        </w:rPr>
        <w:t xml:space="preserve"> </w:t>
      </w:r>
      <w:r w:rsidR="00547EC5">
        <w:rPr>
          <w:rFonts w:cs="Arial"/>
          <w:bCs/>
          <w:szCs w:val="32"/>
        </w:rPr>
        <w:t xml:space="preserve">a Person that is not an affiliate of </w:t>
      </w:r>
      <w:r w:rsidR="00547EC5" w:rsidRPr="00547EC5">
        <w:rPr>
          <w:rFonts w:cs="Arial"/>
          <w:bCs/>
          <w:szCs w:val="32"/>
        </w:rPr>
        <w:t>Treehouse Park LLC</w:t>
      </w:r>
      <w:r w:rsidRPr="006E3E74">
        <w:rPr>
          <w:rFonts w:cs="Arial"/>
          <w:bCs/>
          <w:szCs w:val="32"/>
        </w:rPr>
        <w:t>.</w:t>
      </w:r>
    </w:p>
    <w:p w14:paraId="420E22CE" w14:textId="77777777" w:rsidR="007D4E26" w:rsidRDefault="007D4E26" w:rsidP="006E3E74">
      <w:pPr>
        <w:ind w:firstLine="720"/>
        <w:jc w:val="both"/>
        <w:rPr>
          <w:rFonts w:cs="Arial"/>
          <w:bCs/>
          <w:szCs w:val="32"/>
        </w:rPr>
      </w:pPr>
    </w:p>
    <w:p w14:paraId="06799EB2" w14:textId="43832DF0" w:rsidR="007D4E26" w:rsidRPr="00092E10" w:rsidRDefault="005D6F41" w:rsidP="007D4E26">
      <w:pPr>
        <w:pStyle w:val="Heading1"/>
      </w:pPr>
      <w:r w:rsidRPr="005D6F41">
        <w:rPr>
          <w:u w:val="single"/>
        </w:rPr>
        <w:t xml:space="preserve">Amendment of Section </w:t>
      </w:r>
      <w:r>
        <w:rPr>
          <w:u w:val="single"/>
        </w:rPr>
        <w:t>2</w:t>
      </w:r>
      <w:r w:rsidRPr="005D6F41">
        <w:rPr>
          <w:u w:val="single"/>
        </w:rPr>
        <w:t xml:space="preserve"> of the Assessment Ordinance</w:t>
      </w:r>
      <w:r w:rsidRPr="005D6F41">
        <w:t>.</w:t>
      </w:r>
      <w:r>
        <w:t xml:space="preserve"> </w:t>
      </w:r>
      <w:r w:rsidR="007D4E26">
        <w:t xml:space="preserve">In order to </w:t>
      </w:r>
      <w:r w:rsidR="00C20D25">
        <w:t xml:space="preserve">update the </w:t>
      </w:r>
      <w:r w:rsidR="00537EC8">
        <w:t>amount to be assessed within the Assessment Area</w:t>
      </w:r>
      <w:r w:rsidR="00C20D25">
        <w:t xml:space="preserve">, Section 2 </w:t>
      </w:r>
      <w:r w:rsidR="00537EC8">
        <w:t xml:space="preserve">and Section 6 </w:t>
      </w:r>
      <w:r w:rsidR="00C20D25">
        <w:t xml:space="preserve">of the Assessment Ordinance </w:t>
      </w:r>
      <w:r w:rsidR="00537EC8">
        <w:t>are</w:t>
      </w:r>
      <w:r w:rsidR="00C20D25">
        <w:t xml:space="preserve"> hereby amended and restated as follows: </w:t>
      </w:r>
    </w:p>
    <w:p w14:paraId="5CA3ED34" w14:textId="4A7588A9" w:rsidR="00AD3F55" w:rsidRPr="00C20D25" w:rsidRDefault="00094364" w:rsidP="00C20D25">
      <w:pPr>
        <w:spacing w:after="240"/>
        <w:ind w:firstLine="720"/>
        <w:jc w:val="both"/>
        <w:outlineLvl w:val="0"/>
        <w:rPr>
          <w:rFonts w:cs="Arial"/>
          <w:bCs/>
          <w:szCs w:val="32"/>
          <w:u w:val="single"/>
        </w:rPr>
      </w:pPr>
      <w:r>
        <w:rPr>
          <w:rFonts w:cs="Arial"/>
          <w:bCs/>
          <w:szCs w:val="32"/>
        </w:rPr>
        <w:t>“</w:t>
      </w:r>
      <w:r w:rsidR="007D4E26" w:rsidRPr="00092E10">
        <w:rPr>
          <w:rFonts w:cs="Arial"/>
          <w:bCs/>
          <w:szCs w:val="32"/>
        </w:rPr>
        <w:t xml:space="preserve">Section </w:t>
      </w:r>
      <w:r w:rsidR="00C20D25">
        <w:rPr>
          <w:rFonts w:cs="Arial"/>
          <w:bCs/>
          <w:szCs w:val="32"/>
        </w:rPr>
        <w:t>2</w:t>
      </w:r>
      <w:r w:rsidR="007D4E26" w:rsidRPr="00092E10">
        <w:rPr>
          <w:rFonts w:cs="Arial"/>
          <w:bCs/>
          <w:szCs w:val="32"/>
        </w:rPr>
        <w:t xml:space="preserve">. </w:t>
      </w:r>
      <w:r w:rsidR="007D709E">
        <w:rPr>
          <w:rFonts w:cs="Arial"/>
          <w:bCs/>
          <w:szCs w:val="32"/>
        </w:rPr>
        <w:t xml:space="preserve">       </w:t>
      </w:r>
      <w:r w:rsidR="00C20D25">
        <w:rPr>
          <w:u w:val="single"/>
        </w:rPr>
        <w:t>Determination of Estimated Costs of the Improvements and Right of District to Levy Additional Assessments for Completion</w:t>
      </w:r>
      <w:r w:rsidR="00C20D25">
        <w:t xml:space="preserve">.  </w:t>
      </w:r>
      <w:r w:rsidR="00C20D25" w:rsidRPr="000C5237">
        <w:t xml:space="preserve">The Board has determined that the estimated acquisition, construction and installation costs of the Improvements within the Assessment Area, including estimated overhead costs, administrative costs, costs of funding reserves, capitalized interest, and debt issuance costs, is estimated at </w:t>
      </w:r>
      <w:r w:rsidR="00C20D25" w:rsidRPr="00986EA6">
        <w:t>$</w:t>
      </w:r>
      <w:r w:rsidR="005D6F41" w:rsidRPr="005D6F41">
        <w:t>55,606,608</w:t>
      </w:r>
      <w:r w:rsidR="00C20D25" w:rsidRPr="000C5237">
        <w:t xml:space="preserve"> of which $</w:t>
      </w:r>
      <w:r w:rsidR="00B82B09">
        <w:t>40,000,000</w:t>
      </w:r>
      <w:r w:rsidR="00C20D25" w:rsidRPr="000C5237">
        <w:t xml:space="preserve"> shall be assessed within the Assessment Area</w:t>
      </w:r>
      <w:r w:rsidR="00C20D25">
        <w:t xml:space="preserve">.  Such amount to be levied is an estimate, as permitted under Section 11-42-401 of the Act.  </w:t>
      </w:r>
      <w:r w:rsidR="00C20D25" w:rsidRPr="005F72BF">
        <w:t xml:space="preserve">The Owners anticipate using additional funding in order to complete the Improvements.  If the Assessments and additional funding are not sufficient in amount to complete the Improvements and pay related costs as described above, the Owners shall be responsible to pay the remaining amount in order to complete the Improvements.  </w:t>
      </w:r>
      <w:r w:rsidR="00C20D25" w:rsidRPr="008C379C">
        <w:t xml:space="preserve">  However, the District does not guaranty such payments from the Owners. Therefore, if for any reason the Owners do not pay such remaining amount to complete the Improvements, any and all property owners within the Assessment Area shall be responsible for paying any pro-rata share of additional costs required to complete the Improvements, including, but not limited to, an additional assessment on their property without any ability to contest such assessment.</w:t>
      </w:r>
      <w:bookmarkEnd w:id="1"/>
      <w:r w:rsidR="00C20D25">
        <w:t>”</w:t>
      </w:r>
      <w:r w:rsidR="00340407">
        <w:tab/>
      </w:r>
    </w:p>
    <w:p w14:paraId="669BB44E" w14:textId="551202A8" w:rsidR="00537EC8" w:rsidRDefault="00537EC8" w:rsidP="00537EC8">
      <w:pPr>
        <w:pStyle w:val="Heading1"/>
        <w:numPr>
          <w:ilvl w:val="0"/>
          <w:numId w:val="0"/>
        </w:numPr>
        <w:ind w:firstLine="720"/>
      </w:pPr>
      <w:r>
        <w:lastRenderedPageBreak/>
        <w:t xml:space="preserve">“Section 6. </w:t>
      </w:r>
      <w:r>
        <w:rPr>
          <w:u w:val="single"/>
        </w:rPr>
        <w:t>Method and Rate</w:t>
      </w:r>
      <w:r>
        <w:t xml:space="preserve">.  </w:t>
      </w:r>
      <w:r w:rsidRPr="00E271FA">
        <w:t xml:space="preserve">Each of the benefited properties </w:t>
      </w:r>
      <w:r w:rsidRPr="00B76294">
        <w:t xml:space="preserve">and all of them collectively </w:t>
      </w:r>
      <w:r w:rsidRPr="00E271FA">
        <w:t>will be assessed within the Assessment Area initially pursuant to a</w:t>
      </w:r>
      <w:r>
        <w:t>n equivalent residential unit (“ERU”) method</w:t>
      </w:r>
      <w:r w:rsidRPr="00E271FA">
        <w:t xml:space="preserve"> as </w:t>
      </w:r>
      <w:r>
        <w:t xml:space="preserve">follows:  </w:t>
      </w:r>
    </w:p>
    <w:tbl>
      <w:tblPr>
        <w:tblW w:w="5165" w:type="pct"/>
        <w:tblInd w:w="-180" w:type="dxa"/>
        <w:tblLayout w:type="fixed"/>
        <w:tblCellMar>
          <w:left w:w="115" w:type="dxa"/>
          <w:right w:w="115" w:type="dxa"/>
        </w:tblCellMar>
        <w:tblLook w:val="04A0" w:firstRow="1" w:lastRow="0" w:firstColumn="1" w:lastColumn="0" w:noHBand="0" w:noVBand="1"/>
      </w:tblPr>
      <w:tblGrid>
        <w:gridCol w:w="3512"/>
        <w:gridCol w:w="1930"/>
        <w:gridCol w:w="2069"/>
        <w:gridCol w:w="2158"/>
      </w:tblGrid>
      <w:tr w:rsidR="00537EC8" w:rsidRPr="00112B66" w14:paraId="43E8CEAF" w14:textId="77777777" w:rsidTr="00950EF3">
        <w:trPr>
          <w:trHeight w:val="300"/>
        </w:trPr>
        <w:tc>
          <w:tcPr>
            <w:tcW w:w="1816" w:type="pct"/>
            <w:tcBorders>
              <w:top w:val="nil"/>
              <w:left w:val="nil"/>
              <w:bottom w:val="nil"/>
              <w:right w:val="nil"/>
            </w:tcBorders>
            <w:noWrap/>
            <w:vAlign w:val="bottom"/>
            <w:hideMark/>
          </w:tcPr>
          <w:p w14:paraId="7E611236" w14:textId="77777777" w:rsidR="00537EC8" w:rsidRPr="00112B66" w:rsidRDefault="00537EC8" w:rsidP="00950EF3">
            <w:pPr>
              <w:keepNext/>
              <w:jc w:val="center"/>
              <w:rPr>
                <w:sz w:val="22"/>
                <w:szCs w:val="22"/>
                <w:u w:val="single"/>
              </w:rPr>
            </w:pPr>
            <w:r w:rsidRPr="00112B66">
              <w:rPr>
                <w:sz w:val="22"/>
                <w:szCs w:val="22"/>
                <w:u w:val="single"/>
              </w:rPr>
              <w:t>Improvements</w:t>
            </w:r>
          </w:p>
        </w:tc>
        <w:tc>
          <w:tcPr>
            <w:tcW w:w="998" w:type="pct"/>
            <w:tcBorders>
              <w:top w:val="nil"/>
              <w:left w:val="nil"/>
              <w:bottom w:val="nil"/>
              <w:right w:val="nil"/>
            </w:tcBorders>
            <w:shd w:val="clear" w:color="auto" w:fill="auto"/>
            <w:noWrap/>
            <w:vAlign w:val="bottom"/>
          </w:tcPr>
          <w:p w14:paraId="6D04A7D0" w14:textId="77777777" w:rsidR="00537EC8" w:rsidRPr="00112B66" w:rsidRDefault="00537EC8" w:rsidP="00950EF3">
            <w:pPr>
              <w:keepNext/>
              <w:jc w:val="center"/>
              <w:rPr>
                <w:sz w:val="22"/>
                <w:szCs w:val="22"/>
              </w:rPr>
            </w:pPr>
            <w:r w:rsidRPr="00112B66">
              <w:rPr>
                <w:sz w:val="22"/>
                <w:szCs w:val="22"/>
                <w:u w:val="single"/>
              </w:rPr>
              <w:t>Assessment</w:t>
            </w:r>
          </w:p>
        </w:tc>
        <w:tc>
          <w:tcPr>
            <w:tcW w:w="1070" w:type="pct"/>
            <w:tcBorders>
              <w:top w:val="nil"/>
              <w:left w:val="nil"/>
              <w:bottom w:val="nil"/>
              <w:right w:val="nil"/>
            </w:tcBorders>
            <w:vAlign w:val="bottom"/>
          </w:tcPr>
          <w:p w14:paraId="66A6BCB0" w14:textId="77777777" w:rsidR="00537EC8" w:rsidRPr="00112B66" w:rsidRDefault="00537EC8" w:rsidP="00950EF3">
            <w:pPr>
              <w:keepNext/>
              <w:jc w:val="center"/>
              <w:rPr>
                <w:sz w:val="22"/>
                <w:szCs w:val="22"/>
              </w:rPr>
            </w:pPr>
            <w:r w:rsidRPr="00112B66">
              <w:rPr>
                <w:sz w:val="22"/>
                <w:szCs w:val="22"/>
                <w:u w:val="single"/>
              </w:rPr>
              <w:t>Assessment Method</w:t>
            </w:r>
          </w:p>
        </w:tc>
        <w:tc>
          <w:tcPr>
            <w:tcW w:w="1117" w:type="pct"/>
            <w:tcBorders>
              <w:top w:val="nil"/>
              <w:left w:val="nil"/>
              <w:bottom w:val="nil"/>
              <w:right w:val="nil"/>
            </w:tcBorders>
            <w:noWrap/>
            <w:vAlign w:val="bottom"/>
            <w:hideMark/>
          </w:tcPr>
          <w:p w14:paraId="25A19BF5" w14:textId="77777777" w:rsidR="00537EC8" w:rsidRPr="00112B66" w:rsidRDefault="00537EC8" w:rsidP="00950EF3">
            <w:pPr>
              <w:keepNext/>
              <w:jc w:val="center"/>
              <w:rPr>
                <w:sz w:val="22"/>
                <w:szCs w:val="22"/>
              </w:rPr>
            </w:pPr>
            <w:r w:rsidRPr="00112B66">
              <w:rPr>
                <w:sz w:val="22"/>
                <w:szCs w:val="22"/>
                <w:u w:val="single"/>
              </w:rPr>
              <w:t>Assessment Per ERU</w:t>
            </w:r>
          </w:p>
        </w:tc>
      </w:tr>
      <w:tr w:rsidR="00537EC8" w:rsidRPr="00112B66" w14:paraId="79ABF665" w14:textId="77777777" w:rsidTr="00950EF3">
        <w:trPr>
          <w:trHeight w:val="315"/>
        </w:trPr>
        <w:tc>
          <w:tcPr>
            <w:tcW w:w="1816" w:type="pct"/>
            <w:tcBorders>
              <w:top w:val="nil"/>
              <w:left w:val="nil"/>
              <w:bottom w:val="nil"/>
              <w:right w:val="nil"/>
            </w:tcBorders>
            <w:noWrap/>
            <w:vAlign w:val="bottom"/>
          </w:tcPr>
          <w:p w14:paraId="554DF0C1" w14:textId="77777777" w:rsidR="00537EC8" w:rsidRPr="00112B66" w:rsidRDefault="00537EC8" w:rsidP="00950EF3">
            <w:pPr>
              <w:keepNext/>
              <w:ind w:left="-30"/>
              <w:jc w:val="center"/>
              <w:rPr>
                <w:sz w:val="22"/>
                <w:szCs w:val="22"/>
              </w:rPr>
            </w:pPr>
            <w:r w:rsidRPr="00112B66">
              <w:rPr>
                <w:sz w:val="22"/>
                <w:szCs w:val="22"/>
              </w:rPr>
              <w:t>All above-described Improvements</w:t>
            </w:r>
          </w:p>
        </w:tc>
        <w:tc>
          <w:tcPr>
            <w:tcW w:w="998" w:type="pct"/>
            <w:tcBorders>
              <w:top w:val="nil"/>
              <w:left w:val="nil"/>
              <w:bottom w:val="nil"/>
              <w:right w:val="nil"/>
            </w:tcBorders>
            <w:shd w:val="clear" w:color="auto" w:fill="auto"/>
            <w:noWrap/>
            <w:vAlign w:val="bottom"/>
          </w:tcPr>
          <w:p w14:paraId="2A1A0C82" w14:textId="7867D903" w:rsidR="00537EC8" w:rsidRPr="00112B66" w:rsidRDefault="00537EC8" w:rsidP="00537EC8">
            <w:pPr>
              <w:keepNext/>
              <w:tabs>
                <w:tab w:val="decimal" w:pos="1044"/>
              </w:tabs>
              <w:jc w:val="center"/>
              <w:rPr>
                <w:sz w:val="22"/>
                <w:szCs w:val="22"/>
              </w:rPr>
            </w:pPr>
            <w:r w:rsidRPr="00112B66">
              <w:rPr>
                <w:sz w:val="22"/>
                <w:szCs w:val="22"/>
              </w:rPr>
              <w:t>$</w:t>
            </w:r>
            <w:r w:rsidR="00B82B09">
              <w:rPr>
                <w:sz w:val="22"/>
                <w:szCs w:val="22"/>
              </w:rPr>
              <w:t>40,000</w:t>
            </w:r>
            <w:r w:rsidRPr="00112B66">
              <w:rPr>
                <w:sz w:val="22"/>
                <w:szCs w:val="22"/>
              </w:rPr>
              <w:t>,000</w:t>
            </w:r>
          </w:p>
        </w:tc>
        <w:tc>
          <w:tcPr>
            <w:tcW w:w="1070" w:type="pct"/>
            <w:tcBorders>
              <w:top w:val="nil"/>
              <w:left w:val="nil"/>
              <w:bottom w:val="nil"/>
              <w:right w:val="nil"/>
            </w:tcBorders>
            <w:vAlign w:val="bottom"/>
          </w:tcPr>
          <w:p w14:paraId="445E9C63" w14:textId="77777777" w:rsidR="00537EC8" w:rsidRPr="00112B66" w:rsidRDefault="00537EC8" w:rsidP="00950EF3">
            <w:pPr>
              <w:keepNext/>
              <w:tabs>
                <w:tab w:val="decimal" w:pos="420"/>
              </w:tabs>
              <w:jc w:val="center"/>
              <w:rPr>
                <w:sz w:val="22"/>
                <w:szCs w:val="22"/>
              </w:rPr>
            </w:pPr>
            <w:r w:rsidRPr="00112B66">
              <w:rPr>
                <w:sz w:val="22"/>
                <w:szCs w:val="22"/>
              </w:rPr>
              <w:t>ERU</w:t>
            </w:r>
          </w:p>
        </w:tc>
        <w:tc>
          <w:tcPr>
            <w:tcW w:w="1117" w:type="pct"/>
            <w:tcBorders>
              <w:top w:val="nil"/>
              <w:left w:val="nil"/>
              <w:bottom w:val="nil"/>
              <w:right w:val="nil"/>
            </w:tcBorders>
            <w:noWrap/>
            <w:vAlign w:val="bottom"/>
          </w:tcPr>
          <w:p w14:paraId="7CA24E8A" w14:textId="6B8F4644" w:rsidR="00537EC8" w:rsidRPr="00112B66" w:rsidRDefault="005D6F41" w:rsidP="00537EC8">
            <w:pPr>
              <w:keepNext/>
              <w:tabs>
                <w:tab w:val="decimal" w:pos="831"/>
              </w:tabs>
              <w:jc w:val="center"/>
              <w:rPr>
                <w:sz w:val="22"/>
                <w:szCs w:val="22"/>
              </w:rPr>
            </w:pPr>
            <w:r>
              <w:rPr>
                <w:sz w:val="22"/>
                <w:szCs w:val="22"/>
              </w:rPr>
              <w:t>$</w:t>
            </w:r>
            <w:r w:rsidR="00B82B09">
              <w:rPr>
                <w:sz w:val="22"/>
                <w:szCs w:val="22"/>
              </w:rPr>
              <w:t>108,108.11</w:t>
            </w:r>
          </w:p>
        </w:tc>
      </w:tr>
    </w:tbl>
    <w:p w14:paraId="5518810B" w14:textId="77777777" w:rsidR="00537EC8" w:rsidRDefault="00537EC8" w:rsidP="00537EC8"/>
    <w:p w14:paraId="627C2C96" w14:textId="129A0C06" w:rsidR="00537EC8" w:rsidRDefault="00537EC8" w:rsidP="00537EC8">
      <w:pPr>
        <w:ind w:firstLine="720"/>
        <w:jc w:val="both"/>
      </w:pPr>
      <w:r>
        <w:t xml:space="preserve">The currently anticipated number of ERUs and ERUs per unit type is set forth on </w:t>
      </w:r>
      <w:r w:rsidRPr="004044DE">
        <w:rPr>
          <w:u w:val="single"/>
        </w:rPr>
        <w:t>Exhibit A</w:t>
      </w:r>
      <w:r>
        <w:t xml:space="preserve"> hereto. </w:t>
      </w:r>
      <w:r w:rsidRPr="00A20ED3">
        <w:t xml:space="preserve">Notwithstanding the levy of the assessments, in order to provide additional security for the payment of assessments, the District shall require that all assessments of all properties owned by the same Owner within the Assessment Area (or an affiliate of the same Owner) be aggregated as a single unified assessment against all properties owned by the same Owner within the Assessment Area (or an affiliate of the same Owner). </w:t>
      </w:r>
      <w:r>
        <w:t xml:space="preserve"> </w:t>
      </w:r>
      <w:r w:rsidRPr="00A20ED3">
        <w:t xml:space="preserve">As used in this Ordinance, the term “affiliate” means with respect to any Owner, any </w:t>
      </w:r>
      <w:r>
        <w:t>P</w:t>
      </w:r>
      <w:r w:rsidRPr="00A20ED3">
        <w:t>erson that controls, is controlled by or is under common control with such Owner, and the term “control” or “controlled” means the ownership of more than twenty percent (20%) of the outstanding voting ownership interests of the Owner in question or the power to direct the management of the Owner in question (subject to any required approvals for major decisions by anyone holding equity interests in the owner in question)</w:t>
      </w:r>
      <w:r>
        <w:t>.”</w:t>
      </w:r>
    </w:p>
    <w:p w14:paraId="3F342D57" w14:textId="77777777" w:rsidR="00537EC8" w:rsidRPr="00537EC8" w:rsidRDefault="00537EC8" w:rsidP="00537EC8">
      <w:pPr>
        <w:ind w:firstLine="720"/>
      </w:pPr>
    </w:p>
    <w:p w14:paraId="7C4270E0" w14:textId="2C7C87F0" w:rsidR="00C20D25" w:rsidRDefault="005D6F41" w:rsidP="00324B00">
      <w:pPr>
        <w:pStyle w:val="Heading1"/>
        <w:keepNext w:val="0"/>
      </w:pPr>
      <w:r w:rsidRPr="005D6F41">
        <w:rPr>
          <w:u w:val="single"/>
        </w:rPr>
        <w:t xml:space="preserve">Amendment of Section </w:t>
      </w:r>
      <w:r>
        <w:rPr>
          <w:u w:val="single"/>
        </w:rPr>
        <w:t>7</w:t>
      </w:r>
      <w:r w:rsidR="00F81BD7">
        <w:rPr>
          <w:u w:val="single"/>
        </w:rPr>
        <w:t>(a) and (b) and Assessment List</w:t>
      </w:r>
      <w:r w:rsidRPr="005D6F41">
        <w:rPr>
          <w:u w:val="single"/>
        </w:rPr>
        <w:t xml:space="preserve"> of the Assessment Ordinance</w:t>
      </w:r>
      <w:r w:rsidRPr="005D6F41">
        <w:t>.</w:t>
      </w:r>
      <w:r>
        <w:t xml:space="preserve"> </w:t>
      </w:r>
      <w:r w:rsidR="00C20D25">
        <w:t xml:space="preserve">In order to </w:t>
      </w:r>
      <w:r>
        <w:t>require prepayment upon conveyance of a parcel to a Third Party and amend the amount required to be prepaid</w:t>
      </w:r>
      <w:r w:rsidR="00F81BD7">
        <w:t xml:space="preserve"> and to update to reflect no capitalized interest being funded with respect to the Series 2024-1 Assessments</w:t>
      </w:r>
      <w:r>
        <w:t xml:space="preserve">, </w:t>
      </w:r>
      <w:r w:rsidR="00C20D25">
        <w:t>Section 7(a)</w:t>
      </w:r>
      <w:r w:rsidR="00F81BD7">
        <w:t xml:space="preserve"> and (b)</w:t>
      </w:r>
      <w:r w:rsidR="00C20D25">
        <w:t xml:space="preserve"> of the Assessment Ordinance is hereby amended and restated as follows</w:t>
      </w:r>
      <w:r>
        <w:t xml:space="preserve"> and the Assessment List attached as Exhibit A of the Assessment Ordinance is hereby amended and restated to read as attached as </w:t>
      </w:r>
      <w:r w:rsidRPr="005D6F41">
        <w:rPr>
          <w:u w:val="single"/>
        </w:rPr>
        <w:t>Exhibit A</w:t>
      </w:r>
      <w:r>
        <w:t xml:space="preserve"> hereto</w:t>
      </w:r>
      <w:r w:rsidR="00C20D25">
        <w:t>:</w:t>
      </w:r>
    </w:p>
    <w:p w14:paraId="0599FA0B" w14:textId="42B5F123" w:rsidR="00C20D25" w:rsidRDefault="00C20D25" w:rsidP="00C20D25">
      <w:pPr>
        <w:pStyle w:val="Heading1"/>
        <w:keepNext w:val="0"/>
        <w:numPr>
          <w:ilvl w:val="0"/>
          <w:numId w:val="0"/>
        </w:numPr>
        <w:ind w:left="720"/>
      </w:pPr>
      <w:r>
        <w:t>“Section 7.</w:t>
      </w:r>
      <w:r>
        <w:tab/>
        <w:t>Payment of Assessments.</w:t>
      </w:r>
    </w:p>
    <w:p w14:paraId="3F3D1BC1" w14:textId="77777777" w:rsidR="00F81BD7" w:rsidRDefault="00C20D25" w:rsidP="005D6F41">
      <w:pPr>
        <w:pStyle w:val="Heading2"/>
      </w:pPr>
      <w:r>
        <w:t>The Board hereby determines that the Improvements have a weighted average useful life of not less than thirt</w:t>
      </w:r>
      <w:r w:rsidRPr="00351B13">
        <w:t>y (</w:t>
      </w:r>
      <w:r>
        <w:t>30</w:t>
      </w:r>
      <w:r w:rsidRPr="00351B13">
        <w:t>)</w:t>
      </w:r>
      <w:r>
        <w:t xml:space="preserve"> years, </w:t>
      </w:r>
      <w:r w:rsidRPr="004E27A6">
        <w:t xml:space="preserve">and requires that </w:t>
      </w:r>
      <w:r w:rsidR="00F81BD7">
        <w:t>the Series 2024-1 Assessments be</w:t>
      </w:r>
      <w:r w:rsidRPr="004E27A6">
        <w:t xml:space="preserve"> prepaid for </w:t>
      </w:r>
      <w:r>
        <w:t>each</w:t>
      </w:r>
      <w:r w:rsidRPr="004E27A6">
        <w:t xml:space="preserve"> parcel </w:t>
      </w:r>
      <w:r>
        <w:t>(other than a Hotel Lot) on or before the time of conveyance of such parcel to a Third Party</w:t>
      </w:r>
      <w:r w:rsidR="005D6F41">
        <w:t>, in accordance with the Assessment List</w:t>
      </w:r>
      <w:r>
        <w:t>. Pursuant to Section 11-42-409(5) of the Act, the Owners have consented to</w:t>
      </w:r>
      <w:r w:rsidRPr="009D781F">
        <w:t xml:space="preserve"> aggregate annual Assessment payments </w:t>
      </w:r>
      <w:r>
        <w:t>which are not in</w:t>
      </w:r>
      <w:r w:rsidRPr="009D781F">
        <w:t xml:space="preserve"> substantially equal amounts</w:t>
      </w:r>
      <w:r>
        <w:t xml:space="preserve"> and instead aggregate annual Assessment payments shall be in accordance with the debt service payments as shall be established in the Indenture, subject, however, to adjustment as described herein. Interest on the unpaid balance of the Assessments shall accrue at the same rate or rates as shall be borne by the Assessment Bonds</w:t>
      </w:r>
      <w:r w:rsidRPr="00681129">
        <w:t xml:space="preserve">, </w:t>
      </w:r>
      <w:r w:rsidRPr="00CE0DFE">
        <w:t>plus an annual administration cost incurred by the District</w:t>
      </w:r>
      <w:r>
        <w:t xml:space="preserve">, </w:t>
      </w:r>
      <w:r w:rsidRPr="00FC6652">
        <w:t>plus any third party direct out of pocket costs of the District related to the administration and collection of the Assessments</w:t>
      </w:r>
      <w:r>
        <w:t>.  The District may outsource all or a portion of the administration services, including legal costs or consulting costs as an additional out of pocket cost, including, but not limited to, all costs related to foreclosure (and other remedies) and amendments to this Ordinance.</w:t>
      </w:r>
    </w:p>
    <w:p w14:paraId="5F9D611C" w14:textId="54DA53AB" w:rsidR="00C20D25" w:rsidRPr="00F81BD7" w:rsidRDefault="00F81BD7" w:rsidP="00F81BD7">
      <w:pPr>
        <w:pStyle w:val="Heading2"/>
        <w:rPr>
          <w:szCs w:val="24"/>
        </w:rPr>
      </w:pPr>
      <w:bookmarkStart w:id="2" w:name="_Hlk44538915"/>
      <w:bookmarkStart w:id="3" w:name="_Hlk164761317"/>
      <w:r>
        <w:t xml:space="preserve">The District will collect the Assessments by directly billing each property owner rather than inclusion on a property tax notice. </w:t>
      </w:r>
      <w:bookmarkStart w:id="4" w:name="_Hlk136889956"/>
      <w:r w:rsidRPr="001F666B">
        <w:t xml:space="preserve">The </w:t>
      </w:r>
      <w:r>
        <w:t>payment</w:t>
      </w:r>
      <w:r w:rsidRPr="001F666B">
        <w:t xml:space="preserve"> for each Assessment </w:t>
      </w:r>
      <w:r>
        <w:t>bill</w:t>
      </w:r>
      <w:r w:rsidRPr="001F666B">
        <w:t xml:space="preserve"> shall be due </w:t>
      </w:r>
      <w:r>
        <w:t>March</w:t>
      </w:r>
      <w:r w:rsidRPr="001F666B">
        <w:t xml:space="preserve"> 1 and </w:t>
      </w:r>
      <w:r>
        <w:t>September</w:t>
      </w:r>
      <w:r w:rsidRPr="001F666B">
        <w:t xml:space="preserve"> 1 of each year </w:t>
      </w:r>
      <w:r w:rsidRPr="00F81BD7">
        <w:t xml:space="preserve">(approximately 30 days after sending </w:t>
      </w:r>
      <w:r w:rsidRPr="00F81BD7">
        <w:lastRenderedPageBreak/>
        <w:t xml:space="preserve">such bills for such period), which shall be sent on or prior to February 1 and August 1 of each year, respectively, estimated to commence </w:t>
      </w:r>
      <w:r>
        <w:t>February</w:t>
      </w:r>
      <w:r w:rsidRPr="00F81BD7">
        <w:t xml:space="preserve"> 1, 202</w:t>
      </w:r>
      <w:r>
        <w:t>5 with respect to the Series 2024-1 Assessments, due to no capitalized interest, and February 1, 2028 with respect to the Series 2024-2 Assessments</w:t>
      </w:r>
      <w:r w:rsidRPr="00F81BD7">
        <w:t>, due to capitalized interest</w:t>
      </w:r>
      <w:bookmarkEnd w:id="4"/>
      <w:r>
        <w:rPr>
          <w:szCs w:val="24"/>
        </w:rPr>
        <w:t>)</w:t>
      </w:r>
      <w:r w:rsidRPr="001F666B">
        <w:t>.</w:t>
      </w:r>
      <w:r>
        <w:t xml:space="preserve"> However, an earlier initial bill or failure to send any such bill by the scheduled date shall not impact the requirement of property owners to timely pay their Assessments on the due date thereof.</w:t>
      </w:r>
      <w:bookmarkEnd w:id="2"/>
      <w:bookmarkEnd w:id="3"/>
      <w:r w:rsidRPr="00F81BD7">
        <w:rPr>
          <w:szCs w:val="24"/>
        </w:rPr>
        <w:t>”</w:t>
      </w:r>
      <w:r w:rsidR="00C20D25">
        <w:t xml:space="preserve"> </w:t>
      </w:r>
    </w:p>
    <w:p w14:paraId="2D2846CB" w14:textId="6646AAD4" w:rsidR="00F03BFD" w:rsidRPr="00792319" w:rsidRDefault="00B04D63" w:rsidP="00324B00">
      <w:pPr>
        <w:pStyle w:val="Heading1"/>
        <w:keepNext w:val="0"/>
      </w:pPr>
      <w:r>
        <w:rPr>
          <w:u w:val="single"/>
        </w:rPr>
        <w:t>Owner Consent</w:t>
      </w:r>
      <w:r w:rsidR="00F03BFD">
        <w:t xml:space="preserve">.  </w:t>
      </w:r>
      <w:r w:rsidR="00324B00">
        <w:t xml:space="preserve">The District hereby finds and determines that the changes made herein do not </w:t>
      </w:r>
      <w:r w:rsidR="00CC761B">
        <w:t xml:space="preserve">change the boundaries of the Assessment Area and do not </w:t>
      </w:r>
      <w:r w:rsidR="00324B00">
        <w:t>materially adversely affect the rights of the Owners under the Assessment Ordinance</w:t>
      </w:r>
      <w:r w:rsidR="003F77F7">
        <w:t xml:space="preserve"> </w:t>
      </w:r>
      <w:r w:rsidR="00324B00">
        <w:t>and that all Owners have consented to the execution of this First Amendment to Assessment Ordinance.</w:t>
      </w:r>
    </w:p>
    <w:p w14:paraId="4F525F94" w14:textId="5BE21EB4" w:rsidR="00F03BFD" w:rsidRDefault="00F03BFD" w:rsidP="00F03BFD">
      <w:pPr>
        <w:pStyle w:val="Heading1"/>
        <w:keepNext w:val="0"/>
      </w:pPr>
      <w:r>
        <w:rPr>
          <w:u w:val="single"/>
        </w:rPr>
        <w:t>All Necessary Action Approved</w:t>
      </w:r>
      <w:r>
        <w:t xml:space="preserve">.  The officials of the District are hereby authorized and directed to take all action necessary and appropriate to effectuate the provisions of this </w:t>
      </w:r>
      <w:r w:rsidR="00C36EA3">
        <w:t>First Amendment to Assessment Ordinance</w:t>
      </w:r>
      <w:r>
        <w:t xml:space="preserve">, including the filing of a notice with the </w:t>
      </w:r>
      <w:r w:rsidR="00C20D25">
        <w:t>Utah</w:t>
      </w:r>
      <w:r w:rsidR="0096069F">
        <w:t xml:space="preserve"> County</w:t>
      </w:r>
      <w:r>
        <w:t xml:space="preserve"> Recorder.</w:t>
      </w:r>
    </w:p>
    <w:p w14:paraId="3B382F94" w14:textId="2746CCC5" w:rsidR="007D651F" w:rsidRDefault="00C36EA3" w:rsidP="007D651F">
      <w:pPr>
        <w:pStyle w:val="Heading1"/>
        <w:keepNext w:val="0"/>
      </w:pPr>
      <w:r>
        <w:rPr>
          <w:u w:val="single"/>
        </w:rPr>
        <w:t>Assessment Ordinance</w:t>
      </w:r>
      <w:r w:rsidR="007D651F">
        <w:t xml:space="preserve">. </w:t>
      </w:r>
      <w:r w:rsidR="003F77F7">
        <w:t xml:space="preserve"> </w:t>
      </w:r>
      <w:r w:rsidR="007D651F">
        <w:t xml:space="preserve">Except as specifically amended by this </w:t>
      </w:r>
      <w:r>
        <w:t>First Amendment to Assessment Ordinance</w:t>
      </w:r>
      <w:r w:rsidR="007D651F">
        <w:t xml:space="preserve">, the </w:t>
      </w:r>
      <w:r>
        <w:t>Assessment Ordinance</w:t>
      </w:r>
      <w:r w:rsidR="007D651F">
        <w:t xml:space="preserve"> </w:t>
      </w:r>
      <w:r w:rsidR="007D651F" w:rsidRPr="007D651F">
        <w:t>shall remain in full force and effect without change</w:t>
      </w:r>
      <w:r w:rsidR="007D651F">
        <w:t xml:space="preserve">.  </w:t>
      </w:r>
      <w:r w:rsidR="007D651F" w:rsidRPr="00700415">
        <w:t xml:space="preserve">In the event of a challenge to this </w:t>
      </w:r>
      <w:r>
        <w:t>First Amendment to Assessment Ordinance</w:t>
      </w:r>
      <w:r w:rsidR="007D651F" w:rsidRPr="00700415">
        <w:t xml:space="preserve">, the Board may elect to </w:t>
      </w:r>
      <w:r w:rsidR="003F77F7">
        <w:t>collect</w:t>
      </w:r>
      <w:r w:rsidR="007D651F" w:rsidRPr="00700415">
        <w:t xml:space="preserve"> the Assessments pursuant to the </w:t>
      </w:r>
      <w:r>
        <w:t>Assessment Ordinance</w:t>
      </w:r>
      <w:r w:rsidR="007D651F" w:rsidRPr="00700415">
        <w:t>.</w:t>
      </w:r>
      <w:r w:rsidR="007D651F">
        <w:t xml:space="preserve"> </w:t>
      </w:r>
    </w:p>
    <w:p w14:paraId="2629964C" w14:textId="68534ABB" w:rsidR="00F03BFD" w:rsidRDefault="00F03BFD" w:rsidP="00F03BFD">
      <w:pPr>
        <w:pStyle w:val="Heading1"/>
        <w:keepNext w:val="0"/>
      </w:pPr>
      <w:r>
        <w:rPr>
          <w:u w:val="single"/>
        </w:rPr>
        <w:t>Repeal of Conflicting Provisions; Amendment</w:t>
      </w:r>
      <w:r>
        <w:t xml:space="preserve">.  All ordinances or parts thereof in conflict with this </w:t>
      </w:r>
      <w:r w:rsidR="00C36EA3">
        <w:t>First Amendment to Assessment Ordinance</w:t>
      </w:r>
      <w:r>
        <w:t xml:space="preserve"> are hereby repealed.  The Chair (or any assigned designee of the Chair) may</w:t>
      </w:r>
      <w:r w:rsidRPr="00E72D6F">
        <w:t xml:space="preserve"> make any alterati</w:t>
      </w:r>
      <w:r>
        <w:t xml:space="preserve">ons, changes or additions to this </w:t>
      </w:r>
      <w:r w:rsidR="00C36EA3">
        <w:t>First Amendment to Assessment Ordinance</w:t>
      </w:r>
      <w:r w:rsidRPr="00E72D6F">
        <w:t xml:space="preserve"> which may be necessary to conform the same to the final terms of the</w:t>
      </w:r>
      <w:r>
        <w:t xml:space="preserve"> Assessment</w:t>
      </w:r>
      <w:r w:rsidRPr="00E72D6F">
        <w:t xml:space="preserve"> Bonds</w:t>
      </w:r>
      <w:r>
        <w:t>,</w:t>
      </w:r>
      <w:r w:rsidRPr="00E72D6F">
        <w:t xml:space="preserve"> to correct errors or omissions </w:t>
      </w:r>
      <w:r>
        <w:t>h</w:t>
      </w:r>
      <w:r w:rsidRPr="00E72D6F">
        <w:t xml:space="preserve">erein, to complete the same, to remove ambiguities </w:t>
      </w:r>
      <w:r>
        <w:t>here</w:t>
      </w:r>
      <w:r w:rsidRPr="00E72D6F">
        <w:t xml:space="preserve">from, or to conform the same to other provisions of this </w:t>
      </w:r>
      <w:r w:rsidR="00C36EA3">
        <w:t>First Amendment to Assessment Ordinance</w:t>
      </w:r>
      <w:r w:rsidRPr="00F03BFD">
        <w:t xml:space="preserve"> </w:t>
      </w:r>
      <w:r w:rsidRPr="00E72D6F">
        <w:t xml:space="preserve">or any resolution adopted by the </w:t>
      </w:r>
      <w:r>
        <w:t>Board</w:t>
      </w:r>
      <w:r w:rsidRPr="00E72D6F">
        <w:t xml:space="preserve"> or the provisions of the laws of the State of U</w:t>
      </w:r>
      <w:r>
        <w:t>tah or the United States, including technical changes to the description of the boundary of the Assessment Area, so long as those changes do not change the boundaries from those depicted on the maps attached to the Designation Resolution and do not materially adversely affect the rights of the Owners without the consent of such Owners affected.</w:t>
      </w:r>
    </w:p>
    <w:p w14:paraId="437E3E39" w14:textId="353EBD6B" w:rsidR="00324B00" w:rsidRDefault="00324B00" w:rsidP="00324B00">
      <w:pPr>
        <w:pStyle w:val="Heading1"/>
        <w:keepNext w:val="0"/>
      </w:pPr>
      <w:bookmarkStart w:id="5" w:name="_Ref245088643"/>
      <w:r>
        <w:rPr>
          <w:u w:val="single"/>
        </w:rPr>
        <w:t>Posting of Ordinance</w:t>
      </w:r>
      <w:r>
        <w:t>.  This First Amendment to Assessment Ordinance</w:t>
      </w:r>
      <w:r w:rsidRPr="00F03BFD">
        <w:t xml:space="preserve"> </w:t>
      </w:r>
      <w:r>
        <w:t xml:space="preserve">shall be signed by the Chair and </w:t>
      </w:r>
      <w:r w:rsidR="00C20D25">
        <w:t>Secretary/</w:t>
      </w:r>
      <w:r>
        <w:t xml:space="preserve">Clerk and shall be recorded in the ordinance book kept for that purpose.  </w:t>
      </w:r>
      <w:r w:rsidR="003F77F7">
        <w:t>A copy</w:t>
      </w:r>
      <w:r>
        <w:t xml:space="preserve"> of this First Amendment to Assessment Ordinance</w:t>
      </w:r>
      <w:r w:rsidRPr="00F03BFD">
        <w:t xml:space="preserve"> </w:t>
      </w:r>
      <w:r>
        <w:t>shall be posted in a public location within or near the District’s boundaries that is reasonably likely to be seen by individuals who pass through or near the affected area for at least 21 days and a copy of this First Amendment to Assessment Ordinance</w:t>
      </w:r>
      <w:r w:rsidRPr="00F03BFD">
        <w:t xml:space="preserve"> </w:t>
      </w:r>
      <w:r>
        <w:t>shall also be posted on the Utah Public Notice Website (</w:t>
      </w:r>
      <w:hyperlink r:id="rId8" w:history="1">
        <w:r w:rsidRPr="00ED792B">
          <w:rPr>
            <w:rStyle w:val="Hyperlink"/>
          </w:rPr>
          <w:t>http://pmn.utah.gov</w:t>
        </w:r>
      </w:hyperlink>
      <w:r>
        <w:t>) for at least 21 days.  This First Amendment to Assessment Ordinance</w:t>
      </w:r>
      <w:r w:rsidRPr="00F03BFD">
        <w:t xml:space="preserve"> </w:t>
      </w:r>
      <w:r>
        <w:t xml:space="preserve">shall take effect immediately upon its passage and approval and posting as required by law.  </w:t>
      </w:r>
    </w:p>
    <w:p w14:paraId="247799CF" w14:textId="1E555EE1" w:rsidR="00F03BFD" w:rsidRDefault="00324B00" w:rsidP="00F03BFD">
      <w:pPr>
        <w:pStyle w:val="Heading1"/>
        <w:keepNext w:val="0"/>
      </w:pPr>
      <w:r>
        <w:rPr>
          <w:u w:val="single"/>
        </w:rPr>
        <w:t>Defined Terms</w:t>
      </w:r>
      <w:r w:rsidR="00F03BFD">
        <w:t xml:space="preserve">.  </w:t>
      </w:r>
      <w:r>
        <w:t>Capitalized terms used herein but not otherwise defined shall have the meanings ascribed to such terms in the Assessment Ordinance.</w:t>
      </w:r>
      <w:bookmarkEnd w:id="5"/>
      <w:r w:rsidR="00F03BFD">
        <w:t xml:space="preserve">  </w:t>
      </w:r>
    </w:p>
    <w:p w14:paraId="35DC8BF0" w14:textId="77777777" w:rsidR="00C045E6" w:rsidRDefault="00C045E6" w:rsidP="00C045E6">
      <w:pPr>
        <w:sectPr w:rsidR="00C045E6" w:rsidSect="00496B3C">
          <w:headerReference w:type="even" r:id="rId9"/>
          <w:headerReference w:type="default" r:id="rId10"/>
          <w:footerReference w:type="even" r:id="rId11"/>
          <w:footerReference w:type="default" r:id="rId12"/>
          <w:headerReference w:type="first" r:id="rId13"/>
          <w:footerReference w:type="first" r:id="rId14"/>
          <w:endnotePr>
            <w:numFmt w:val="decimal"/>
          </w:endnotePr>
          <w:pgSz w:w="12240" w:h="15840" w:code="1"/>
          <w:pgMar w:top="1440" w:right="1440" w:bottom="1440" w:left="1440" w:header="720" w:footer="720" w:gutter="0"/>
          <w:pgNumType w:start="1"/>
          <w:cols w:space="720"/>
          <w:noEndnote/>
          <w:titlePg/>
          <w:docGrid w:linePitch="326"/>
        </w:sectPr>
      </w:pPr>
    </w:p>
    <w:p w14:paraId="549F437E" w14:textId="48ECB9EB" w:rsidR="004A419C" w:rsidRDefault="00CC761B" w:rsidP="00C045E6">
      <w:pPr>
        <w:pStyle w:val="00BodyText5"/>
      </w:pPr>
      <w:r>
        <w:lastRenderedPageBreak/>
        <w:t xml:space="preserve">PASSED AND APPROVED THIS </w:t>
      </w:r>
      <w:r w:rsidR="009E5275">
        <w:t>_______________</w:t>
      </w:r>
      <w:r>
        <w:t>, 2024.</w:t>
      </w:r>
    </w:p>
    <w:p w14:paraId="25757DAA" w14:textId="77777777" w:rsidR="00C045E6" w:rsidRDefault="00C045E6" w:rsidP="00C045E6">
      <w:pPr>
        <w:jc w:val="both"/>
      </w:pPr>
    </w:p>
    <w:p w14:paraId="27DD900C" w14:textId="5EF12B4D" w:rsidR="00DD03FF" w:rsidRDefault="00C92C89" w:rsidP="00C045E6">
      <w:pPr>
        <w:ind w:left="4320"/>
        <w:jc w:val="both"/>
      </w:pPr>
      <w:r>
        <w:t>THREE BRIDGES</w:t>
      </w:r>
      <w:r w:rsidR="00C045E6">
        <w:t xml:space="preserve"> PUBLIC</w:t>
      </w:r>
    </w:p>
    <w:p w14:paraId="2762B04F" w14:textId="498409D0" w:rsidR="00C045E6" w:rsidRDefault="00C045E6" w:rsidP="00C045E6">
      <w:pPr>
        <w:ind w:left="4320"/>
        <w:jc w:val="both"/>
      </w:pPr>
      <w:r>
        <w:t xml:space="preserve">INFRASTRUCTURE </w:t>
      </w:r>
      <w:r w:rsidR="0096069F">
        <w:t>DISTRICT</w:t>
      </w:r>
      <w:r w:rsidR="00C92C89">
        <w:t xml:space="preserve"> NO. 1</w:t>
      </w:r>
    </w:p>
    <w:p w14:paraId="1012A077" w14:textId="77777777" w:rsidR="00C045E6" w:rsidRDefault="00C045E6" w:rsidP="00C045E6">
      <w:pPr>
        <w:ind w:left="4320"/>
        <w:jc w:val="both"/>
      </w:pPr>
    </w:p>
    <w:p w14:paraId="35A2BFEF" w14:textId="77777777" w:rsidR="00C045E6" w:rsidRDefault="00C045E6" w:rsidP="00C045E6">
      <w:pPr>
        <w:ind w:left="4320"/>
        <w:jc w:val="both"/>
      </w:pPr>
    </w:p>
    <w:p w14:paraId="3FAA1156" w14:textId="77777777" w:rsidR="00C045E6" w:rsidRDefault="00C045E6" w:rsidP="00C045E6">
      <w:pPr>
        <w:ind w:left="4320"/>
        <w:jc w:val="both"/>
      </w:pPr>
    </w:p>
    <w:p w14:paraId="7A67DE17" w14:textId="4B7C1CE5" w:rsidR="00C045E6" w:rsidRDefault="00C045E6" w:rsidP="00C045E6">
      <w:pPr>
        <w:ind w:left="4320"/>
        <w:jc w:val="both"/>
      </w:pPr>
      <w:r>
        <w:t>By: _______________________________</w:t>
      </w:r>
      <w:r w:rsidR="00C92C89">
        <w:t>_______</w:t>
      </w:r>
    </w:p>
    <w:p w14:paraId="7DC00DFD" w14:textId="337FBF68" w:rsidR="00C045E6" w:rsidRDefault="00C045E6" w:rsidP="00C045E6">
      <w:pPr>
        <w:ind w:left="4320"/>
        <w:jc w:val="center"/>
      </w:pPr>
      <w:bookmarkStart w:id="6" w:name="_Hlk498606042"/>
      <w:r>
        <w:t>Chair</w:t>
      </w:r>
    </w:p>
    <w:bookmarkEnd w:id="6"/>
    <w:p w14:paraId="4BE5AA01" w14:textId="77777777" w:rsidR="00C045E6" w:rsidRDefault="00C045E6" w:rsidP="00C045E6"/>
    <w:p w14:paraId="44B7D562" w14:textId="77777777" w:rsidR="00C045E6" w:rsidRDefault="00C045E6" w:rsidP="00C045E6">
      <w:pPr>
        <w:tabs>
          <w:tab w:val="left" w:pos="4320"/>
        </w:tabs>
        <w:ind w:right="4320"/>
      </w:pPr>
    </w:p>
    <w:p w14:paraId="5B81F574" w14:textId="77777777" w:rsidR="00C045E6" w:rsidRDefault="00C045E6" w:rsidP="00C045E6">
      <w:pPr>
        <w:tabs>
          <w:tab w:val="left" w:pos="4320"/>
        </w:tabs>
        <w:ind w:right="4320"/>
      </w:pPr>
    </w:p>
    <w:p w14:paraId="23B24FB7" w14:textId="77777777" w:rsidR="00C045E6" w:rsidRDefault="00C045E6" w:rsidP="00C045E6">
      <w:pPr>
        <w:jc w:val="both"/>
      </w:pPr>
      <w:r>
        <w:t>ATTEST:</w:t>
      </w:r>
    </w:p>
    <w:p w14:paraId="0AA8DA87" w14:textId="77777777" w:rsidR="00C045E6" w:rsidRDefault="00C045E6" w:rsidP="00C045E6">
      <w:pPr>
        <w:jc w:val="both"/>
      </w:pPr>
    </w:p>
    <w:p w14:paraId="0AD4259E" w14:textId="77777777" w:rsidR="00C045E6" w:rsidRDefault="00C045E6" w:rsidP="00C045E6">
      <w:pPr>
        <w:jc w:val="both"/>
      </w:pPr>
    </w:p>
    <w:p w14:paraId="07B3D733" w14:textId="77777777" w:rsidR="00C045E6" w:rsidRDefault="00C045E6" w:rsidP="00C045E6">
      <w:pPr>
        <w:jc w:val="both"/>
      </w:pPr>
    </w:p>
    <w:p w14:paraId="195366DE" w14:textId="77777777" w:rsidR="00C045E6" w:rsidRDefault="00C045E6" w:rsidP="00C045E6">
      <w:pPr>
        <w:tabs>
          <w:tab w:val="left" w:pos="4320"/>
        </w:tabs>
        <w:ind w:right="4320"/>
        <w:jc w:val="both"/>
        <w:rPr>
          <w:u w:val="single"/>
        </w:rPr>
      </w:pPr>
      <w:r>
        <w:t xml:space="preserve">By: </w:t>
      </w:r>
      <w:r>
        <w:rPr>
          <w:u w:val="single"/>
        </w:rPr>
        <w:tab/>
      </w:r>
    </w:p>
    <w:p w14:paraId="2F9E13FD" w14:textId="40E8ECDF" w:rsidR="00C045E6" w:rsidRPr="00EE5873" w:rsidRDefault="00C92C89" w:rsidP="00C92C89">
      <w:pPr>
        <w:tabs>
          <w:tab w:val="left" w:pos="4320"/>
        </w:tabs>
        <w:ind w:right="4320"/>
      </w:pPr>
      <w:r>
        <w:t xml:space="preserve">                       Secretary/</w:t>
      </w:r>
      <w:r w:rsidR="00C36EA3">
        <w:t>Clerk</w:t>
      </w:r>
    </w:p>
    <w:p w14:paraId="5E71935F" w14:textId="77777777" w:rsidR="00C045E6" w:rsidRDefault="00C045E6" w:rsidP="00C045E6">
      <w:pPr>
        <w:tabs>
          <w:tab w:val="left" w:pos="4320"/>
        </w:tabs>
        <w:ind w:right="4320"/>
      </w:pPr>
    </w:p>
    <w:p w14:paraId="27211641" w14:textId="77777777" w:rsidR="00C045E6" w:rsidRDefault="00C045E6" w:rsidP="00C045E6">
      <w:pPr>
        <w:tabs>
          <w:tab w:val="left" w:pos="4320"/>
        </w:tabs>
        <w:ind w:right="4320"/>
      </w:pPr>
    </w:p>
    <w:p w14:paraId="59C219AB" w14:textId="77777777" w:rsidR="00C045E6" w:rsidRDefault="00C045E6" w:rsidP="00C045E6">
      <w:pPr>
        <w:tabs>
          <w:tab w:val="center" w:pos="2160"/>
        </w:tabs>
        <w:jc w:val="both"/>
      </w:pPr>
    </w:p>
    <w:p w14:paraId="501F3AFC" w14:textId="77777777" w:rsidR="00C045E6" w:rsidRDefault="00C045E6" w:rsidP="004A419C">
      <w:pPr>
        <w:sectPr w:rsidR="00C045E6" w:rsidSect="00496B3C">
          <w:footerReference w:type="first" r:id="rId15"/>
          <w:endnotePr>
            <w:numFmt w:val="decimal"/>
          </w:endnotePr>
          <w:pgSz w:w="12240" w:h="15840" w:code="1"/>
          <w:pgMar w:top="1440" w:right="1440" w:bottom="1440" w:left="1440" w:header="720" w:footer="720" w:gutter="0"/>
          <w:pgNumType w:start="1"/>
          <w:cols w:space="720"/>
          <w:noEndnote/>
          <w:titlePg/>
          <w:docGrid w:linePitch="326"/>
        </w:sectPr>
      </w:pPr>
    </w:p>
    <w:p w14:paraId="77D0A016" w14:textId="199A50EC" w:rsidR="00C045E6" w:rsidRDefault="00C045E6" w:rsidP="004A419C"/>
    <w:p w14:paraId="1F66B9BC" w14:textId="77777777" w:rsidR="00865509" w:rsidRDefault="00865509" w:rsidP="00865509"/>
    <w:p w14:paraId="42F029C1" w14:textId="77777777" w:rsidR="00865509" w:rsidRDefault="00865509" w:rsidP="00865509">
      <w:pPr>
        <w:tabs>
          <w:tab w:val="center" w:pos="2160"/>
        </w:tabs>
        <w:jc w:val="both"/>
      </w:pPr>
      <w:r>
        <w:t>STATE OF UTAH</w:t>
      </w:r>
      <w:r>
        <w:tab/>
      </w:r>
      <w:r>
        <w:tab/>
      </w:r>
      <w:r>
        <w:tab/>
        <w:t>)</w:t>
      </w:r>
    </w:p>
    <w:p w14:paraId="127E9D65" w14:textId="77777777" w:rsidR="00865509" w:rsidRDefault="00865509" w:rsidP="00865509">
      <w:pPr>
        <w:ind w:left="1980"/>
      </w:pPr>
      <w:r>
        <w:tab/>
      </w:r>
      <w:r>
        <w:tab/>
        <w:t>: ss.</w:t>
      </w:r>
    </w:p>
    <w:p w14:paraId="1E68DBB9" w14:textId="559EC63D" w:rsidR="00865509" w:rsidRDefault="00865509" w:rsidP="00865509">
      <w:r>
        <w:t xml:space="preserve">COUNTY OF </w:t>
      </w:r>
      <w:r w:rsidR="009E5275">
        <w:t>UTAH</w:t>
      </w:r>
      <w:r>
        <w:tab/>
      </w:r>
      <w:r>
        <w:tab/>
      </w:r>
      <w:r w:rsidR="009E5275">
        <w:tab/>
      </w:r>
      <w:r>
        <w:t>)</w:t>
      </w:r>
    </w:p>
    <w:p w14:paraId="37C20C3E" w14:textId="77777777" w:rsidR="00865509" w:rsidRDefault="00865509" w:rsidP="00865509"/>
    <w:p w14:paraId="2A5C7DAB" w14:textId="2F5679D9" w:rsidR="00865509" w:rsidRDefault="00865509" w:rsidP="00865509">
      <w:pPr>
        <w:pStyle w:val="00BodyText5"/>
      </w:pPr>
      <w:r>
        <w:t xml:space="preserve">The foregoing instrument was acknowledged before me this __________, 2024, by </w:t>
      </w:r>
      <w:r w:rsidR="00FD24F6">
        <w:t>Larry Myler</w:t>
      </w:r>
      <w:r>
        <w:t>, the Chair</w:t>
      </w:r>
      <w:r w:rsidRPr="00F46ADF">
        <w:t xml:space="preserve"> of the </w:t>
      </w:r>
      <w:r>
        <w:t xml:space="preserve">Board of Trustees of the </w:t>
      </w:r>
      <w:r w:rsidR="00A2055E">
        <w:t>Three Bridges Public Infrastructure District No. 1</w:t>
      </w:r>
      <w:r>
        <w:t xml:space="preserve"> (the “District”), who represented and acknowledged that he signed the same for and on behalf of the District.</w:t>
      </w:r>
    </w:p>
    <w:p w14:paraId="394DC61D" w14:textId="77777777" w:rsidR="00865509" w:rsidRDefault="00865509" w:rsidP="00865509"/>
    <w:p w14:paraId="77B61AD4" w14:textId="77777777" w:rsidR="00865509" w:rsidRDefault="00865509" w:rsidP="00865509"/>
    <w:p w14:paraId="20301E1F" w14:textId="77777777" w:rsidR="00865509" w:rsidRDefault="00865509" w:rsidP="00865509"/>
    <w:p w14:paraId="71003C56" w14:textId="77777777" w:rsidR="00865509" w:rsidRDefault="00865509" w:rsidP="00865509">
      <w:pPr>
        <w:tabs>
          <w:tab w:val="right" w:pos="9360"/>
        </w:tabs>
        <w:ind w:left="4320"/>
      </w:pPr>
      <w:r>
        <w:rPr>
          <w:u w:val="single"/>
        </w:rPr>
        <w:tab/>
      </w:r>
    </w:p>
    <w:p w14:paraId="3117AE79" w14:textId="77777777" w:rsidR="00865509" w:rsidRDefault="00865509" w:rsidP="00865509">
      <w:pPr>
        <w:tabs>
          <w:tab w:val="right" w:pos="8640"/>
        </w:tabs>
        <w:ind w:left="4320"/>
      </w:pPr>
      <w:r>
        <w:t>NOTARY PUBLIC</w:t>
      </w:r>
    </w:p>
    <w:p w14:paraId="748D1BEA" w14:textId="77777777" w:rsidR="00865509" w:rsidRDefault="00865509" w:rsidP="00865509"/>
    <w:p w14:paraId="6474D68B" w14:textId="77777777" w:rsidR="00865509" w:rsidRDefault="00865509" w:rsidP="00865509"/>
    <w:p w14:paraId="71577A1F" w14:textId="77777777" w:rsidR="00865509" w:rsidRDefault="00865509" w:rsidP="00865509"/>
    <w:p w14:paraId="43F4D91E" w14:textId="77777777" w:rsidR="00865509" w:rsidRDefault="00865509" w:rsidP="00865509"/>
    <w:p w14:paraId="233A366E" w14:textId="77777777" w:rsidR="00865509" w:rsidRDefault="00865509" w:rsidP="00865509">
      <w:pPr>
        <w:tabs>
          <w:tab w:val="center" w:pos="2160"/>
        </w:tabs>
        <w:jc w:val="both"/>
      </w:pPr>
      <w:r>
        <w:t>STATE OF UTAH</w:t>
      </w:r>
      <w:r>
        <w:tab/>
      </w:r>
      <w:r>
        <w:tab/>
      </w:r>
      <w:r>
        <w:tab/>
        <w:t>)</w:t>
      </w:r>
    </w:p>
    <w:p w14:paraId="0B46EE55" w14:textId="77777777" w:rsidR="00865509" w:rsidRDefault="00865509" w:rsidP="00865509">
      <w:pPr>
        <w:ind w:left="1980"/>
      </w:pPr>
      <w:r>
        <w:tab/>
      </w:r>
      <w:r>
        <w:tab/>
        <w:t>: ss.</w:t>
      </w:r>
    </w:p>
    <w:p w14:paraId="3B31FA96" w14:textId="6967FE97" w:rsidR="00865509" w:rsidRDefault="00865509" w:rsidP="00865509">
      <w:r>
        <w:t>COUNTY OF</w:t>
      </w:r>
      <w:r w:rsidR="009E5275">
        <w:t xml:space="preserve"> UTAH</w:t>
      </w:r>
      <w:r>
        <w:tab/>
      </w:r>
      <w:r w:rsidR="009E5275">
        <w:tab/>
      </w:r>
      <w:r>
        <w:tab/>
        <w:t>)</w:t>
      </w:r>
    </w:p>
    <w:p w14:paraId="07671FD1" w14:textId="77777777" w:rsidR="00865509" w:rsidRDefault="00865509" w:rsidP="00865509"/>
    <w:p w14:paraId="1A3C47CE" w14:textId="7FA831AC" w:rsidR="00865509" w:rsidRDefault="00865509" w:rsidP="00865509">
      <w:pPr>
        <w:pStyle w:val="00BodyText5"/>
      </w:pPr>
      <w:r>
        <w:t xml:space="preserve">The foregoing instrument was acknowledged before me this __________, 2024, by </w:t>
      </w:r>
      <w:r w:rsidR="00FD24F6">
        <w:t>Kevin Miller</w:t>
      </w:r>
      <w:r>
        <w:t xml:space="preserve">, the Secretary/Clerk of the </w:t>
      </w:r>
      <w:r w:rsidR="00A2055E">
        <w:t>Three Bridges Public Infrastructure District No. 1</w:t>
      </w:r>
      <w:r>
        <w:t xml:space="preserve"> (the “District”), who represented and acknowledged that he signed the same for and on behalf of the District.</w:t>
      </w:r>
    </w:p>
    <w:p w14:paraId="159B6A21" w14:textId="77777777" w:rsidR="00865509" w:rsidRDefault="00865509" w:rsidP="00865509"/>
    <w:p w14:paraId="064321A0" w14:textId="77777777" w:rsidR="00865509" w:rsidRDefault="00865509" w:rsidP="00865509"/>
    <w:p w14:paraId="586D9BFD" w14:textId="77777777" w:rsidR="00865509" w:rsidRDefault="00865509" w:rsidP="00865509"/>
    <w:p w14:paraId="000620D7" w14:textId="77777777" w:rsidR="00865509" w:rsidRDefault="00865509" w:rsidP="00865509">
      <w:pPr>
        <w:tabs>
          <w:tab w:val="right" w:pos="9360"/>
        </w:tabs>
        <w:ind w:left="4320"/>
      </w:pPr>
      <w:r>
        <w:rPr>
          <w:u w:val="single"/>
        </w:rPr>
        <w:tab/>
      </w:r>
    </w:p>
    <w:p w14:paraId="0626891D" w14:textId="77777777" w:rsidR="00865509" w:rsidRDefault="00865509" w:rsidP="00865509">
      <w:pPr>
        <w:tabs>
          <w:tab w:val="right" w:pos="8640"/>
        </w:tabs>
        <w:ind w:left="4320"/>
      </w:pPr>
      <w:r>
        <w:t>NOTARY PUBLIC</w:t>
      </w:r>
    </w:p>
    <w:p w14:paraId="57995540" w14:textId="6A7BFEB7" w:rsidR="00835B51" w:rsidRDefault="00835B51" w:rsidP="00AE3BBC">
      <w:pPr>
        <w:ind w:right="4320"/>
        <w:jc w:val="center"/>
        <w:sectPr w:rsidR="00835B51" w:rsidSect="00496B3C">
          <w:headerReference w:type="even" r:id="rId16"/>
          <w:headerReference w:type="default" r:id="rId17"/>
          <w:footerReference w:type="even" r:id="rId18"/>
          <w:footerReference w:type="default" r:id="rId19"/>
          <w:headerReference w:type="first" r:id="rId20"/>
          <w:footerReference w:type="first" r:id="rId21"/>
          <w:pgSz w:w="12240" w:h="15840" w:code="1"/>
          <w:pgMar w:top="1440" w:right="1440" w:bottom="1440" w:left="1440" w:header="720" w:footer="720" w:gutter="0"/>
          <w:pgNumType w:start="1"/>
          <w:cols w:space="720"/>
          <w:titlePg/>
          <w:docGrid w:linePitch="360"/>
        </w:sectPr>
      </w:pPr>
    </w:p>
    <w:p w14:paraId="7B2E270F" w14:textId="77777777" w:rsidR="004C695B" w:rsidRDefault="00835B51" w:rsidP="004C695B">
      <w:pPr>
        <w:jc w:val="center"/>
        <w:rPr>
          <w:u w:val="single"/>
        </w:rPr>
      </w:pPr>
      <w:r w:rsidRPr="004C695B">
        <w:rPr>
          <w:u w:val="single"/>
        </w:rPr>
        <w:lastRenderedPageBreak/>
        <w:t>EXHIBIT A</w:t>
      </w:r>
    </w:p>
    <w:p w14:paraId="17B10EAC" w14:textId="77777777" w:rsidR="00537EC8" w:rsidRDefault="00537EC8" w:rsidP="004C695B">
      <w:pPr>
        <w:jc w:val="center"/>
        <w:rPr>
          <w:u w:val="single"/>
        </w:rPr>
      </w:pPr>
    </w:p>
    <w:p w14:paraId="741963E7" w14:textId="34C8526F" w:rsidR="00537EC8" w:rsidRPr="00537EC8" w:rsidRDefault="00537EC8" w:rsidP="004C695B">
      <w:pPr>
        <w:jc w:val="center"/>
      </w:pPr>
      <w:r w:rsidRPr="00537EC8">
        <w:t>ASSESSMENT LIST AND LEGAL DESCRIPTION</w:t>
      </w:r>
    </w:p>
    <w:p w14:paraId="5307246E" w14:textId="77777777" w:rsidR="004C695B" w:rsidRDefault="004C695B" w:rsidP="004C695B">
      <w:pPr>
        <w:jc w:val="center"/>
        <w:rPr>
          <w:u w:val="single"/>
        </w:rPr>
      </w:pPr>
    </w:p>
    <w:p w14:paraId="58992FB7" w14:textId="77777777" w:rsidR="00537EC8" w:rsidRDefault="00537EC8" w:rsidP="004C695B">
      <w:pPr>
        <w:jc w:val="center"/>
        <w:rPr>
          <w:u w:val="single"/>
        </w:rPr>
      </w:pPr>
    </w:p>
    <w:p w14:paraId="66663B60" w14:textId="77777777" w:rsidR="00537EC8" w:rsidRDefault="00537EC8" w:rsidP="00537EC8">
      <w:pPr>
        <w:pStyle w:val="00Center"/>
        <w:rPr>
          <w:u w:val="single"/>
        </w:rPr>
      </w:pPr>
      <w:bookmarkStart w:id="7" w:name="_Hlk153783938"/>
      <w:bookmarkStart w:id="8" w:name="_Hlk155429210"/>
      <w:r w:rsidRPr="003C633E">
        <w:rPr>
          <w:u w:val="single"/>
        </w:rPr>
        <w:t>Assessment Method and Amount</w:t>
      </w:r>
      <w:r w:rsidRPr="004044DE">
        <w:rPr>
          <w:vertAlign w:val="superscript"/>
        </w:rPr>
        <w:t>*</w:t>
      </w:r>
    </w:p>
    <w:p w14:paraId="7B00AC89" w14:textId="77777777" w:rsidR="00537EC8" w:rsidRPr="00AF1958" w:rsidRDefault="00537EC8" w:rsidP="00537EC8"/>
    <w:tbl>
      <w:tblPr>
        <w:tblW w:w="2450" w:type="pct"/>
        <w:jc w:val="center"/>
        <w:tblCellMar>
          <w:left w:w="0" w:type="dxa"/>
          <w:right w:w="0" w:type="dxa"/>
        </w:tblCellMar>
        <w:tblLook w:val="04A0" w:firstRow="1" w:lastRow="0" w:firstColumn="1" w:lastColumn="0" w:noHBand="0" w:noVBand="1"/>
      </w:tblPr>
      <w:tblGrid>
        <w:gridCol w:w="3243"/>
        <w:gridCol w:w="1605"/>
      </w:tblGrid>
      <w:tr w:rsidR="00537EC8" w:rsidRPr="004A74E6" w14:paraId="0376E048" w14:textId="77777777" w:rsidTr="00103DEE">
        <w:trPr>
          <w:trHeight w:val="300"/>
          <w:jc w:val="center"/>
        </w:trPr>
        <w:tc>
          <w:tcPr>
            <w:tcW w:w="3536" w:type="pct"/>
            <w:noWrap/>
            <w:tcMar>
              <w:top w:w="0" w:type="dxa"/>
              <w:left w:w="115" w:type="dxa"/>
              <w:bottom w:w="0" w:type="dxa"/>
              <w:right w:w="115" w:type="dxa"/>
            </w:tcMar>
            <w:vAlign w:val="center"/>
            <w:hideMark/>
          </w:tcPr>
          <w:p w14:paraId="63E7FBBA" w14:textId="77777777" w:rsidR="00537EC8" w:rsidRPr="0012387B" w:rsidRDefault="00537EC8" w:rsidP="00950EF3">
            <w:pPr>
              <w:rPr>
                <w:sz w:val="22"/>
                <w:szCs w:val="22"/>
              </w:rPr>
            </w:pPr>
            <w:bookmarkStart w:id="9" w:name="_Hlk184899385"/>
            <w:bookmarkStart w:id="10" w:name="_Hlk184900277"/>
            <w:r w:rsidRPr="0012387B">
              <w:rPr>
                <w:b/>
                <w:bCs/>
                <w:sz w:val="22"/>
                <w:szCs w:val="22"/>
              </w:rPr>
              <w:t>Total Assessment</w:t>
            </w:r>
          </w:p>
        </w:tc>
        <w:tc>
          <w:tcPr>
            <w:tcW w:w="1464" w:type="pct"/>
            <w:tcMar>
              <w:top w:w="0" w:type="dxa"/>
              <w:left w:w="115" w:type="dxa"/>
              <w:bottom w:w="0" w:type="dxa"/>
              <w:right w:w="115" w:type="dxa"/>
            </w:tcMar>
            <w:vAlign w:val="center"/>
          </w:tcPr>
          <w:p w14:paraId="55B1076E" w14:textId="49036F00" w:rsidR="00537EC8" w:rsidRPr="0012387B" w:rsidRDefault="00537EC8" w:rsidP="00950EF3">
            <w:pPr>
              <w:rPr>
                <w:sz w:val="22"/>
                <w:szCs w:val="22"/>
              </w:rPr>
            </w:pPr>
            <w:r w:rsidRPr="0012387B">
              <w:rPr>
                <w:sz w:val="22"/>
                <w:szCs w:val="22"/>
              </w:rPr>
              <w:t>$</w:t>
            </w:r>
            <w:r w:rsidR="00B82B09">
              <w:rPr>
                <w:sz w:val="22"/>
                <w:szCs w:val="22"/>
              </w:rPr>
              <w:t>40,000,000</w:t>
            </w:r>
          </w:p>
        </w:tc>
      </w:tr>
      <w:tr w:rsidR="00103DEE" w:rsidRPr="004A74E6" w14:paraId="4BDC57FB" w14:textId="77777777" w:rsidTr="00103DEE">
        <w:trPr>
          <w:trHeight w:val="300"/>
          <w:jc w:val="center"/>
        </w:trPr>
        <w:tc>
          <w:tcPr>
            <w:tcW w:w="3536" w:type="pct"/>
            <w:noWrap/>
            <w:tcMar>
              <w:top w:w="0" w:type="dxa"/>
              <w:left w:w="115" w:type="dxa"/>
              <w:bottom w:w="0" w:type="dxa"/>
              <w:right w:w="115" w:type="dxa"/>
            </w:tcMar>
            <w:vAlign w:val="center"/>
          </w:tcPr>
          <w:p w14:paraId="55B75327" w14:textId="665067CB" w:rsidR="00103DEE" w:rsidRPr="0012387B" w:rsidRDefault="00103DEE" w:rsidP="00950EF3">
            <w:pPr>
              <w:rPr>
                <w:b/>
                <w:bCs/>
                <w:sz w:val="22"/>
                <w:szCs w:val="22"/>
              </w:rPr>
            </w:pPr>
            <w:r>
              <w:rPr>
                <w:b/>
                <w:bCs/>
                <w:sz w:val="22"/>
                <w:szCs w:val="22"/>
              </w:rPr>
              <w:t>Total Series 2024-1 Assessments</w:t>
            </w:r>
          </w:p>
        </w:tc>
        <w:tc>
          <w:tcPr>
            <w:tcW w:w="1464" w:type="pct"/>
            <w:tcMar>
              <w:top w:w="0" w:type="dxa"/>
              <w:left w:w="115" w:type="dxa"/>
              <w:bottom w:w="0" w:type="dxa"/>
              <w:right w:w="115" w:type="dxa"/>
            </w:tcMar>
            <w:vAlign w:val="center"/>
          </w:tcPr>
          <w:p w14:paraId="74FDE8E4" w14:textId="26121871" w:rsidR="00103DEE" w:rsidRPr="0012387B" w:rsidRDefault="00103DEE" w:rsidP="00950EF3">
            <w:pPr>
              <w:rPr>
                <w:sz w:val="22"/>
                <w:szCs w:val="22"/>
              </w:rPr>
            </w:pPr>
            <w:r>
              <w:rPr>
                <w:sz w:val="22"/>
                <w:szCs w:val="22"/>
              </w:rPr>
              <w:t>$19,135,000</w:t>
            </w:r>
          </w:p>
        </w:tc>
      </w:tr>
      <w:tr w:rsidR="00103DEE" w:rsidRPr="00103DEE" w14:paraId="5FAEC4B6" w14:textId="77777777" w:rsidTr="00103DEE">
        <w:trPr>
          <w:trHeight w:val="300"/>
          <w:jc w:val="center"/>
        </w:trPr>
        <w:tc>
          <w:tcPr>
            <w:tcW w:w="3536" w:type="pct"/>
            <w:noWrap/>
            <w:tcMar>
              <w:top w:w="0" w:type="dxa"/>
              <w:left w:w="115" w:type="dxa"/>
              <w:bottom w:w="0" w:type="dxa"/>
              <w:right w:w="115" w:type="dxa"/>
            </w:tcMar>
            <w:vAlign w:val="center"/>
          </w:tcPr>
          <w:p w14:paraId="18E6EBA4" w14:textId="02FCBCFE" w:rsidR="00103DEE" w:rsidRPr="00103DEE" w:rsidRDefault="00103DEE" w:rsidP="00103DEE">
            <w:pPr>
              <w:rPr>
                <w:b/>
                <w:bCs/>
                <w:sz w:val="22"/>
                <w:szCs w:val="22"/>
              </w:rPr>
            </w:pPr>
            <w:r w:rsidRPr="00103DEE">
              <w:rPr>
                <w:b/>
                <w:bCs/>
                <w:sz w:val="22"/>
                <w:szCs w:val="22"/>
              </w:rPr>
              <w:t>Total Series 2024-</w:t>
            </w:r>
            <w:r>
              <w:rPr>
                <w:b/>
                <w:bCs/>
                <w:sz w:val="22"/>
                <w:szCs w:val="22"/>
              </w:rPr>
              <w:t>2</w:t>
            </w:r>
            <w:r w:rsidRPr="00103DEE">
              <w:rPr>
                <w:b/>
                <w:bCs/>
                <w:sz w:val="22"/>
                <w:szCs w:val="22"/>
              </w:rPr>
              <w:t xml:space="preserve"> Assessments</w:t>
            </w:r>
          </w:p>
        </w:tc>
        <w:tc>
          <w:tcPr>
            <w:tcW w:w="1451" w:type="pct"/>
            <w:tcMar>
              <w:top w:w="0" w:type="dxa"/>
              <w:left w:w="115" w:type="dxa"/>
              <w:bottom w:w="0" w:type="dxa"/>
              <w:right w:w="115" w:type="dxa"/>
            </w:tcMar>
            <w:vAlign w:val="center"/>
          </w:tcPr>
          <w:p w14:paraId="6DEAB1AA" w14:textId="2C8445CF" w:rsidR="00103DEE" w:rsidRPr="00103DEE" w:rsidRDefault="00103DEE" w:rsidP="00103DEE">
            <w:pPr>
              <w:rPr>
                <w:sz w:val="22"/>
                <w:szCs w:val="22"/>
              </w:rPr>
            </w:pPr>
            <w:r>
              <w:rPr>
                <w:sz w:val="22"/>
                <w:szCs w:val="22"/>
              </w:rPr>
              <w:t>$20,865,000.00</w:t>
            </w:r>
          </w:p>
        </w:tc>
      </w:tr>
      <w:tr w:rsidR="00537EC8" w:rsidRPr="004A74E6" w14:paraId="15009631" w14:textId="77777777" w:rsidTr="00103DEE">
        <w:trPr>
          <w:trHeight w:val="300"/>
          <w:jc w:val="center"/>
        </w:trPr>
        <w:tc>
          <w:tcPr>
            <w:tcW w:w="3536" w:type="pct"/>
            <w:noWrap/>
            <w:tcMar>
              <w:top w:w="0" w:type="dxa"/>
              <w:left w:w="115" w:type="dxa"/>
              <w:bottom w:w="0" w:type="dxa"/>
              <w:right w:w="115" w:type="dxa"/>
            </w:tcMar>
            <w:vAlign w:val="center"/>
            <w:hideMark/>
          </w:tcPr>
          <w:p w14:paraId="0286CB0E" w14:textId="77777777" w:rsidR="00537EC8" w:rsidRPr="0012387B" w:rsidRDefault="00537EC8" w:rsidP="00950EF3">
            <w:pPr>
              <w:rPr>
                <w:b/>
                <w:bCs/>
                <w:sz w:val="22"/>
                <w:szCs w:val="22"/>
              </w:rPr>
            </w:pPr>
            <w:r w:rsidRPr="0012387B">
              <w:rPr>
                <w:b/>
                <w:bCs/>
                <w:sz w:val="22"/>
                <w:szCs w:val="22"/>
              </w:rPr>
              <w:t>Total ERUs</w:t>
            </w:r>
          </w:p>
        </w:tc>
        <w:tc>
          <w:tcPr>
            <w:tcW w:w="1464" w:type="pct"/>
            <w:tcMar>
              <w:top w:w="0" w:type="dxa"/>
              <w:left w:w="115" w:type="dxa"/>
              <w:bottom w:w="0" w:type="dxa"/>
              <w:right w:w="115" w:type="dxa"/>
            </w:tcMar>
            <w:vAlign w:val="center"/>
          </w:tcPr>
          <w:p w14:paraId="0828819A" w14:textId="216B830B" w:rsidR="00537EC8" w:rsidRPr="0012387B" w:rsidRDefault="00B82B09" w:rsidP="00950EF3">
            <w:pPr>
              <w:rPr>
                <w:sz w:val="22"/>
                <w:szCs w:val="22"/>
              </w:rPr>
            </w:pPr>
            <w:r>
              <w:rPr>
                <w:sz w:val="22"/>
                <w:szCs w:val="22"/>
              </w:rPr>
              <w:t>370.00</w:t>
            </w:r>
          </w:p>
        </w:tc>
      </w:tr>
      <w:tr w:rsidR="00537EC8" w:rsidRPr="004A74E6" w14:paraId="12ADD668" w14:textId="77777777" w:rsidTr="00103DEE">
        <w:trPr>
          <w:trHeight w:val="300"/>
          <w:jc w:val="center"/>
        </w:trPr>
        <w:tc>
          <w:tcPr>
            <w:tcW w:w="3536" w:type="pct"/>
            <w:noWrap/>
            <w:tcMar>
              <w:top w:w="0" w:type="dxa"/>
              <w:left w:w="115" w:type="dxa"/>
              <w:bottom w:w="0" w:type="dxa"/>
              <w:right w:w="115" w:type="dxa"/>
            </w:tcMar>
            <w:vAlign w:val="center"/>
          </w:tcPr>
          <w:p w14:paraId="528E8479" w14:textId="77777777" w:rsidR="00537EC8" w:rsidRPr="0012387B" w:rsidRDefault="00537EC8" w:rsidP="00950EF3">
            <w:pPr>
              <w:rPr>
                <w:b/>
                <w:bCs/>
                <w:sz w:val="22"/>
                <w:szCs w:val="22"/>
              </w:rPr>
            </w:pPr>
            <w:r w:rsidRPr="0012387B">
              <w:rPr>
                <w:b/>
                <w:bCs/>
                <w:sz w:val="22"/>
                <w:szCs w:val="22"/>
              </w:rPr>
              <w:t>Assessment Per ERU</w:t>
            </w:r>
          </w:p>
        </w:tc>
        <w:tc>
          <w:tcPr>
            <w:tcW w:w="1464" w:type="pct"/>
            <w:tcMar>
              <w:top w:w="0" w:type="dxa"/>
              <w:left w:w="115" w:type="dxa"/>
              <w:bottom w:w="0" w:type="dxa"/>
              <w:right w:w="115" w:type="dxa"/>
            </w:tcMar>
            <w:vAlign w:val="center"/>
          </w:tcPr>
          <w:p w14:paraId="407CE6C4" w14:textId="09F69B65" w:rsidR="00537EC8" w:rsidRPr="0012387B" w:rsidRDefault="00B82B09" w:rsidP="00950EF3">
            <w:pPr>
              <w:rPr>
                <w:sz w:val="22"/>
                <w:szCs w:val="22"/>
              </w:rPr>
            </w:pPr>
            <w:r>
              <w:rPr>
                <w:sz w:val="22"/>
                <w:szCs w:val="22"/>
              </w:rPr>
              <w:t>$108,108.11</w:t>
            </w:r>
          </w:p>
        </w:tc>
      </w:tr>
      <w:tr w:rsidR="00B82B09" w:rsidRPr="004A74E6" w14:paraId="4EED0681" w14:textId="77777777" w:rsidTr="00103DEE">
        <w:trPr>
          <w:trHeight w:val="300"/>
          <w:jc w:val="center"/>
        </w:trPr>
        <w:tc>
          <w:tcPr>
            <w:tcW w:w="3536" w:type="pct"/>
            <w:noWrap/>
            <w:tcMar>
              <w:top w:w="0" w:type="dxa"/>
              <w:left w:w="115" w:type="dxa"/>
              <w:bottom w:w="0" w:type="dxa"/>
              <w:right w:w="115" w:type="dxa"/>
            </w:tcMar>
            <w:vAlign w:val="center"/>
          </w:tcPr>
          <w:p w14:paraId="6FD449DD" w14:textId="6FE65648" w:rsidR="00B82B09" w:rsidRPr="0012387B" w:rsidRDefault="00B82B09" w:rsidP="00950EF3">
            <w:pPr>
              <w:rPr>
                <w:b/>
                <w:bCs/>
                <w:sz w:val="22"/>
                <w:szCs w:val="22"/>
              </w:rPr>
            </w:pPr>
            <w:r>
              <w:rPr>
                <w:b/>
                <w:bCs/>
                <w:sz w:val="22"/>
                <w:szCs w:val="22"/>
              </w:rPr>
              <w:t>Parcel ID No.</w:t>
            </w:r>
          </w:p>
        </w:tc>
        <w:tc>
          <w:tcPr>
            <w:tcW w:w="1464" w:type="pct"/>
            <w:tcMar>
              <w:top w:w="0" w:type="dxa"/>
              <w:left w:w="115" w:type="dxa"/>
              <w:bottom w:w="0" w:type="dxa"/>
              <w:right w:w="115" w:type="dxa"/>
            </w:tcMar>
            <w:vAlign w:val="center"/>
          </w:tcPr>
          <w:p w14:paraId="3E228FA2" w14:textId="20BEB796" w:rsidR="00B82B09" w:rsidRDefault="00B82B09" w:rsidP="00950EF3">
            <w:pPr>
              <w:rPr>
                <w:sz w:val="22"/>
                <w:szCs w:val="22"/>
              </w:rPr>
            </w:pPr>
            <w:r w:rsidRPr="00B82B09">
              <w:rPr>
                <w:sz w:val="22"/>
                <w:szCs w:val="22"/>
              </w:rPr>
              <w:t>29:063:0073</w:t>
            </w:r>
          </w:p>
        </w:tc>
      </w:tr>
    </w:tbl>
    <w:p w14:paraId="32070828" w14:textId="77777777" w:rsidR="00537EC8" w:rsidRDefault="00537EC8" w:rsidP="00537EC8">
      <w:pPr>
        <w:rPr>
          <w:sz w:val="20"/>
        </w:rPr>
      </w:pPr>
      <w:bookmarkStart w:id="11" w:name="_Hlk171587009"/>
    </w:p>
    <w:tbl>
      <w:tblPr>
        <w:tblW w:w="10255" w:type="dxa"/>
        <w:jc w:val="center"/>
        <w:tblLook w:val="04A0" w:firstRow="1" w:lastRow="0" w:firstColumn="1" w:lastColumn="0" w:noHBand="0" w:noVBand="1"/>
      </w:tblPr>
      <w:tblGrid>
        <w:gridCol w:w="1345"/>
        <w:gridCol w:w="540"/>
        <w:gridCol w:w="1116"/>
        <w:gridCol w:w="717"/>
        <w:gridCol w:w="1466"/>
        <w:gridCol w:w="1324"/>
        <w:gridCol w:w="1466"/>
        <w:gridCol w:w="1414"/>
        <w:gridCol w:w="1466"/>
      </w:tblGrid>
      <w:tr w:rsidR="00103DEE" w:rsidRPr="00103DEE" w14:paraId="7A5D9E34" w14:textId="77777777" w:rsidTr="00A52300">
        <w:trPr>
          <w:trHeight w:val="287"/>
          <w:jc w:val="center"/>
        </w:trPr>
        <w:tc>
          <w:tcPr>
            <w:tcW w:w="5184" w:type="dxa"/>
            <w:gridSpan w:val="5"/>
            <w:tcBorders>
              <w:top w:val="single" w:sz="4" w:space="0" w:color="auto"/>
              <w:left w:val="single" w:sz="4" w:space="0" w:color="auto"/>
              <w:bottom w:val="nil"/>
              <w:right w:val="single" w:sz="4" w:space="0" w:color="auto"/>
            </w:tcBorders>
            <w:shd w:val="clear" w:color="auto" w:fill="auto"/>
            <w:noWrap/>
            <w:vAlign w:val="bottom"/>
          </w:tcPr>
          <w:p w14:paraId="1D2F46D5" w14:textId="51319725" w:rsidR="00103DEE" w:rsidRPr="00103DEE" w:rsidRDefault="00103DEE" w:rsidP="00103DEE">
            <w:pPr>
              <w:jc w:val="center"/>
              <w:rPr>
                <w:b/>
                <w:bCs/>
                <w:color w:val="000000"/>
                <w:sz w:val="20"/>
                <w:szCs w:val="20"/>
              </w:rPr>
            </w:pPr>
            <w:r w:rsidRPr="00103DEE">
              <w:rPr>
                <w:b/>
                <w:bCs/>
                <w:color w:val="000000"/>
                <w:sz w:val="20"/>
                <w:szCs w:val="20"/>
              </w:rPr>
              <w:t>Aggregate Assessments</w:t>
            </w:r>
          </w:p>
        </w:tc>
        <w:tc>
          <w:tcPr>
            <w:tcW w:w="2790" w:type="dxa"/>
            <w:gridSpan w:val="2"/>
            <w:tcBorders>
              <w:top w:val="single" w:sz="4" w:space="0" w:color="auto"/>
              <w:left w:val="single" w:sz="4" w:space="0" w:color="auto"/>
              <w:bottom w:val="nil"/>
              <w:right w:val="single" w:sz="4" w:space="0" w:color="auto"/>
            </w:tcBorders>
            <w:shd w:val="clear" w:color="auto" w:fill="auto"/>
            <w:vAlign w:val="bottom"/>
          </w:tcPr>
          <w:p w14:paraId="274680D7" w14:textId="6233E9A9" w:rsidR="00103DEE" w:rsidRPr="00103DEE" w:rsidRDefault="00103DEE" w:rsidP="00103DEE">
            <w:pPr>
              <w:jc w:val="center"/>
              <w:rPr>
                <w:b/>
                <w:bCs/>
                <w:color w:val="000000"/>
                <w:sz w:val="20"/>
                <w:szCs w:val="20"/>
              </w:rPr>
            </w:pPr>
            <w:r w:rsidRPr="00103DEE">
              <w:rPr>
                <w:b/>
                <w:bCs/>
                <w:color w:val="000000"/>
                <w:sz w:val="20"/>
                <w:szCs w:val="20"/>
              </w:rPr>
              <w:t>Series 2024-1 Assessments</w:t>
            </w:r>
          </w:p>
        </w:tc>
        <w:tc>
          <w:tcPr>
            <w:tcW w:w="2281" w:type="dxa"/>
            <w:gridSpan w:val="2"/>
            <w:tcBorders>
              <w:top w:val="single" w:sz="4" w:space="0" w:color="auto"/>
              <w:left w:val="single" w:sz="4" w:space="0" w:color="auto"/>
              <w:bottom w:val="nil"/>
              <w:right w:val="single" w:sz="4" w:space="0" w:color="auto"/>
            </w:tcBorders>
            <w:shd w:val="clear" w:color="auto" w:fill="auto"/>
            <w:vAlign w:val="bottom"/>
          </w:tcPr>
          <w:p w14:paraId="0C783388" w14:textId="7F650FF4" w:rsidR="00103DEE" w:rsidRPr="00103DEE" w:rsidRDefault="00103DEE" w:rsidP="00103DEE">
            <w:pPr>
              <w:jc w:val="center"/>
              <w:rPr>
                <w:b/>
                <w:bCs/>
                <w:color w:val="000000"/>
                <w:sz w:val="20"/>
                <w:szCs w:val="20"/>
              </w:rPr>
            </w:pPr>
            <w:r w:rsidRPr="00103DEE">
              <w:rPr>
                <w:b/>
                <w:bCs/>
                <w:color w:val="000000"/>
                <w:sz w:val="20"/>
                <w:szCs w:val="20"/>
              </w:rPr>
              <w:t>Series 2024-2 Assessments</w:t>
            </w:r>
          </w:p>
        </w:tc>
      </w:tr>
      <w:bookmarkEnd w:id="11"/>
      <w:tr w:rsidR="00103DEE" w:rsidRPr="00103DEE" w14:paraId="43DB6B3A" w14:textId="77777777" w:rsidTr="00A52300">
        <w:trPr>
          <w:trHeight w:val="1215"/>
          <w:jc w:val="center"/>
        </w:trPr>
        <w:tc>
          <w:tcPr>
            <w:tcW w:w="1345" w:type="dxa"/>
            <w:tcBorders>
              <w:top w:val="nil"/>
              <w:left w:val="single" w:sz="4" w:space="0" w:color="auto"/>
              <w:bottom w:val="nil"/>
              <w:right w:val="nil"/>
            </w:tcBorders>
            <w:shd w:val="clear" w:color="auto" w:fill="auto"/>
            <w:noWrap/>
            <w:vAlign w:val="bottom"/>
            <w:hideMark/>
          </w:tcPr>
          <w:p w14:paraId="147A142A" w14:textId="67FE01BB" w:rsidR="00B82B09" w:rsidRPr="00103DEE" w:rsidRDefault="00AE31E5" w:rsidP="00103DEE">
            <w:pPr>
              <w:jc w:val="center"/>
              <w:rPr>
                <w:b/>
                <w:bCs/>
                <w:color w:val="000000"/>
                <w:sz w:val="20"/>
                <w:szCs w:val="20"/>
              </w:rPr>
            </w:pPr>
            <w:r w:rsidRPr="00103DEE">
              <w:rPr>
                <w:b/>
                <w:bCs/>
                <w:color w:val="000000"/>
                <w:sz w:val="20"/>
                <w:szCs w:val="20"/>
              </w:rPr>
              <w:t>Lot</w:t>
            </w:r>
            <w:r w:rsidR="00B82B09" w:rsidRPr="00103DEE">
              <w:rPr>
                <w:b/>
                <w:bCs/>
                <w:color w:val="000000"/>
                <w:sz w:val="20"/>
                <w:szCs w:val="20"/>
              </w:rPr>
              <w:t xml:space="preserve"> Type</w:t>
            </w:r>
          </w:p>
        </w:tc>
        <w:tc>
          <w:tcPr>
            <w:tcW w:w="540" w:type="dxa"/>
            <w:tcBorders>
              <w:top w:val="nil"/>
              <w:left w:val="nil"/>
              <w:bottom w:val="nil"/>
              <w:right w:val="nil"/>
            </w:tcBorders>
            <w:shd w:val="clear" w:color="auto" w:fill="auto"/>
            <w:noWrap/>
            <w:vAlign w:val="bottom"/>
            <w:hideMark/>
          </w:tcPr>
          <w:p w14:paraId="663B171E" w14:textId="282044B7" w:rsidR="00B82B09" w:rsidRPr="00103DEE" w:rsidRDefault="00AE31E5" w:rsidP="00103DEE">
            <w:pPr>
              <w:jc w:val="center"/>
              <w:rPr>
                <w:b/>
                <w:bCs/>
                <w:color w:val="000000"/>
                <w:sz w:val="20"/>
                <w:szCs w:val="20"/>
              </w:rPr>
            </w:pPr>
            <w:r w:rsidRPr="00103DEE">
              <w:rPr>
                <w:b/>
                <w:bCs/>
                <w:color w:val="000000"/>
                <w:sz w:val="20"/>
                <w:szCs w:val="20"/>
              </w:rPr>
              <w:t>No.</w:t>
            </w:r>
          </w:p>
        </w:tc>
        <w:tc>
          <w:tcPr>
            <w:tcW w:w="1116" w:type="dxa"/>
            <w:tcBorders>
              <w:top w:val="nil"/>
              <w:left w:val="nil"/>
              <w:bottom w:val="nil"/>
              <w:right w:val="nil"/>
            </w:tcBorders>
            <w:shd w:val="clear" w:color="auto" w:fill="auto"/>
            <w:noWrap/>
            <w:vAlign w:val="bottom"/>
            <w:hideMark/>
          </w:tcPr>
          <w:p w14:paraId="03F2CEB7" w14:textId="77777777" w:rsidR="00B82B09" w:rsidRPr="00103DEE" w:rsidRDefault="00B82B09" w:rsidP="00103DEE">
            <w:pPr>
              <w:jc w:val="center"/>
              <w:rPr>
                <w:b/>
                <w:bCs/>
                <w:color w:val="000000"/>
                <w:sz w:val="20"/>
                <w:szCs w:val="20"/>
              </w:rPr>
            </w:pPr>
            <w:r w:rsidRPr="00103DEE">
              <w:rPr>
                <w:b/>
                <w:bCs/>
                <w:color w:val="000000"/>
                <w:sz w:val="20"/>
                <w:szCs w:val="20"/>
              </w:rPr>
              <w:t>Initial Lien/Lot</w:t>
            </w:r>
          </w:p>
        </w:tc>
        <w:tc>
          <w:tcPr>
            <w:tcW w:w="717" w:type="dxa"/>
            <w:tcBorders>
              <w:top w:val="nil"/>
              <w:left w:val="nil"/>
              <w:bottom w:val="nil"/>
              <w:right w:val="nil"/>
            </w:tcBorders>
            <w:shd w:val="clear" w:color="auto" w:fill="auto"/>
            <w:noWrap/>
            <w:vAlign w:val="bottom"/>
            <w:hideMark/>
          </w:tcPr>
          <w:p w14:paraId="14F0FCC7" w14:textId="77777777" w:rsidR="00B82B09" w:rsidRPr="00103DEE" w:rsidRDefault="00B82B09" w:rsidP="00103DEE">
            <w:pPr>
              <w:jc w:val="center"/>
              <w:rPr>
                <w:b/>
                <w:bCs/>
                <w:color w:val="000000"/>
                <w:sz w:val="20"/>
                <w:szCs w:val="20"/>
              </w:rPr>
            </w:pPr>
            <w:r w:rsidRPr="00103DEE">
              <w:rPr>
                <w:b/>
                <w:bCs/>
                <w:color w:val="000000"/>
                <w:sz w:val="20"/>
                <w:szCs w:val="20"/>
              </w:rPr>
              <w:t>ERUs Per Unit</w:t>
            </w:r>
          </w:p>
        </w:tc>
        <w:tc>
          <w:tcPr>
            <w:tcW w:w="1466" w:type="dxa"/>
            <w:tcBorders>
              <w:top w:val="nil"/>
              <w:left w:val="nil"/>
              <w:bottom w:val="nil"/>
              <w:right w:val="single" w:sz="4" w:space="0" w:color="auto"/>
            </w:tcBorders>
            <w:shd w:val="clear" w:color="auto" w:fill="auto"/>
            <w:noWrap/>
            <w:vAlign w:val="bottom"/>
            <w:hideMark/>
          </w:tcPr>
          <w:p w14:paraId="7C1E1DE7" w14:textId="77777777" w:rsidR="00B82B09" w:rsidRPr="00103DEE" w:rsidRDefault="00B82B09" w:rsidP="00103DEE">
            <w:pPr>
              <w:jc w:val="center"/>
              <w:rPr>
                <w:b/>
                <w:bCs/>
                <w:color w:val="000000"/>
                <w:sz w:val="20"/>
                <w:szCs w:val="20"/>
              </w:rPr>
            </w:pPr>
            <w:r w:rsidRPr="00103DEE">
              <w:rPr>
                <w:b/>
                <w:bCs/>
                <w:color w:val="000000"/>
                <w:sz w:val="20"/>
                <w:szCs w:val="20"/>
              </w:rPr>
              <w:t>Total Assessment per Lot Type</w:t>
            </w:r>
          </w:p>
        </w:tc>
        <w:tc>
          <w:tcPr>
            <w:tcW w:w="1324" w:type="dxa"/>
            <w:tcBorders>
              <w:top w:val="nil"/>
              <w:left w:val="single" w:sz="4" w:space="0" w:color="auto"/>
              <w:bottom w:val="nil"/>
              <w:right w:val="nil"/>
            </w:tcBorders>
            <w:shd w:val="clear" w:color="auto" w:fill="auto"/>
            <w:vAlign w:val="bottom"/>
            <w:hideMark/>
          </w:tcPr>
          <w:p w14:paraId="2A6E2F4A" w14:textId="78F8DD8B" w:rsidR="00B82B09" w:rsidRPr="00103DEE" w:rsidRDefault="00B82B09" w:rsidP="00103DEE">
            <w:pPr>
              <w:jc w:val="center"/>
              <w:rPr>
                <w:b/>
                <w:bCs/>
                <w:color w:val="000000"/>
                <w:sz w:val="20"/>
                <w:szCs w:val="20"/>
              </w:rPr>
            </w:pPr>
            <w:r w:rsidRPr="00103DEE">
              <w:rPr>
                <w:b/>
                <w:bCs/>
                <w:color w:val="000000"/>
                <w:sz w:val="20"/>
                <w:szCs w:val="20"/>
              </w:rPr>
              <w:t>Required Prepayment on Conveyance</w:t>
            </w:r>
          </w:p>
        </w:tc>
        <w:tc>
          <w:tcPr>
            <w:tcW w:w="1466" w:type="dxa"/>
            <w:tcBorders>
              <w:top w:val="nil"/>
              <w:left w:val="nil"/>
              <w:bottom w:val="nil"/>
              <w:right w:val="single" w:sz="4" w:space="0" w:color="auto"/>
            </w:tcBorders>
            <w:shd w:val="clear" w:color="auto" w:fill="auto"/>
            <w:vAlign w:val="bottom"/>
            <w:hideMark/>
          </w:tcPr>
          <w:p w14:paraId="6018F3D6" w14:textId="77777777" w:rsidR="00B82B09" w:rsidRPr="00103DEE" w:rsidRDefault="00B82B09" w:rsidP="00103DEE">
            <w:pPr>
              <w:jc w:val="center"/>
              <w:rPr>
                <w:b/>
                <w:bCs/>
                <w:color w:val="000000"/>
                <w:sz w:val="20"/>
                <w:szCs w:val="20"/>
              </w:rPr>
            </w:pPr>
            <w:r w:rsidRPr="00103DEE">
              <w:rPr>
                <w:b/>
                <w:bCs/>
                <w:color w:val="000000"/>
                <w:sz w:val="20"/>
                <w:szCs w:val="20"/>
              </w:rPr>
              <w:t>Total Assessment Prepaid on Conveyance</w:t>
            </w:r>
          </w:p>
        </w:tc>
        <w:tc>
          <w:tcPr>
            <w:tcW w:w="1414" w:type="dxa"/>
            <w:tcBorders>
              <w:top w:val="nil"/>
              <w:left w:val="single" w:sz="4" w:space="0" w:color="auto"/>
              <w:bottom w:val="nil"/>
              <w:right w:val="nil"/>
            </w:tcBorders>
            <w:shd w:val="clear" w:color="auto" w:fill="auto"/>
            <w:vAlign w:val="bottom"/>
            <w:hideMark/>
          </w:tcPr>
          <w:p w14:paraId="384F3D4C" w14:textId="7E581F1E" w:rsidR="00B82B09" w:rsidRPr="00103DEE" w:rsidRDefault="00B82B09" w:rsidP="00103DEE">
            <w:pPr>
              <w:jc w:val="center"/>
              <w:rPr>
                <w:b/>
                <w:bCs/>
                <w:color w:val="000000"/>
                <w:sz w:val="20"/>
                <w:szCs w:val="20"/>
              </w:rPr>
            </w:pPr>
            <w:r w:rsidRPr="00103DEE">
              <w:rPr>
                <w:b/>
                <w:bCs/>
                <w:color w:val="000000"/>
                <w:sz w:val="20"/>
                <w:szCs w:val="20"/>
              </w:rPr>
              <w:t>Permitted Lien/Lot after Conveyance</w:t>
            </w:r>
          </w:p>
        </w:tc>
        <w:tc>
          <w:tcPr>
            <w:tcW w:w="867" w:type="dxa"/>
            <w:tcBorders>
              <w:top w:val="nil"/>
              <w:left w:val="nil"/>
              <w:bottom w:val="nil"/>
              <w:right w:val="single" w:sz="4" w:space="0" w:color="auto"/>
            </w:tcBorders>
            <w:shd w:val="clear" w:color="auto" w:fill="auto"/>
            <w:vAlign w:val="bottom"/>
            <w:hideMark/>
          </w:tcPr>
          <w:p w14:paraId="52EF5D4E" w14:textId="60BAC239" w:rsidR="00B82B09" w:rsidRPr="00103DEE" w:rsidRDefault="00B82B09" w:rsidP="00103DEE">
            <w:pPr>
              <w:jc w:val="center"/>
              <w:rPr>
                <w:b/>
                <w:bCs/>
                <w:color w:val="000000"/>
                <w:sz w:val="20"/>
                <w:szCs w:val="20"/>
              </w:rPr>
            </w:pPr>
            <w:r w:rsidRPr="00103DEE">
              <w:rPr>
                <w:b/>
                <w:bCs/>
                <w:color w:val="000000"/>
                <w:sz w:val="20"/>
                <w:szCs w:val="20"/>
              </w:rPr>
              <w:t xml:space="preserve">Total Assessment </w:t>
            </w:r>
            <w:r w:rsidR="00A52300">
              <w:rPr>
                <w:b/>
                <w:bCs/>
                <w:color w:val="000000"/>
                <w:sz w:val="20"/>
                <w:szCs w:val="20"/>
              </w:rPr>
              <w:t xml:space="preserve">Remaining </w:t>
            </w:r>
            <w:r w:rsidRPr="00103DEE">
              <w:rPr>
                <w:b/>
                <w:bCs/>
                <w:color w:val="000000"/>
                <w:sz w:val="20"/>
                <w:szCs w:val="20"/>
              </w:rPr>
              <w:t>After Conveyance</w:t>
            </w:r>
          </w:p>
        </w:tc>
      </w:tr>
      <w:tr w:rsidR="00103DEE" w:rsidRPr="00103DEE" w14:paraId="22864570" w14:textId="77777777" w:rsidTr="00A52300">
        <w:trPr>
          <w:trHeight w:val="300"/>
          <w:jc w:val="center"/>
        </w:trPr>
        <w:tc>
          <w:tcPr>
            <w:tcW w:w="1345" w:type="dxa"/>
            <w:tcBorders>
              <w:top w:val="nil"/>
              <w:left w:val="single" w:sz="4" w:space="0" w:color="auto"/>
              <w:bottom w:val="nil"/>
              <w:right w:val="nil"/>
            </w:tcBorders>
            <w:shd w:val="clear" w:color="auto" w:fill="auto"/>
            <w:noWrap/>
            <w:vAlign w:val="bottom"/>
            <w:hideMark/>
          </w:tcPr>
          <w:p w14:paraId="53AD6D81" w14:textId="77777777" w:rsidR="00D0059B" w:rsidRPr="00103DEE" w:rsidRDefault="00D0059B" w:rsidP="00103DEE">
            <w:pPr>
              <w:jc w:val="center"/>
              <w:rPr>
                <w:color w:val="000000"/>
                <w:sz w:val="20"/>
                <w:szCs w:val="20"/>
              </w:rPr>
            </w:pPr>
            <w:r w:rsidRPr="00103DEE">
              <w:rPr>
                <w:color w:val="000000"/>
                <w:sz w:val="20"/>
                <w:szCs w:val="20"/>
              </w:rPr>
              <w:t>Basic Lot</w:t>
            </w:r>
          </w:p>
        </w:tc>
        <w:tc>
          <w:tcPr>
            <w:tcW w:w="540" w:type="dxa"/>
            <w:tcBorders>
              <w:top w:val="nil"/>
              <w:left w:val="nil"/>
              <w:bottom w:val="nil"/>
              <w:right w:val="nil"/>
            </w:tcBorders>
            <w:shd w:val="clear" w:color="auto" w:fill="auto"/>
            <w:noWrap/>
            <w:vAlign w:val="bottom"/>
            <w:hideMark/>
          </w:tcPr>
          <w:p w14:paraId="4F389491" w14:textId="77777777" w:rsidR="00D0059B" w:rsidRPr="00103DEE" w:rsidRDefault="00D0059B" w:rsidP="00103DEE">
            <w:pPr>
              <w:jc w:val="center"/>
              <w:rPr>
                <w:color w:val="000000"/>
                <w:sz w:val="20"/>
                <w:szCs w:val="20"/>
              </w:rPr>
            </w:pPr>
            <w:r w:rsidRPr="00103DEE">
              <w:rPr>
                <w:color w:val="000000"/>
                <w:sz w:val="20"/>
                <w:szCs w:val="20"/>
              </w:rPr>
              <w:t>182</w:t>
            </w:r>
          </w:p>
        </w:tc>
        <w:tc>
          <w:tcPr>
            <w:tcW w:w="1116" w:type="dxa"/>
            <w:tcBorders>
              <w:top w:val="nil"/>
              <w:left w:val="nil"/>
              <w:bottom w:val="nil"/>
              <w:right w:val="nil"/>
            </w:tcBorders>
            <w:shd w:val="clear" w:color="auto" w:fill="auto"/>
            <w:noWrap/>
            <w:vAlign w:val="bottom"/>
            <w:hideMark/>
          </w:tcPr>
          <w:p w14:paraId="48A85EE2" w14:textId="3612570D" w:rsidR="00D0059B" w:rsidRPr="00103DEE" w:rsidRDefault="00D0059B" w:rsidP="00103DEE">
            <w:pPr>
              <w:jc w:val="center"/>
              <w:rPr>
                <w:color w:val="000000"/>
                <w:sz w:val="20"/>
                <w:szCs w:val="20"/>
              </w:rPr>
            </w:pPr>
            <w:r w:rsidRPr="00103DEE">
              <w:rPr>
                <w:color w:val="000000"/>
                <w:sz w:val="20"/>
                <w:szCs w:val="20"/>
              </w:rPr>
              <w:t>$</w:t>
            </w:r>
            <w:r w:rsidRPr="00103DEE">
              <w:rPr>
                <w:color w:val="000000"/>
                <w:sz w:val="20"/>
                <w:szCs w:val="20"/>
              </w:rPr>
              <w:t>40,372.98</w:t>
            </w:r>
          </w:p>
        </w:tc>
        <w:tc>
          <w:tcPr>
            <w:tcW w:w="717" w:type="dxa"/>
            <w:tcBorders>
              <w:top w:val="nil"/>
              <w:left w:val="nil"/>
              <w:bottom w:val="nil"/>
              <w:right w:val="nil"/>
            </w:tcBorders>
            <w:shd w:val="clear" w:color="auto" w:fill="auto"/>
            <w:noWrap/>
            <w:vAlign w:val="bottom"/>
            <w:hideMark/>
          </w:tcPr>
          <w:p w14:paraId="7E4CE6A1" w14:textId="77777777" w:rsidR="00D0059B" w:rsidRPr="00103DEE" w:rsidRDefault="00D0059B" w:rsidP="00103DEE">
            <w:pPr>
              <w:jc w:val="center"/>
              <w:rPr>
                <w:color w:val="000000"/>
                <w:sz w:val="20"/>
                <w:szCs w:val="20"/>
              </w:rPr>
            </w:pPr>
            <w:r w:rsidRPr="00103DEE">
              <w:rPr>
                <w:color w:val="000000"/>
                <w:sz w:val="20"/>
                <w:szCs w:val="20"/>
              </w:rPr>
              <w:t>0.37</w:t>
            </w:r>
          </w:p>
        </w:tc>
        <w:tc>
          <w:tcPr>
            <w:tcW w:w="1466" w:type="dxa"/>
            <w:tcBorders>
              <w:top w:val="nil"/>
              <w:left w:val="nil"/>
              <w:bottom w:val="nil"/>
              <w:right w:val="single" w:sz="4" w:space="0" w:color="auto"/>
            </w:tcBorders>
            <w:shd w:val="clear" w:color="auto" w:fill="auto"/>
            <w:noWrap/>
            <w:vAlign w:val="bottom"/>
            <w:hideMark/>
          </w:tcPr>
          <w:p w14:paraId="6738A938" w14:textId="549507A7" w:rsidR="00D0059B" w:rsidRPr="00103DEE" w:rsidRDefault="00D0059B" w:rsidP="00103DEE">
            <w:pPr>
              <w:jc w:val="center"/>
              <w:rPr>
                <w:color w:val="000000"/>
                <w:sz w:val="20"/>
                <w:szCs w:val="20"/>
              </w:rPr>
            </w:pPr>
            <w:r w:rsidRPr="00103DEE">
              <w:rPr>
                <w:sz w:val="20"/>
                <w:szCs w:val="20"/>
              </w:rPr>
              <w:t>$7,347,882.30</w:t>
            </w:r>
          </w:p>
        </w:tc>
        <w:tc>
          <w:tcPr>
            <w:tcW w:w="1324" w:type="dxa"/>
            <w:tcBorders>
              <w:top w:val="nil"/>
              <w:left w:val="single" w:sz="4" w:space="0" w:color="auto"/>
              <w:bottom w:val="nil"/>
              <w:right w:val="nil"/>
            </w:tcBorders>
            <w:shd w:val="clear" w:color="auto" w:fill="auto"/>
            <w:noWrap/>
            <w:vAlign w:val="bottom"/>
            <w:hideMark/>
          </w:tcPr>
          <w:p w14:paraId="03C0B791" w14:textId="78A26995" w:rsidR="00D0059B" w:rsidRPr="00103DEE" w:rsidRDefault="00D0059B" w:rsidP="00103DEE">
            <w:pPr>
              <w:jc w:val="center"/>
              <w:rPr>
                <w:color w:val="000000"/>
                <w:sz w:val="20"/>
                <w:szCs w:val="20"/>
              </w:rPr>
            </w:pPr>
            <w:r w:rsidRPr="00103DEE">
              <w:rPr>
                <w:color w:val="000000"/>
                <w:sz w:val="20"/>
                <w:szCs w:val="20"/>
              </w:rPr>
              <w:t>$</w:t>
            </w:r>
            <w:r w:rsidRPr="00103DEE">
              <w:rPr>
                <w:color w:val="000000"/>
                <w:sz w:val="20"/>
                <w:szCs w:val="20"/>
              </w:rPr>
              <w:t>20,188.18</w:t>
            </w:r>
          </w:p>
        </w:tc>
        <w:tc>
          <w:tcPr>
            <w:tcW w:w="1466" w:type="dxa"/>
            <w:tcBorders>
              <w:top w:val="nil"/>
              <w:left w:val="nil"/>
              <w:bottom w:val="nil"/>
              <w:right w:val="single" w:sz="4" w:space="0" w:color="auto"/>
            </w:tcBorders>
            <w:shd w:val="clear" w:color="auto" w:fill="auto"/>
            <w:noWrap/>
            <w:vAlign w:val="bottom"/>
            <w:hideMark/>
          </w:tcPr>
          <w:p w14:paraId="134EF093" w14:textId="7588DBB2" w:rsidR="00D0059B" w:rsidRPr="00103DEE" w:rsidRDefault="00D0059B" w:rsidP="00103DEE">
            <w:pPr>
              <w:jc w:val="center"/>
              <w:rPr>
                <w:color w:val="000000"/>
                <w:sz w:val="20"/>
                <w:szCs w:val="20"/>
              </w:rPr>
            </w:pPr>
            <w:r w:rsidRPr="00103DEE">
              <w:rPr>
                <w:color w:val="000000"/>
                <w:sz w:val="20"/>
                <w:szCs w:val="20"/>
              </w:rPr>
              <w:t>$3,674,249</w:t>
            </w:r>
          </w:p>
        </w:tc>
        <w:tc>
          <w:tcPr>
            <w:tcW w:w="1414" w:type="dxa"/>
            <w:tcBorders>
              <w:top w:val="nil"/>
              <w:left w:val="single" w:sz="4" w:space="0" w:color="auto"/>
              <w:bottom w:val="nil"/>
              <w:right w:val="nil"/>
            </w:tcBorders>
            <w:shd w:val="clear" w:color="auto" w:fill="auto"/>
            <w:vAlign w:val="bottom"/>
            <w:hideMark/>
          </w:tcPr>
          <w:p w14:paraId="566FE209" w14:textId="1E612E62" w:rsidR="00D0059B" w:rsidRPr="00103DEE" w:rsidRDefault="00D0059B" w:rsidP="00103DEE">
            <w:pPr>
              <w:jc w:val="center"/>
              <w:rPr>
                <w:color w:val="000000"/>
                <w:sz w:val="20"/>
                <w:szCs w:val="20"/>
              </w:rPr>
            </w:pPr>
            <w:r w:rsidRPr="00103DEE">
              <w:rPr>
                <w:color w:val="000000"/>
                <w:sz w:val="20"/>
                <w:szCs w:val="20"/>
              </w:rPr>
              <w:t>$20,184.80</w:t>
            </w:r>
          </w:p>
        </w:tc>
        <w:tc>
          <w:tcPr>
            <w:tcW w:w="867" w:type="dxa"/>
            <w:tcBorders>
              <w:top w:val="nil"/>
              <w:left w:val="nil"/>
              <w:bottom w:val="nil"/>
              <w:right w:val="single" w:sz="4" w:space="0" w:color="auto"/>
            </w:tcBorders>
            <w:shd w:val="clear" w:color="auto" w:fill="auto"/>
            <w:noWrap/>
            <w:vAlign w:val="bottom"/>
            <w:hideMark/>
          </w:tcPr>
          <w:p w14:paraId="1D3F5AAC" w14:textId="113D1CAD" w:rsidR="00D0059B" w:rsidRPr="00103DEE" w:rsidRDefault="00D0059B" w:rsidP="00103DEE">
            <w:pPr>
              <w:jc w:val="center"/>
              <w:rPr>
                <w:color w:val="000000"/>
                <w:sz w:val="20"/>
                <w:szCs w:val="20"/>
              </w:rPr>
            </w:pPr>
            <w:r w:rsidRPr="00103DEE">
              <w:rPr>
                <w:color w:val="000000"/>
                <w:sz w:val="20"/>
                <w:szCs w:val="20"/>
              </w:rPr>
              <w:t>$3,673,633.80</w:t>
            </w:r>
          </w:p>
        </w:tc>
      </w:tr>
      <w:tr w:rsidR="00103DEE" w:rsidRPr="00103DEE" w14:paraId="75C8D014" w14:textId="77777777" w:rsidTr="00A52300">
        <w:trPr>
          <w:trHeight w:val="300"/>
          <w:jc w:val="center"/>
        </w:trPr>
        <w:tc>
          <w:tcPr>
            <w:tcW w:w="1345" w:type="dxa"/>
            <w:tcBorders>
              <w:top w:val="nil"/>
              <w:left w:val="single" w:sz="4" w:space="0" w:color="auto"/>
              <w:right w:val="nil"/>
            </w:tcBorders>
            <w:shd w:val="clear" w:color="auto" w:fill="auto"/>
            <w:noWrap/>
            <w:vAlign w:val="bottom"/>
            <w:hideMark/>
          </w:tcPr>
          <w:p w14:paraId="1422A212" w14:textId="77777777" w:rsidR="00D0059B" w:rsidRPr="00103DEE" w:rsidRDefault="00D0059B" w:rsidP="00103DEE">
            <w:pPr>
              <w:jc w:val="center"/>
              <w:rPr>
                <w:color w:val="000000"/>
                <w:sz w:val="20"/>
                <w:szCs w:val="20"/>
              </w:rPr>
            </w:pPr>
            <w:r w:rsidRPr="00103DEE">
              <w:rPr>
                <w:color w:val="000000"/>
                <w:sz w:val="20"/>
                <w:szCs w:val="20"/>
              </w:rPr>
              <w:t>Premium Lot</w:t>
            </w:r>
          </w:p>
        </w:tc>
        <w:tc>
          <w:tcPr>
            <w:tcW w:w="540" w:type="dxa"/>
            <w:tcBorders>
              <w:top w:val="nil"/>
              <w:left w:val="nil"/>
              <w:right w:val="nil"/>
            </w:tcBorders>
            <w:shd w:val="clear" w:color="auto" w:fill="auto"/>
            <w:noWrap/>
            <w:vAlign w:val="bottom"/>
            <w:hideMark/>
          </w:tcPr>
          <w:p w14:paraId="7A40CC58" w14:textId="77777777" w:rsidR="00D0059B" w:rsidRPr="00103DEE" w:rsidRDefault="00D0059B" w:rsidP="00103DEE">
            <w:pPr>
              <w:jc w:val="center"/>
              <w:rPr>
                <w:color w:val="000000"/>
                <w:sz w:val="20"/>
                <w:szCs w:val="20"/>
              </w:rPr>
            </w:pPr>
            <w:r w:rsidRPr="00103DEE">
              <w:rPr>
                <w:color w:val="000000"/>
                <w:sz w:val="20"/>
                <w:szCs w:val="20"/>
              </w:rPr>
              <w:t>143</w:t>
            </w:r>
          </w:p>
        </w:tc>
        <w:tc>
          <w:tcPr>
            <w:tcW w:w="1116" w:type="dxa"/>
            <w:tcBorders>
              <w:top w:val="nil"/>
              <w:left w:val="nil"/>
              <w:right w:val="nil"/>
            </w:tcBorders>
            <w:shd w:val="clear" w:color="auto" w:fill="auto"/>
            <w:noWrap/>
            <w:vAlign w:val="bottom"/>
            <w:hideMark/>
          </w:tcPr>
          <w:p w14:paraId="22EC35FF" w14:textId="7081DFBA" w:rsidR="00D0059B" w:rsidRPr="00103DEE" w:rsidRDefault="00D0059B" w:rsidP="00103DEE">
            <w:pPr>
              <w:jc w:val="center"/>
              <w:rPr>
                <w:color w:val="000000"/>
                <w:sz w:val="20"/>
                <w:szCs w:val="20"/>
              </w:rPr>
            </w:pPr>
            <w:r w:rsidRPr="00103DEE">
              <w:rPr>
                <w:color w:val="000000"/>
                <w:sz w:val="20"/>
                <w:szCs w:val="20"/>
              </w:rPr>
              <w:t>216,216.20</w:t>
            </w:r>
          </w:p>
        </w:tc>
        <w:tc>
          <w:tcPr>
            <w:tcW w:w="717" w:type="dxa"/>
            <w:tcBorders>
              <w:top w:val="nil"/>
              <w:left w:val="nil"/>
              <w:right w:val="nil"/>
            </w:tcBorders>
            <w:shd w:val="clear" w:color="auto" w:fill="auto"/>
            <w:noWrap/>
            <w:vAlign w:val="bottom"/>
            <w:hideMark/>
          </w:tcPr>
          <w:p w14:paraId="5AE02C03" w14:textId="77777777" w:rsidR="00D0059B" w:rsidRPr="00103DEE" w:rsidRDefault="00D0059B" w:rsidP="00103DEE">
            <w:pPr>
              <w:jc w:val="center"/>
              <w:rPr>
                <w:color w:val="000000"/>
                <w:sz w:val="20"/>
                <w:szCs w:val="20"/>
              </w:rPr>
            </w:pPr>
            <w:r w:rsidRPr="00103DEE">
              <w:rPr>
                <w:color w:val="000000"/>
                <w:sz w:val="20"/>
                <w:szCs w:val="20"/>
              </w:rPr>
              <w:t>2.00</w:t>
            </w:r>
          </w:p>
        </w:tc>
        <w:tc>
          <w:tcPr>
            <w:tcW w:w="1466" w:type="dxa"/>
            <w:tcBorders>
              <w:top w:val="nil"/>
              <w:left w:val="nil"/>
              <w:right w:val="single" w:sz="4" w:space="0" w:color="auto"/>
            </w:tcBorders>
            <w:shd w:val="clear" w:color="auto" w:fill="auto"/>
            <w:noWrap/>
            <w:vAlign w:val="bottom"/>
            <w:hideMark/>
          </w:tcPr>
          <w:p w14:paraId="650547A7" w14:textId="4DEE9D54" w:rsidR="00D0059B" w:rsidRPr="00103DEE" w:rsidRDefault="00D0059B" w:rsidP="00103DEE">
            <w:pPr>
              <w:jc w:val="center"/>
              <w:rPr>
                <w:color w:val="000000"/>
                <w:sz w:val="20"/>
                <w:szCs w:val="20"/>
              </w:rPr>
            </w:pPr>
            <w:r w:rsidRPr="00103DEE">
              <w:rPr>
                <w:sz w:val="20"/>
                <w:szCs w:val="20"/>
              </w:rPr>
              <w:t>30,918,916.42</w:t>
            </w:r>
          </w:p>
        </w:tc>
        <w:tc>
          <w:tcPr>
            <w:tcW w:w="1324" w:type="dxa"/>
            <w:tcBorders>
              <w:top w:val="nil"/>
              <w:left w:val="single" w:sz="4" w:space="0" w:color="auto"/>
              <w:right w:val="nil"/>
            </w:tcBorders>
            <w:shd w:val="clear" w:color="auto" w:fill="auto"/>
            <w:noWrap/>
            <w:vAlign w:val="bottom"/>
            <w:hideMark/>
          </w:tcPr>
          <w:p w14:paraId="169AC656" w14:textId="21C162CD" w:rsidR="00D0059B" w:rsidRPr="00103DEE" w:rsidRDefault="00D0059B" w:rsidP="00103DEE">
            <w:pPr>
              <w:jc w:val="center"/>
              <w:rPr>
                <w:color w:val="000000"/>
                <w:sz w:val="20"/>
                <w:szCs w:val="20"/>
              </w:rPr>
            </w:pPr>
            <w:r w:rsidRPr="00103DEE">
              <w:rPr>
                <w:color w:val="000000"/>
                <w:sz w:val="20"/>
                <w:szCs w:val="20"/>
              </w:rPr>
              <w:t>108,117.14</w:t>
            </w:r>
          </w:p>
        </w:tc>
        <w:tc>
          <w:tcPr>
            <w:tcW w:w="1466" w:type="dxa"/>
            <w:tcBorders>
              <w:top w:val="nil"/>
              <w:left w:val="nil"/>
              <w:right w:val="single" w:sz="4" w:space="0" w:color="auto"/>
            </w:tcBorders>
            <w:shd w:val="clear" w:color="auto" w:fill="auto"/>
            <w:noWrap/>
            <w:vAlign w:val="bottom"/>
            <w:hideMark/>
          </w:tcPr>
          <w:p w14:paraId="4AB77D99" w14:textId="09B96D7F" w:rsidR="00D0059B" w:rsidRPr="00103DEE" w:rsidRDefault="00D0059B" w:rsidP="00103DEE">
            <w:pPr>
              <w:jc w:val="center"/>
              <w:rPr>
                <w:color w:val="000000"/>
                <w:sz w:val="20"/>
                <w:szCs w:val="20"/>
              </w:rPr>
            </w:pPr>
            <w:r w:rsidRPr="00103DEE">
              <w:rPr>
                <w:color w:val="000000"/>
                <w:sz w:val="20"/>
                <w:szCs w:val="20"/>
              </w:rPr>
              <w:t>15,460,751</w:t>
            </w:r>
          </w:p>
        </w:tc>
        <w:tc>
          <w:tcPr>
            <w:tcW w:w="1414" w:type="dxa"/>
            <w:tcBorders>
              <w:top w:val="nil"/>
              <w:left w:val="single" w:sz="4" w:space="0" w:color="auto"/>
              <w:right w:val="nil"/>
            </w:tcBorders>
            <w:shd w:val="clear" w:color="auto" w:fill="auto"/>
            <w:vAlign w:val="bottom"/>
            <w:hideMark/>
          </w:tcPr>
          <w:p w14:paraId="7C5A44CC" w14:textId="4FD2EC1D" w:rsidR="00D0059B" w:rsidRPr="00103DEE" w:rsidRDefault="00D0059B" w:rsidP="00103DEE">
            <w:pPr>
              <w:jc w:val="center"/>
              <w:rPr>
                <w:color w:val="000000"/>
                <w:sz w:val="20"/>
                <w:szCs w:val="20"/>
              </w:rPr>
            </w:pPr>
            <w:r w:rsidRPr="00103DEE">
              <w:rPr>
                <w:color w:val="000000"/>
                <w:sz w:val="20"/>
                <w:szCs w:val="20"/>
              </w:rPr>
              <w:t>108,099.06</w:t>
            </w:r>
          </w:p>
        </w:tc>
        <w:tc>
          <w:tcPr>
            <w:tcW w:w="867" w:type="dxa"/>
            <w:tcBorders>
              <w:top w:val="nil"/>
              <w:left w:val="nil"/>
              <w:right w:val="single" w:sz="4" w:space="0" w:color="auto"/>
            </w:tcBorders>
            <w:shd w:val="clear" w:color="auto" w:fill="auto"/>
            <w:noWrap/>
            <w:vAlign w:val="bottom"/>
            <w:hideMark/>
          </w:tcPr>
          <w:p w14:paraId="2E0E4DBB" w14:textId="777540D8" w:rsidR="00D0059B" w:rsidRPr="00103DEE" w:rsidRDefault="00D0059B" w:rsidP="00103DEE">
            <w:pPr>
              <w:jc w:val="center"/>
              <w:rPr>
                <w:color w:val="000000"/>
                <w:sz w:val="20"/>
                <w:szCs w:val="20"/>
              </w:rPr>
            </w:pPr>
            <w:r w:rsidRPr="00103DEE">
              <w:rPr>
                <w:color w:val="000000"/>
                <w:sz w:val="20"/>
                <w:szCs w:val="20"/>
              </w:rPr>
              <w:t>15,458,164.92</w:t>
            </w:r>
          </w:p>
        </w:tc>
      </w:tr>
      <w:tr w:rsidR="00103DEE" w:rsidRPr="00C274CC" w14:paraId="3E8E79B5" w14:textId="77777777" w:rsidTr="00A52300">
        <w:trPr>
          <w:trHeight w:val="300"/>
          <w:jc w:val="center"/>
        </w:trPr>
        <w:tc>
          <w:tcPr>
            <w:tcW w:w="1345" w:type="dxa"/>
            <w:tcBorders>
              <w:top w:val="nil"/>
              <w:left w:val="single" w:sz="4" w:space="0" w:color="auto"/>
              <w:bottom w:val="single" w:sz="4" w:space="0" w:color="auto"/>
              <w:right w:val="nil"/>
            </w:tcBorders>
            <w:shd w:val="clear" w:color="auto" w:fill="auto"/>
            <w:noWrap/>
            <w:vAlign w:val="bottom"/>
            <w:hideMark/>
          </w:tcPr>
          <w:p w14:paraId="33E3849B" w14:textId="77777777" w:rsidR="00D0059B" w:rsidRPr="00C274CC" w:rsidRDefault="00D0059B" w:rsidP="00103DEE">
            <w:pPr>
              <w:jc w:val="center"/>
              <w:rPr>
                <w:color w:val="000000"/>
                <w:sz w:val="20"/>
                <w:szCs w:val="20"/>
              </w:rPr>
            </w:pPr>
            <w:r w:rsidRPr="00C274CC">
              <w:rPr>
                <w:color w:val="000000"/>
                <w:sz w:val="20"/>
                <w:szCs w:val="20"/>
              </w:rPr>
              <w:t>Hotel Lot</w:t>
            </w:r>
          </w:p>
        </w:tc>
        <w:tc>
          <w:tcPr>
            <w:tcW w:w="540" w:type="dxa"/>
            <w:tcBorders>
              <w:top w:val="nil"/>
              <w:left w:val="nil"/>
              <w:bottom w:val="single" w:sz="4" w:space="0" w:color="auto"/>
              <w:right w:val="nil"/>
            </w:tcBorders>
            <w:shd w:val="clear" w:color="auto" w:fill="auto"/>
            <w:noWrap/>
            <w:vAlign w:val="bottom"/>
            <w:hideMark/>
          </w:tcPr>
          <w:p w14:paraId="01178FB1" w14:textId="77777777" w:rsidR="00D0059B" w:rsidRPr="00C274CC" w:rsidRDefault="00D0059B" w:rsidP="00103DEE">
            <w:pPr>
              <w:jc w:val="center"/>
              <w:rPr>
                <w:color w:val="000000"/>
                <w:sz w:val="20"/>
                <w:szCs w:val="20"/>
              </w:rPr>
            </w:pPr>
            <w:r w:rsidRPr="00C274CC">
              <w:rPr>
                <w:color w:val="000000"/>
                <w:sz w:val="20"/>
                <w:szCs w:val="20"/>
              </w:rPr>
              <w:t>60</w:t>
            </w:r>
          </w:p>
        </w:tc>
        <w:tc>
          <w:tcPr>
            <w:tcW w:w="1116" w:type="dxa"/>
            <w:tcBorders>
              <w:top w:val="nil"/>
              <w:left w:val="nil"/>
              <w:bottom w:val="single" w:sz="4" w:space="0" w:color="auto"/>
              <w:right w:val="nil"/>
            </w:tcBorders>
            <w:shd w:val="clear" w:color="auto" w:fill="auto"/>
            <w:noWrap/>
            <w:vAlign w:val="bottom"/>
            <w:hideMark/>
          </w:tcPr>
          <w:p w14:paraId="7FF02F52" w14:textId="7641ABB9" w:rsidR="00D0059B" w:rsidRPr="00C274CC" w:rsidRDefault="00D0059B" w:rsidP="00103DEE">
            <w:pPr>
              <w:jc w:val="center"/>
              <w:rPr>
                <w:color w:val="000000"/>
                <w:sz w:val="20"/>
                <w:szCs w:val="20"/>
              </w:rPr>
            </w:pPr>
            <w:r w:rsidRPr="00C274CC">
              <w:rPr>
                <w:color w:val="000000"/>
                <w:sz w:val="20"/>
                <w:szCs w:val="20"/>
              </w:rPr>
              <w:t>28,886.69</w:t>
            </w:r>
          </w:p>
        </w:tc>
        <w:tc>
          <w:tcPr>
            <w:tcW w:w="717" w:type="dxa"/>
            <w:tcBorders>
              <w:top w:val="nil"/>
              <w:left w:val="nil"/>
              <w:bottom w:val="single" w:sz="4" w:space="0" w:color="auto"/>
              <w:right w:val="nil"/>
            </w:tcBorders>
            <w:shd w:val="clear" w:color="auto" w:fill="auto"/>
            <w:noWrap/>
            <w:vAlign w:val="bottom"/>
            <w:hideMark/>
          </w:tcPr>
          <w:p w14:paraId="3C545B92" w14:textId="77777777" w:rsidR="00D0059B" w:rsidRPr="00C274CC" w:rsidRDefault="00D0059B" w:rsidP="00103DEE">
            <w:pPr>
              <w:jc w:val="center"/>
              <w:rPr>
                <w:color w:val="000000"/>
                <w:sz w:val="20"/>
                <w:szCs w:val="20"/>
              </w:rPr>
            </w:pPr>
            <w:r w:rsidRPr="00C274CC">
              <w:rPr>
                <w:color w:val="000000"/>
                <w:sz w:val="20"/>
                <w:szCs w:val="20"/>
              </w:rPr>
              <w:t>0.27</w:t>
            </w:r>
          </w:p>
        </w:tc>
        <w:tc>
          <w:tcPr>
            <w:tcW w:w="1466" w:type="dxa"/>
            <w:tcBorders>
              <w:top w:val="nil"/>
              <w:left w:val="nil"/>
              <w:bottom w:val="single" w:sz="4" w:space="0" w:color="auto"/>
              <w:right w:val="single" w:sz="4" w:space="0" w:color="auto"/>
            </w:tcBorders>
            <w:shd w:val="clear" w:color="auto" w:fill="auto"/>
            <w:noWrap/>
            <w:vAlign w:val="bottom"/>
            <w:hideMark/>
          </w:tcPr>
          <w:p w14:paraId="0B49BBF2" w14:textId="561671A3" w:rsidR="00D0059B" w:rsidRPr="00C274CC" w:rsidRDefault="00D0059B" w:rsidP="00103DEE">
            <w:pPr>
              <w:jc w:val="center"/>
              <w:rPr>
                <w:color w:val="000000"/>
                <w:sz w:val="20"/>
                <w:szCs w:val="20"/>
              </w:rPr>
            </w:pPr>
            <w:r w:rsidRPr="00C274CC">
              <w:rPr>
                <w:sz w:val="20"/>
                <w:szCs w:val="20"/>
              </w:rPr>
              <w:t>1,733,201.28</w:t>
            </w:r>
          </w:p>
        </w:tc>
        <w:tc>
          <w:tcPr>
            <w:tcW w:w="1324" w:type="dxa"/>
            <w:tcBorders>
              <w:top w:val="nil"/>
              <w:left w:val="single" w:sz="4" w:space="0" w:color="auto"/>
              <w:bottom w:val="single" w:sz="4" w:space="0" w:color="auto"/>
              <w:right w:val="nil"/>
            </w:tcBorders>
            <w:shd w:val="clear" w:color="auto" w:fill="auto"/>
            <w:noWrap/>
            <w:vAlign w:val="bottom"/>
            <w:hideMark/>
          </w:tcPr>
          <w:p w14:paraId="26BBE677" w14:textId="6AFE8A6A" w:rsidR="00D0059B" w:rsidRPr="00C274CC" w:rsidRDefault="00D0059B" w:rsidP="00103DEE">
            <w:pPr>
              <w:jc w:val="center"/>
              <w:rPr>
                <w:color w:val="000000"/>
                <w:sz w:val="20"/>
                <w:szCs w:val="20"/>
              </w:rPr>
            </w:pPr>
            <w:r w:rsidRPr="00C274CC">
              <w:rPr>
                <w:color w:val="000000"/>
                <w:sz w:val="20"/>
                <w:szCs w:val="20"/>
              </w:rPr>
              <w:t>0.00</w:t>
            </w:r>
          </w:p>
        </w:tc>
        <w:tc>
          <w:tcPr>
            <w:tcW w:w="1466" w:type="dxa"/>
            <w:tcBorders>
              <w:top w:val="nil"/>
              <w:left w:val="nil"/>
              <w:bottom w:val="single" w:sz="4" w:space="0" w:color="auto"/>
              <w:right w:val="single" w:sz="4" w:space="0" w:color="auto"/>
            </w:tcBorders>
            <w:shd w:val="clear" w:color="auto" w:fill="auto"/>
            <w:noWrap/>
            <w:vAlign w:val="bottom"/>
            <w:hideMark/>
          </w:tcPr>
          <w:p w14:paraId="11853BE0" w14:textId="29AA5810" w:rsidR="00D0059B" w:rsidRPr="00C274CC" w:rsidRDefault="00D0059B" w:rsidP="00103DEE">
            <w:pPr>
              <w:jc w:val="center"/>
              <w:rPr>
                <w:color w:val="000000"/>
                <w:sz w:val="20"/>
                <w:szCs w:val="20"/>
              </w:rPr>
            </w:pPr>
            <w:r w:rsidRPr="00C274CC">
              <w:rPr>
                <w:color w:val="000000"/>
                <w:sz w:val="20"/>
                <w:szCs w:val="20"/>
              </w:rPr>
              <w:t>0</w:t>
            </w:r>
          </w:p>
        </w:tc>
        <w:tc>
          <w:tcPr>
            <w:tcW w:w="1414" w:type="dxa"/>
            <w:tcBorders>
              <w:top w:val="nil"/>
              <w:left w:val="single" w:sz="4" w:space="0" w:color="auto"/>
              <w:bottom w:val="single" w:sz="4" w:space="0" w:color="auto"/>
              <w:right w:val="nil"/>
            </w:tcBorders>
            <w:shd w:val="clear" w:color="auto" w:fill="auto"/>
            <w:vAlign w:val="bottom"/>
            <w:hideMark/>
          </w:tcPr>
          <w:p w14:paraId="3F56AF48" w14:textId="69B8F3FE" w:rsidR="00D0059B" w:rsidRPr="00C274CC" w:rsidRDefault="00D0059B" w:rsidP="00103DEE">
            <w:pPr>
              <w:jc w:val="center"/>
              <w:rPr>
                <w:color w:val="000000"/>
                <w:sz w:val="20"/>
                <w:szCs w:val="20"/>
              </w:rPr>
            </w:pPr>
            <w:r w:rsidRPr="00C274CC">
              <w:rPr>
                <w:color w:val="000000"/>
                <w:sz w:val="20"/>
                <w:szCs w:val="20"/>
              </w:rPr>
              <w:t>28,886.69</w:t>
            </w:r>
          </w:p>
        </w:tc>
        <w:tc>
          <w:tcPr>
            <w:tcW w:w="867" w:type="dxa"/>
            <w:tcBorders>
              <w:top w:val="nil"/>
              <w:left w:val="nil"/>
              <w:bottom w:val="single" w:sz="4" w:space="0" w:color="auto"/>
              <w:right w:val="single" w:sz="4" w:space="0" w:color="auto"/>
            </w:tcBorders>
            <w:shd w:val="clear" w:color="auto" w:fill="auto"/>
            <w:noWrap/>
            <w:vAlign w:val="bottom"/>
            <w:hideMark/>
          </w:tcPr>
          <w:p w14:paraId="7B8F2BC1" w14:textId="68459C0C" w:rsidR="00D0059B" w:rsidRPr="00C274CC" w:rsidRDefault="00D0059B" w:rsidP="00103DEE">
            <w:pPr>
              <w:jc w:val="center"/>
              <w:rPr>
                <w:color w:val="000000"/>
                <w:sz w:val="20"/>
                <w:szCs w:val="20"/>
              </w:rPr>
            </w:pPr>
            <w:r w:rsidRPr="00C274CC">
              <w:rPr>
                <w:color w:val="000000"/>
                <w:sz w:val="20"/>
                <w:szCs w:val="20"/>
              </w:rPr>
              <w:t>1,733,201.28</w:t>
            </w:r>
          </w:p>
        </w:tc>
      </w:tr>
      <w:tr w:rsidR="00103DEE" w:rsidRPr="00103DEE" w14:paraId="166DFC05" w14:textId="77777777" w:rsidTr="00A52300">
        <w:trPr>
          <w:trHeight w:val="300"/>
          <w:jc w:val="center"/>
        </w:trPr>
        <w:tc>
          <w:tcPr>
            <w:tcW w:w="1345" w:type="dxa"/>
            <w:tcBorders>
              <w:top w:val="single" w:sz="4" w:space="0" w:color="auto"/>
              <w:left w:val="single" w:sz="4" w:space="0" w:color="auto"/>
              <w:bottom w:val="single" w:sz="4" w:space="0" w:color="auto"/>
              <w:right w:val="nil"/>
            </w:tcBorders>
            <w:shd w:val="clear" w:color="auto" w:fill="auto"/>
            <w:noWrap/>
            <w:vAlign w:val="bottom"/>
            <w:hideMark/>
          </w:tcPr>
          <w:p w14:paraId="7ADFF27C" w14:textId="77777777" w:rsidR="00B82B09" w:rsidRPr="00103DEE" w:rsidRDefault="00B82B09" w:rsidP="00103DEE">
            <w:pPr>
              <w:jc w:val="center"/>
              <w:rPr>
                <w:b/>
                <w:bCs/>
                <w:color w:val="000000"/>
                <w:sz w:val="20"/>
                <w:szCs w:val="20"/>
              </w:rPr>
            </w:pPr>
            <w:r w:rsidRPr="00103DEE">
              <w:rPr>
                <w:b/>
                <w:bCs/>
                <w:color w:val="000000"/>
                <w:sz w:val="20"/>
                <w:szCs w:val="20"/>
              </w:rPr>
              <w:t>TOTAL</w:t>
            </w:r>
          </w:p>
        </w:tc>
        <w:tc>
          <w:tcPr>
            <w:tcW w:w="540" w:type="dxa"/>
            <w:tcBorders>
              <w:top w:val="single" w:sz="4" w:space="0" w:color="auto"/>
              <w:left w:val="nil"/>
              <w:bottom w:val="single" w:sz="4" w:space="0" w:color="auto"/>
              <w:right w:val="nil"/>
            </w:tcBorders>
            <w:shd w:val="clear" w:color="auto" w:fill="auto"/>
            <w:noWrap/>
            <w:vAlign w:val="bottom"/>
            <w:hideMark/>
          </w:tcPr>
          <w:p w14:paraId="04829CB0" w14:textId="77777777" w:rsidR="00B82B09" w:rsidRPr="00103DEE" w:rsidRDefault="00B82B09" w:rsidP="00103DEE">
            <w:pPr>
              <w:jc w:val="center"/>
              <w:rPr>
                <w:b/>
                <w:bCs/>
                <w:sz w:val="20"/>
                <w:szCs w:val="20"/>
              </w:rPr>
            </w:pPr>
          </w:p>
        </w:tc>
        <w:tc>
          <w:tcPr>
            <w:tcW w:w="1116" w:type="dxa"/>
            <w:tcBorders>
              <w:top w:val="single" w:sz="4" w:space="0" w:color="auto"/>
              <w:left w:val="nil"/>
              <w:bottom w:val="single" w:sz="4" w:space="0" w:color="auto"/>
              <w:right w:val="nil"/>
            </w:tcBorders>
            <w:shd w:val="clear" w:color="auto" w:fill="auto"/>
            <w:noWrap/>
            <w:vAlign w:val="bottom"/>
            <w:hideMark/>
          </w:tcPr>
          <w:p w14:paraId="21C1AEEE" w14:textId="77777777" w:rsidR="00B82B09" w:rsidRPr="00103DEE" w:rsidRDefault="00B82B09" w:rsidP="00103DEE">
            <w:pPr>
              <w:jc w:val="center"/>
              <w:rPr>
                <w:b/>
                <w:bCs/>
                <w:sz w:val="20"/>
                <w:szCs w:val="20"/>
              </w:rPr>
            </w:pPr>
          </w:p>
        </w:tc>
        <w:tc>
          <w:tcPr>
            <w:tcW w:w="717" w:type="dxa"/>
            <w:tcBorders>
              <w:top w:val="single" w:sz="4" w:space="0" w:color="auto"/>
              <w:left w:val="nil"/>
              <w:bottom w:val="single" w:sz="4" w:space="0" w:color="auto"/>
              <w:right w:val="nil"/>
            </w:tcBorders>
            <w:shd w:val="clear" w:color="auto" w:fill="auto"/>
            <w:noWrap/>
            <w:vAlign w:val="bottom"/>
            <w:hideMark/>
          </w:tcPr>
          <w:p w14:paraId="1E60B3A2" w14:textId="77777777" w:rsidR="00B82B09" w:rsidRPr="00103DEE" w:rsidRDefault="00B82B09" w:rsidP="00103DEE">
            <w:pPr>
              <w:jc w:val="center"/>
              <w:rPr>
                <w:b/>
                <w:bCs/>
                <w:sz w:val="20"/>
                <w:szCs w:val="20"/>
              </w:rPr>
            </w:pPr>
          </w:p>
        </w:tc>
        <w:tc>
          <w:tcPr>
            <w:tcW w:w="1466" w:type="dxa"/>
            <w:tcBorders>
              <w:top w:val="single" w:sz="4" w:space="0" w:color="auto"/>
              <w:left w:val="nil"/>
              <w:bottom w:val="single" w:sz="4" w:space="0" w:color="auto"/>
              <w:right w:val="single" w:sz="4" w:space="0" w:color="auto"/>
            </w:tcBorders>
            <w:shd w:val="clear" w:color="auto" w:fill="auto"/>
            <w:noWrap/>
            <w:vAlign w:val="bottom"/>
            <w:hideMark/>
          </w:tcPr>
          <w:p w14:paraId="7ED81927" w14:textId="4556A3BF" w:rsidR="00B82B09" w:rsidRPr="00103DEE" w:rsidRDefault="00D0059B" w:rsidP="00103DEE">
            <w:pPr>
              <w:jc w:val="center"/>
              <w:rPr>
                <w:b/>
                <w:bCs/>
                <w:color w:val="000000"/>
                <w:sz w:val="20"/>
                <w:szCs w:val="20"/>
              </w:rPr>
            </w:pPr>
            <w:r w:rsidRPr="00103DEE">
              <w:rPr>
                <w:b/>
                <w:bCs/>
                <w:color w:val="000000"/>
                <w:sz w:val="20"/>
                <w:szCs w:val="20"/>
              </w:rPr>
              <w:t>$</w:t>
            </w:r>
            <w:r w:rsidR="00B82B09" w:rsidRPr="00103DEE">
              <w:rPr>
                <w:b/>
                <w:bCs/>
                <w:color w:val="000000"/>
                <w:sz w:val="20"/>
                <w:szCs w:val="20"/>
              </w:rPr>
              <w:t>40,000,000.00</w:t>
            </w:r>
          </w:p>
        </w:tc>
        <w:tc>
          <w:tcPr>
            <w:tcW w:w="1324" w:type="dxa"/>
            <w:tcBorders>
              <w:top w:val="single" w:sz="4" w:space="0" w:color="auto"/>
              <w:left w:val="single" w:sz="4" w:space="0" w:color="auto"/>
              <w:bottom w:val="single" w:sz="4" w:space="0" w:color="auto"/>
              <w:right w:val="nil"/>
            </w:tcBorders>
            <w:shd w:val="clear" w:color="auto" w:fill="auto"/>
            <w:noWrap/>
            <w:vAlign w:val="bottom"/>
            <w:hideMark/>
          </w:tcPr>
          <w:p w14:paraId="4349DC10" w14:textId="77777777" w:rsidR="00B82B09" w:rsidRPr="00103DEE" w:rsidRDefault="00B82B09" w:rsidP="00103DEE">
            <w:pPr>
              <w:jc w:val="center"/>
              <w:rPr>
                <w:b/>
                <w:bCs/>
                <w:color w:val="000000"/>
                <w:sz w:val="20"/>
                <w:szCs w:val="20"/>
              </w:rPr>
            </w:pPr>
          </w:p>
        </w:tc>
        <w:tc>
          <w:tcPr>
            <w:tcW w:w="1466" w:type="dxa"/>
            <w:tcBorders>
              <w:top w:val="single" w:sz="4" w:space="0" w:color="auto"/>
              <w:left w:val="nil"/>
              <w:bottom w:val="single" w:sz="4" w:space="0" w:color="auto"/>
              <w:right w:val="single" w:sz="4" w:space="0" w:color="auto"/>
            </w:tcBorders>
            <w:shd w:val="clear" w:color="auto" w:fill="auto"/>
            <w:noWrap/>
            <w:vAlign w:val="bottom"/>
            <w:hideMark/>
          </w:tcPr>
          <w:p w14:paraId="038C2510" w14:textId="070116C3" w:rsidR="00B82B09" w:rsidRPr="00103DEE" w:rsidRDefault="00D0059B" w:rsidP="00103DEE">
            <w:pPr>
              <w:jc w:val="center"/>
              <w:rPr>
                <w:b/>
                <w:bCs/>
                <w:color w:val="000000"/>
                <w:sz w:val="20"/>
                <w:szCs w:val="20"/>
              </w:rPr>
            </w:pPr>
            <w:r w:rsidRPr="00103DEE">
              <w:rPr>
                <w:b/>
                <w:bCs/>
                <w:color w:val="000000"/>
                <w:sz w:val="20"/>
                <w:szCs w:val="20"/>
              </w:rPr>
              <w:t>$</w:t>
            </w:r>
            <w:r w:rsidR="00B82B09" w:rsidRPr="00103DEE">
              <w:rPr>
                <w:b/>
                <w:bCs/>
                <w:color w:val="000000"/>
                <w:sz w:val="20"/>
                <w:szCs w:val="20"/>
              </w:rPr>
              <w:t>19,135,000.00</w:t>
            </w:r>
          </w:p>
        </w:tc>
        <w:tc>
          <w:tcPr>
            <w:tcW w:w="1414" w:type="dxa"/>
            <w:tcBorders>
              <w:top w:val="single" w:sz="4" w:space="0" w:color="auto"/>
              <w:left w:val="single" w:sz="4" w:space="0" w:color="auto"/>
              <w:bottom w:val="single" w:sz="4" w:space="0" w:color="auto"/>
              <w:right w:val="nil"/>
            </w:tcBorders>
            <w:shd w:val="clear" w:color="auto" w:fill="auto"/>
            <w:noWrap/>
            <w:vAlign w:val="bottom"/>
            <w:hideMark/>
          </w:tcPr>
          <w:p w14:paraId="327682B9" w14:textId="77777777" w:rsidR="00B82B09" w:rsidRPr="00103DEE" w:rsidRDefault="00B82B09" w:rsidP="00103DEE">
            <w:pPr>
              <w:jc w:val="center"/>
              <w:rPr>
                <w:b/>
                <w:bCs/>
                <w:color w:val="000000"/>
                <w:sz w:val="20"/>
                <w:szCs w:val="20"/>
              </w:rPr>
            </w:pPr>
          </w:p>
        </w:tc>
        <w:tc>
          <w:tcPr>
            <w:tcW w:w="867" w:type="dxa"/>
            <w:tcBorders>
              <w:top w:val="single" w:sz="4" w:space="0" w:color="auto"/>
              <w:left w:val="nil"/>
              <w:bottom w:val="single" w:sz="4" w:space="0" w:color="auto"/>
              <w:right w:val="single" w:sz="4" w:space="0" w:color="auto"/>
            </w:tcBorders>
            <w:shd w:val="clear" w:color="auto" w:fill="auto"/>
            <w:noWrap/>
            <w:vAlign w:val="bottom"/>
            <w:hideMark/>
          </w:tcPr>
          <w:p w14:paraId="0781B79F" w14:textId="518062AF" w:rsidR="00B82B09" w:rsidRPr="00103DEE" w:rsidRDefault="00D0059B" w:rsidP="00103DEE">
            <w:pPr>
              <w:jc w:val="center"/>
              <w:rPr>
                <w:b/>
                <w:bCs/>
                <w:color w:val="000000"/>
                <w:sz w:val="20"/>
                <w:szCs w:val="20"/>
              </w:rPr>
            </w:pPr>
            <w:r w:rsidRPr="00103DEE">
              <w:rPr>
                <w:b/>
                <w:bCs/>
                <w:color w:val="000000"/>
                <w:sz w:val="20"/>
                <w:szCs w:val="20"/>
              </w:rPr>
              <w:t>$</w:t>
            </w:r>
            <w:r w:rsidR="00B82B09" w:rsidRPr="00103DEE">
              <w:rPr>
                <w:b/>
                <w:bCs/>
                <w:color w:val="000000"/>
                <w:sz w:val="20"/>
                <w:szCs w:val="20"/>
              </w:rPr>
              <w:t>20,865,000.00</w:t>
            </w:r>
          </w:p>
        </w:tc>
      </w:tr>
      <w:bookmarkEnd w:id="9"/>
    </w:tbl>
    <w:p w14:paraId="2B600468" w14:textId="77777777" w:rsidR="00537EC8" w:rsidRDefault="00537EC8" w:rsidP="00537EC8">
      <w:pPr>
        <w:rPr>
          <w:sz w:val="20"/>
        </w:rPr>
      </w:pPr>
    </w:p>
    <w:p w14:paraId="1D95C726" w14:textId="77777777" w:rsidR="00537EC8" w:rsidRPr="00AF1958" w:rsidRDefault="00537EC8" w:rsidP="00537EC8">
      <w:pPr>
        <w:rPr>
          <w:sz w:val="20"/>
        </w:rPr>
      </w:pPr>
    </w:p>
    <w:p w14:paraId="1605CD95" w14:textId="77777777" w:rsidR="00537EC8" w:rsidRPr="004044DE" w:rsidRDefault="00537EC8" w:rsidP="00537EC8">
      <w:pPr>
        <w:rPr>
          <w:sz w:val="22"/>
          <w:szCs w:val="22"/>
        </w:rPr>
      </w:pPr>
      <w:r w:rsidRPr="004044DE">
        <w:rPr>
          <w:sz w:val="22"/>
          <w:szCs w:val="22"/>
        </w:rPr>
        <w:t>* Figures have been rounded</w:t>
      </w:r>
    </w:p>
    <w:bookmarkEnd w:id="7"/>
    <w:bookmarkEnd w:id="8"/>
    <w:p w14:paraId="0CC32FBA" w14:textId="619528E5" w:rsidR="00496B3C" w:rsidRPr="00724D17" w:rsidRDefault="00496B3C" w:rsidP="00496B3C">
      <w:pPr>
        <w:rPr>
          <w:sz w:val="22"/>
          <w:szCs w:val="22"/>
        </w:rPr>
      </w:pPr>
    </w:p>
    <w:p w14:paraId="376FA32A" w14:textId="77777777" w:rsidR="004C695B" w:rsidRDefault="004C695B" w:rsidP="004C695B">
      <w:pPr>
        <w:pStyle w:val="00Center"/>
        <w:jc w:val="left"/>
        <w:rPr>
          <w:noProof/>
        </w:rPr>
      </w:pPr>
    </w:p>
    <w:bookmarkEnd w:id="10"/>
    <w:p w14:paraId="4B4D9412" w14:textId="09FF9235" w:rsidR="00537EC8" w:rsidRDefault="00537EC8" w:rsidP="00537EC8">
      <w:pPr>
        <w:pStyle w:val="00Center"/>
      </w:pPr>
      <w:r w:rsidRPr="00AF1958">
        <w:t xml:space="preserve">  </w:t>
      </w:r>
    </w:p>
    <w:p w14:paraId="4807057E" w14:textId="77777777" w:rsidR="00537EC8" w:rsidRDefault="00537EC8">
      <w:r>
        <w:br w:type="page"/>
      </w:r>
    </w:p>
    <w:p w14:paraId="5C256E30" w14:textId="77777777" w:rsidR="00537EC8" w:rsidRPr="003C633E" w:rsidRDefault="00537EC8" w:rsidP="00537EC8">
      <w:pPr>
        <w:pStyle w:val="00Center"/>
        <w:rPr>
          <w:u w:val="single"/>
        </w:rPr>
      </w:pPr>
      <w:r w:rsidRPr="003C633E">
        <w:rPr>
          <w:u w:val="single"/>
        </w:rPr>
        <w:lastRenderedPageBreak/>
        <w:t>Legal Description</w:t>
      </w:r>
    </w:p>
    <w:p w14:paraId="23011655" w14:textId="77777777" w:rsidR="00537EC8" w:rsidRPr="00AF1958" w:rsidRDefault="00537EC8" w:rsidP="00537EC8">
      <w:pPr>
        <w:pStyle w:val="00BodyText5"/>
        <w:ind w:firstLine="0"/>
      </w:pPr>
      <w:bookmarkStart w:id="12" w:name="_Hlk171586619"/>
      <w:bookmarkStart w:id="13" w:name="_Hlk171587032"/>
      <w:bookmarkStart w:id="14" w:name="_Hlk171587148"/>
      <w:r w:rsidRPr="00AF1958">
        <w:t xml:space="preserve">The Assessment Area is more particularly described as follows:  </w:t>
      </w:r>
    </w:p>
    <w:bookmarkEnd w:id="12"/>
    <w:bookmarkEnd w:id="13"/>
    <w:bookmarkEnd w:id="14"/>
    <w:p w14:paraId="7BC28E1F" w14:textId="77777777" w:rsidR="00537EC8" w:rsidRPr="007D300E" w:rsidRDefault="00537EC8" w:rsidP="00537EC8">
      <w:pPr>
        <w:spacing w:after="160" w:line="259" w:lineRule="auto"/>
        <w:rPr>
          <w:rFonts w:eastAsia="Aptos"/>
          <w:sz w:val="22"/>
          <w:szCs w:val="22"/>
        </w:rPr>
      </w:pPr>
      <w:r w:rsidRPr="007D300E">
        <w:rPr>
          <w:rFonts w:eastAsia="Aptos"/>
          <w:sz w:val="22"/>
          <w:szCs w:val="22"/>
        </w:rPr>
        <w:t>A PORTION OF THE SOUTH HALF OF SECTION 18 AND THE NORTH HALF OF SECTION 19, TOWNSHIP 9 SOUTH, RANGE 3 EAST, SALT LAKE BASE AND MERIDIAN DESCRIBED AS FOLLOWS:</w:t>
      </w:r>
    </w:p>
    <w:p w14:paraId="71D333E5" w14:textId="77777777" w:rsidR="00537EC8" w:rsidRPr="007D300E" w:rsidRDefault="00537EC8" w:rsidP="00537EC8">
      <w:pPr>
        <w:spacing w:after="160" w:line="259" w:lineRule="auto"/>
        <w:rPr>
          <w:rFonts w:eastAsia="Aptos"/>
          <w:sz w:val="22"/>
          <w:szCs w:val="22"/>
        </w:rPr>
      </w:pPr>
      <w:r w:rsidRPr="007D300E">
        <w:rPr>
          <w:rFonts w:eastAsia="Aptos"/>
          <w:sz w:val="22"/>
          <w:szCs w:val="22"/>
        </w:rPr>
        <w:t xml:space="preserve">COMMENCING AT THE WEST QUARTER CORNER OF SAID SECTION 18; THENCE SOUTH 00°06'43” EAST 2638.44 FEET TO THE SOUTHWEST SECTION CORNER OF SAID SECTION 18; THENCE NORTH 0°06'43” WEST ALONG THE WEST LINE OF THE SOUTHWEST QUARTER OF SAID SECTION 18 1320.38 FEET; THENCE NORTH 90°00'00” EAST, 10.79 FEET TO THE POINT OF BEGINNING; RUNNING THENCE SOUTH 88°35'57" EAST, 1,289.20 FEET TO A FOUND MONUMENT, MARKED “BLP PLS 166406”; THENCE NORTH 0°00'47" WEST, 24.80 FEET TO THE NORTH LINE OF THE SOUTH HALF OF THE SOUTHWEST QUARTER OF SAID SECTION 18; THENCE ALONG SAID NORTH LINE SOUTH 89°45'17" EAST, 847.37 FEET TO A FOUND MONUMENT, MARKED “BLP PLS 166406” AND THE SOUTHWEST CORNER OF THE EAST HALF OF THE WEST HALF OF THE EAST HALF OF THE NORTHEAST QUARTER OF THE SOUTHWEST QUARTER OF SAID SECTION 18; THENCE NORTH 0°09'56" WEST, 1,324.20 FEET ALONG THE WESTERLY LINE OF SAID EAST HALF THE NORTHWEST CORNER OF SAID EAST HALF; THENCE SOUTH 89°53'16" EAST, 118.71 FEET TO THE NORTHWEST CORNER OF DESCRIBED PROPERTY FOUND ON WARRANTY DEED RECORDED IN THE UTAH COUNTY RECORDER'S OFFICE ON JUNE 7, 2021, ENTRY NO. 103688:2021; THENCE ALONG SAID DEED DESCRIPTION THE FOLLOWING SIS (6) CALLS:  (1) SOUTH 0°09'47" EAST, 716.89 FEET TO A SURVEY CAP MARKED 10708886, (2) SOUTH 89°48'17" EAST, 377.09 FEET TO A SURVEY CAP MARKED 10708886, (3) NORTH 0°10'23" WEST, 54.50 FEET, (4) NORTH 1°35'34" WEST, 286.07 FEET TO A SURVEY CAP MARKED 10708886, (5) NORTH 2°56'56" WEST, 350.39 FEET, (6) NORTH 7°03'45" EAST, 27.29 FEET TO THE NORTH LINE OF THE SOUTH HALF OF SAID SECTION 18; THENCE SOUTH 89°53'16" EAST, 1,356.69 FEET ALONG SAID NORTH LINE TO THE NORTHEAST CORNER OF THE NORTHWEST QUARTER OF THE SOUTHEAST QUARTER OF SAID SECTION 18; THENCE SOUTH 0°02'12" EAST, 2,656.50 FEET ALONG THE EASTERLY LINE OF SAID NORTHWEST QUARTER OF THE SOUTHEAST QUARTER TO THE NORTHWEST CORNER OF THE NORTHEAST QUARTER OF THE NORTHEAST QUARTER OF SAID SECTION 19; THENCE SOUTH 89°38'13" EAST 1,054.58 FEET; THENCE SOUTH 01°11'55" WEST, 258.04 FEET; THENCE SOUTH 31°10'40" WEST, 210.04 FEET; THENCE SOUTH 59°00'00" WEST, 301.74 FEET; THENCE NORTH 50°22'37" WEST, 414.27 FEET; THENCE NORTH 00°00'00" EAST, 54.42 FEET TO THE BEGINNING OF A 331.00 FOOT RADIUS NON-TANGENT CURVE TO THE RIGHT; THENCE ALONG SAID CURVE 163.44 FEET, THROUGH A CENTRAL ANGLE OF 28°17'30" (CHORD BEARS NORTH 62°45'41" WEST, 161.79 FEET) TO THE BEGINNING OF A 629.13 FOOT RADIUS REVERSE CURVE TO THE LEFT; THENCE ALONG SAID CURVE 369.18 FEET, THROUGH A CENTRAL ANGLE OF 33°37'19" (CHORD BEARS NORTH 65°25'36" WEST, 363.91 FEET) TO THE BEGINNING OF A 258.25 FOOT RADIUS REVERSE CURVE TO THE RIGHT; THENCE ALONG SAID CURVE 214.97 FEET, THROUGH A CENTRAL ANGLE OF 47°41'33" (CHORD BEARS NORTH 58°23'28" WEST, 208.82 FEET) TO THE BEGINNING OF A 12.00 FOOT RADIUS REVERSE CURVE TO THE LEFT; THENCE ALONG SAID CURVE 18.32 FEET, THROUGH A CENTRAL ANGLE OF 87°27'18" (CHORD BEARS NORTH 78°16'21" WEST, 16.59 FEET); THENCE SOUTH 58°00'00" WEST, 273.37 FEET TO THE BEGINNING OF A 669.35 FOOT RADIUS NON-TANGENT CURVE TO THE LEFT; THENCE ALONG SAID CURVE 165.08 </w:t>
      </w:r>
      <w:r w:rsidRPr="007D300E">
        <w:rPr>
          <w:rFonts w:eastAsia="Aptos"/>
          <w:sz w:val="22"/>
          <w:szCs w:val="22"/>
        </w:rPr>
        <w:lastRenderedPageBreak/>
        <w:t>FEET, THROUGH A CENTRAL ANGLE OF 14°07'50" (CHORD BEARS SOUTH 50°55'35" WEST, 164.66 FEET); THENCE SOUTH 49°00'00" EAST, 213.39 FEET; THENCE SOUTH 60°00'00" EAST, 672.00 FEET TO THE BEGINNING OF A 117.51 FOOT RADIUS CURVE TO THE RIGHT; THENCE ALONG SAID CURVE 135.36 FEET, THROUGH A CENTRAL ANGLE OF 66°00'00" (CHORD BEARS SOUTH 27°00'00" EAST, 128.00 FEET); THENCE SOUTH 29°20'21" WEST, 98.14 FEET TO THE BEGINNING OF A 225.04 FOOT RADIUS NON-TANGENT CURVE TO THE LEFT; THENCE ALONG SAID CURVE 274.60 FEET, THROUGH A CENTRAL ANGLE OF 69°54'54" (CHORD BEARS SOUTH 24°42'32" WEST, 257.88 FEET); THENCE SOUTH 06°00'00" EAST, 453.54 FEET; THENCE SOUTH 57°56'34" WEST, 52.69 FEET TO THE BEGINNING OF A 1,168.82 FOOT RADIUS NON-TANGENT CURVE TO THE RIGHT; THENCE ALONG SAID CURVE 281.63 FEET, THROUGH A CENTRAL ANGLE OF 13°48'19" (CHORD BEARS SOUTH 06°53'46" WEST, 280.95 FEET); THENCE NORTH 78°20'41" WEST, 180.22 FEET TO THE BEGINNING OF A 969.00 FOOT RADIUS NON-TANGENT CURVE TO THE LEFT; THENCE ALONG SAID CURVE 67.87 FEET, THROUGH A CENTRAL ANGLE OF 04°00'47" (CHORD BEARS NORTH 12°21'00" EAST, 67.86 FEET) TO THE BEGINNING OF A 12.00 FOOT RADIUS COMPOUND CURVE TO THE LEFT; THENCE ALONG SAID CURVE 20.32 FEET, THROUGH A CENTRAL ANGLE OF 97°02'25" (CHORD BEARS NORTH 38°10'36" WEST, 17.98 FEET); THENCE NORTH 86°41'49" WEST, 119.46 FEET TO THE BEGINNING OF A 196.00 FOOT RADIUS CURVE TO THE RIGHT; THENCE ALONG SAID CURVE 241.84 FEET, THROUGH A CENTRAL ANGLE OF 70°41'49" (CHORD BEARS NORTH 51°20'54" WEST, 226.79 FEET); THENCE NORTH 16°00'00" WEST, 132.34 FEET TO THE BEGINNING OF A 831.00 FOOT RADIUS CURVE TO THE RIGHT; THENCE ALONG SAID CURVE 49.20 FEET, THROUGH A CENTRAL ANGLE OF 03°23'31" (CHORD BEARS NORTH 14°18'14" WEST, 49.19 FEET); THENCE SOUTH 77°23'31" WEST, 142.00 FEET; THENCE NORTH 15°00'00" WEST, 333.60 FEET; THENCE NORTH 49°00'00" WEST, 447.35 FEET; THENCE NORTH 00°00'00" EAST, 89.45 FEET; THENCE NORTH 81°00'00" WEST, 381.73 FEET TO THE BEGINNING OF A 269.00 FOOT RADIUS CURVE TO THE LEFT; THENCE ALONG SAID CURVE 75.12 FEET, THROUGH A CENTRAL ANGLE OF 16°00'00" (CHORD BEARS NORTH 89°00'00" WEST, 74.88 FEET); THENCE SOUTH 83°00'00" WEST, 192.73 FEET TO THE BEGINNING OF A 231.00 FOOT RADIUS CURVE TO THE RIGHT; THENCE ALONG SAID CURVE 241.97 FEET, THROUGH A CENTRAL ANGLE OF 60°00'56" (CHORD BEARS NORTH 66°59'33" WEST, 231.05 FEET); THENCE NORTH 36°59'05" WEST, 183.38 FEET; THENCE SOUTH 37°25'35" WEST, 553.60 FEET; THENCE NORTH 89°59'36" WEST, 255.40 FEET TO A FENCE CORNER; THENCE NORTH 0°24'37" WEST, 928.21 FEET; THENCE NORTH 89°38'38" WEST, 590.10 FEET; THENCE NORTH 0°21'21" EAST, 1,252.26 FEET; THENCE NORTH 88°37'56" WEST, 664.55 FEET; THENCE NORTH 0°12'40" WEST, 27.74 FEET; THENCE NORTH 88°36'38" WEST, 22.27 FEET; THENCE NORTH 0°20'39" EAST, 28.29 FEET TO THE POINT OF BEGINNING.</w:t>
      </w:r>
    </w:p>
    <w:p w14:paraId="4E7AC31D" w14:textId="77777777" w:rsidR="00537EC8" w:rsidRPr="007D300E" w:rsidRDefault="00537EC8" w:rsidP="00537EC8">
      <w:pPr>
        <w:spacing w:after="160" w:line="259" w:lineRule="auto"/>
        <w:rPr>
          <w:rFonts w:eastAsia="Aptos"/>
          <w:sz w:val="22"/>
          <w:szCs w:val="22"/>
        </w:rPr>
      </w:pPr>
      <w:r w:rsidRPr="007D300E">
        <w:rPr>
          <w:rFonts w:eastAsia="Aptos"/>
          <w:sz w:val="22"/>
          <w:szCs w:val="22"/>
        </w:rPr>
        <w:t>PARCEL CONTAINS 9,478,111 SQ. FT. OR 217.587 ACRES, MORE OR LESS.</w:t>
      </w:r>
    </w:p>
    <w:p w14:paraId="2BE0D2EB" w14:textId="77777777" w:rsidR="00537EC8" w:rsidRDefault="00537EC8" w:rsidP="00537EC8">
      <w:pPr>
        <w:spacing w:after="160" w:line="259" w:lineRule="auto"/>
        <w:rPr>
          <w:rFonts w:eastAsia="Aptos"/>
          <w:sz w:val="22"/>
          <w:szCs w:val="22"/>
        </w:rPr>
      </w:pPr>
    </w:p>
    <w:p w14:paraId="3C4B6C19" w14:textId="07C857E6" w:rsidR="00537EC8" w:rsidRPr="007D300E" w:rsidRDefault="00537EC8" w:rsidP="00537EC8">
      <w:pPr>
        <w:spacing w:after="160" w:line="259" w:lineRule="auto"/>
        <w:rPr>
          <w:rFonts w:eastAsia="Aptos"/>
          <w:sz w:val="22"/>
          <w:szCs w:val="22"/>
        </w:rPr>
      </w:pPr>
      <w:r w:rsidRPr="007D300E">
        <w:rPr>
          <w:rFonts w:eastAsia="Aptos"/>
          <w:sz w:val="22"/>
          <w:szCs w:val="22"/>
        </w:rPr>
        <w:t>THREE BRIDGES PID 1 LESS AND EXCEPTING (1)</w:t>
      </w:r>
    </w:p>
    <w:p w14:paraId="347ECDE1" w14:textId="77777777" w:rsidR="00537EC8" w:rsidRPr="007D300E" w:rsidRDefault="00537EC8" w:rsidP="00537EC8">
      <w:pPr>
        <w:spacing w:after="160" w:line="259" w:lineRule="auto"/>
        <w:rPr>
          <w:rFonts w:eastAsia="Aptos"/>
          <w:sz w:val="22"/>
          <w:szCs w:val="22"/>
        </w:rPr>
      </w:pPr>
      <w:r w:rsidRPr="007D300E">
        <w:rPr>
          <w:rFonts w:eastAsia="Aptos"/>
          <w:sz w:val="22"/>
          <w:szCs w:val="22"/>
        </w:rPr>
        <w:t>A PORTION OF THE SOUTH HALF OF SECTION 18 AND THE NORTH HALF OF SECTION 19, TOWNSHIP 9 SOUTH, RANGE 3 EAST, SALT LAKE BASE AND MERIDIAN DESCRIBED AS FOLLOWS:</w:t>
      </w:r>
    </w:p>
    <w:p w14:paraId="7FACFF8F" w14:textId="77777777" w:rsidR="00537EC8" w:rsidRPr="007D300E" w:rsidRDefault="00537EC8" w:rsidP="00537EC8">
      <w:pPr>
        <w:spacing w:after="160" w:line="259" w:lineRule="auto"/>
        <w:rPr>
          <w:rFonts w:eastAsia="Aptos"/>
          <w:sz w:val="22"/>
          <w:szCs w:val="22"/>
        </w:rPr>
      </w:pPr>
      <w:r w:rsidRPr="007D300E">
        <w:rPr>
          <w:rFonts w:eastAsia="Aptos"/>
          <w:sz w:val="22"/>
          <w:szCs w:val="22"/>
        </w:rPr>
        <w:t xml:space="preserve">COMMENCING AT THE WEST QUARTER CORNER OF SAID SECTION 18; THENCE SOUTH 00°06'43” EAST 2638.44 FEET TO THE SOUTHWEST SECTION CORNER OF SAID SECTION 18; </w:t>
      </w:r>
      <w:r w:rsidRPr="007D300E">
        <w:rPr>
          <w:rFonts w:eastAsia="Aptos"/>
          <w:sz w:val="22"/>
          <w:szCs w:val="22"/>
        </w:rPr>
        <w:lastRenderedPageBreak/>
        <w:t xml:space="preserve">THENCE NORTH 0°06'43” WEST ALONG THE WEST LINE OF THE SOUTHWEST QUARTER OF SAID SECTION 18, 860.80 FEET; THENCE NORTH 90°00'00” EAST, 1752.89 FEET TO THE POINT OF BEGINNING; RUNNING THENCE NORTH 86°39'18" EAST, 219.12 FEET TO THE BEGINNING OF A 536.00 FOOT RADIUS NON-TANGENT CURVE TO THE LEFT; THENCE ALONG SAID CURVE 214.02 FEET, THROUGH A CENTRAL ANGLE OF 22°52'40" (CHORD BEARS SOUTH 63°11'35" EAST, 212.60 FEET); THENCE SOUTH 25°00'00" EAST, 445.83 FEET TO THE BEGINNING OF A 80.00 FOOT RADIUS CURVE TO THE LEFT; THENCE ALONG SAID CURVE 160.57 FEET, THROUGH A CENTRAL ANGLE OF 115°00'00" (CHORD BEARS SOUTH 82°30'00" EAST, 134.94 FEET); THENCE NORTH 40°00'00" EAST, 353.66 FEET TO THE BEGINNING OF A 684.00 FOOT RADIUS CURVE TO THE RIGHT; THENCE ALONG SAID CURVE 191.01 FEET, THROUGH A CENTRAL ANGLE OF 16°00'00" (CHORD BEARS NORTH 48°00'00" EAST, 190.39 FEET); THENCE NORTH 56°00'00" EAST, 242.47 FEET TO THE BEGINNING OF A 100.00 FOOT RADIUS CURVE TO THE LEFT; THENCE ALONG SAID CURVE 29.31 FEET, THROUGH A CENTRAL ANGLE OF 16°47'32" (CHORD BEARS NORTH 47°36'14" EAST, 29.20 FEET) TO THE BEGINNING OF A 869.00 FOOT RADIUS NON-TANGENT CURVE TO THE RIGHT; THENCE ALONG SAID CURVE 105.90 FEET, THROUGH A CENTRAL ANGLE OF 06°58'57" (CHORD BEARS NORTH 77°27'20" EAST, 105.84 FEET) TO THE BEGINNING OF A 869.00 FOOT RADIUS COMPOUND CURVE TO THE RIGHT; THENCE ALONG SAID CURVE 107.96 FEET, THROUGH A CENTRAL ANGLE OF 07°07'05" (CHORD BEARS NORTH 84°30'21" EAST, 107.89 FEET); THENCE NORTH 01°56'07" WEST, 95.00 FEET TO THE BEGINNING OF A 964.00 FOOT RADIUS NON-TANGENT CURVE TO THE RIGHT; THENCE ALONG SAID CURVE 32.56 FEET, THROUGH A CENTRAL ANGLE OF 01°56'07" (CHORD BEARS NORTH 89°01'57" EAST, 32.56 FEET); THENCE NORTH 90°00'00" EAST, 363.00 FEET; THENCE SOUTH 00°00'00" EAST, 99.73 FEET; THENCE SOUTH 14°00'00" WEST, 236.64 FEET TO THE BEGINNING OF A 160.74 FOOT RADIUS NON-TANGENT CURVE TO THE LEFT; THENCE ALONG SAID CURVE 173.16 FEET, THROUGH A CENTRAL ANGLE OF 61°43'27" (CHORD BEARS SOUTH 16°55'52" EAST, 164.91 FEET) TO THE BEGINNING OF A 188.00 FOOT RADIUS NON-TANGENT CURVE TO THE RIGHT; THENCE ALONG SAID CURVE 114.84 FEET, THROUGH A CENTRAL ANGLE OF 35°00'00" (CHORD BEARS SOUTH 27°30'00" EAST, 113.07 FEET); THENCE SOUTH 10°00'00" EAST, 46.04 FEET TO THE BEGINNING OF A 208.00 FOOT RADIUS CURVE TO THE RIGHT; THENCE ALONG SAID CURVE 221.45 FEET, THROUGH A CENTRAL ANGLE OF 61°00'00" (CHORD BEARS SOUTH 20°30'00" WEST, 211.14 FEET); THENCE SOUTH 51°00'00" WEST, 75.49 FEET; THENCE SOUTH 27°00'00" EAST, 81.66 FEET; THENCE SOUTH 58°00'00" WEST, 272.79 FEET TO THE BEGINNING OF A 736.00 FOOT RADIUS CURVE TO THE LEFT; THENCE ALONG SAID CURVE 423.91 FEET, THROUGH A CENTRAL ANGLE OF 33°00'00" (CHORD BEARS SOUTH 41°30'00" WEST, 418.07 FEET); THENCE SOUTH 25°00'00" WEST, 269.99 FEET TO THE BEGINNING OF A 336.00 FOOT RADIUS CURVE TO THE LEFT; THENCE ALONG SAID CURVE 58.64 FEET, THROUGH A CENTRAL ANGLE OF 10°00'00" (CHORD BEARS SOUTH 20°00'00" WEST, 58.57 FEET); THENCE SOUTH 15°00'00" WEST, 49.98 FEET TO THE BEGINNING OF A 7.00 FOOT RADIUS CURVE TO THE RIGHT; THENCE ALONG SAID CURVE 10.26 FEET, THROUGH A CENTRAL ANGLE OF 84°00'00" (CHORD BEARS SOUTH 57°00'00" WEST, 9.37 FEET); THENCE NORTH 81°00'00" WEST, 499.47 FEET TO THE BEGINNING OF A 336.00 FOOT RADIUS CURVE TO THE LEFT; THENCE ALONG SAID CURVE 93.83 FEET, THROUGH A CENTRAL ANGLE OF 16°00'00" (CHORD BEARS NORTH 89°00'00" WEST, 93.52 FEET); THENCE SOUTH 83°00'00" WEST, 192.73 FEET TO THE BEGINNING OF A 164.00 FOOT RADIUS CURVE TO THE RIGHT; THENCE ALONG SAID CURVE 14.75 FEET, THROUGH A CENTRAL ANGLE OF 05°09'08" (CHORD BEARS SOUTH 85°34'34" WEST, 14.74 FEET); </w:t>
      </w:r>
      <w:r w:rsidRPr="007D300E">
        <w:rPr>
          <w:rFonts w:eastAsia="Aptos"/>
          <w:sz w:val="22"/>
          <w:szCs w:val="22"/>
        </w:rPr>
        <w:lastRenderedPageBreak/>
        <w:t xml:space="preserve">THENCE SOUTH 08°58'45" WEST, 5.09 FEET TO THE BEGINNING OF A 169.00 FOOT RADIUS NON-TANGENT CURVE TO THE RIGHT; THENCE ALONG SAID CURVE 129.24 FEET, THROUGH A CENTRAL ANGLE OF 43°48'59" (CHORD BEARS NORTH 69°36'56" WEST, 126.12 FEET); THENCE NORTH 09°00'00" EAST, 253.43 FEET TO THE BEGINNING OF A 80.00 FOOT RADIUS CURVE TO THE LEFT; THENCE ALONG SAID CURVE 119.57 FEET, THROUGH A CENTRAL ANGLE OF 85°38'10" (CHORD BEARS NORTH 33°49'05" WEST, 108.75 FEET) TO THE BEGINNING OF A 225.00 FOOT RADIUS REVERSE CURVE TO THE RIGHT; THENCE ALONG SAID CURVE 153.78 FEET, THROUGH A CENTRAL ANGLE OF 39°09'31" (CHORD BEARS NORTH 57°03'24" WEST, 150.80 FEET) TO THE BEGINNING OF A 225.00 FOOT RADIUS COMPOUND CURVE TO THE RIGHT; THENCE ALONG SAID CURVE 83.00 FEET, THROUGH A CENTRAL ANGLE OF 21°08'10" (CHORD BEARS NORTH 26°54'34" WEST, 82.53 FEET); THENCE NORTH 16°20'29" WEST, 19.26 FEET; THENCE NORTH 16°20'29" WEST, 260.50 FEET; THENCE NORTH 16°20'29" WEST, 74.22 FEET; THENCE NORTH 13°19'24" WEST, 178.27 FEET; THENCE NORTH 13°19'24" WEST, 138.70 FEET TO THE BEGINNING OF A 238.29 FOOT RADIUS NON-TANGENT CURVE TO THE RIGHT; THENCE ALONG SAID CURVE 162.02 FEET, THROUGH A CENTRAL ANGLE OF 38°57'24" (CHORD BEARS NORTH 05°42'06" EAST, 158.91 FEET) TO THE BEGINNING OF A 387.07 FOOT RADIUS NON-TANGENT CURVE TO THE LEFT; THENCE ALONG SAID CURVE 109.91 FEET, THROUGH A CENTRAL ANGLE OF 16°16'10" (CHORD BEARS NORTH 17°03'29" EAST, 109.54 FEET) TO THE BEGINNING OF A 387.07 FOOT RADIUS COMPOUND CURVE TO THE LEFT; THENCE ALONG SAID CURVE 82.88 FEET, THROUGH A CENTRAL ANGLE OF 12°16'06" (CHORD BEARS NORTH 02°47'21"EAST, 82.72 FEET) TO THE POINT OF BEGINNING. </w:t>
      </w:r>
    </w:p>
    <w:p w14:paraId="2AD51473" w14:textId="77777777" w:rsidR="00537EC8" w:rsidRPr="007D300E" w:rsidRDefault="00537EC8" w:rsidP="00537EC8">
      <w:pPr>
        <w:spacing w:after="160" w:line="259" w:lineRule="auto"/>
        <w:rPr>
          <w:rFonts w:eastAsia="Aptos"/>
          <w:sz w:val="22"/>
          <w:szCs w:val="22"/>
        </w:rPr>
      </w:pPr>
      <w:r w:rsidRPr="007D300E">
        <w:rPr>
          <w:rFonts w:eastAsia="Aptos"/>
          <w:sz w:val="22"/>
          <w:szCs w:val="22"/>
        </w:rPr>
        <w:t>PARCEL CONTAINS 2,269,883 SQ. FT. OR 52.109 ACRES, MORE OR LESS.</w:t>
      </w:r>
    </w:p>
    <w:p w14:paraId="4B7E5139" w14:textId="77777777" w:rsidR="00537EC8" w:rsidRPr="007D300E" w:rsidRDefault="00537EC8" w:rsidP="00537EC8">
      <w:pPr>
        <w:spacing w:after="160" w:line="259" w:lineRule="auto"/>
        <w:rPr>
          <w:rFonts w:eastAsia="Aptos"/>
          <w:sz w:val="22"/>
          <w:szCs w:val="22"/>
        </w:rPr>
      </w:pPr>
    </w:p>
    <w:p w14:paraId="29113962" w14:textId="77777777" w:rsidR="00D43578" w:rsidRDefault="00537EC8" w:rsidP="00537EC8">
      <w:pPr>
        <w:pStyle w:val="00Center"/>
        <w:jc w:val="left"/>
        <w:rPr>
          <w:rFonts w:eastAsia="Aptos"/>
          <w:sz w:val="22"/>
          <w:szCs w:val="22"/>
        </w:rPr>
        <w:sectPr w:rsidR="00D43578" w:rsidSect="00496B3C">
          <w:footerReference w:type="first" r:id="rId22"/>
          <w:pgSz w:w="12240" w:h="15840" w:code="1"/>
          <w:pgMar w:top="1440" w:right="1440" w:bottom="1440" w:left="1440" w:header="720" w:footer="720" w:gutter="0"/>
          <w:pgNumType w:start="1"/>
          <w:cols w:space="720"/>
          <w:titlePg/>
          <w:docGrid w:linePitch="360"/>
        </w:sectPr>
      </w:pPr>
      <w:r w:rsidRPr="007D300E">
        <w:rPr>
          <w:rFonts w:eastAsia="Aptos"/>
          <w:sz w:val="22"/>
          <w:szCs w:val="22"/>
        </w:rPr>
        <w:t>TOTAL AREA 165.478 ACRES, MORE OR LESS.</w:t>
      </w:r>
    </w:p>
    <w:p w14:paraId="25989627" w14:textId="75BC0C3E" w:rsidR="00537EC8" w:rsidRPr="00D43578" w:rsidRDefault="00D43578" w:rsidP="00D43578">
      <w:pPr>
        <w:pStyle w:val="00Center"/>
        <w:ind w:left="-720"/>
      </w:pPr>
      <w:r w:rsidRPr="00D43578">
        <w:lastRenderedPageBreak/>
        <w:t>EXHIBIT B</w:t>
      </w:r>
    </w:p>
    <w:p w14:paraId="2EF80997" w14:textId="7B2302FA" w:rsidR="00D43578" w:rsidRPr="00D43578" w:rsidRDefault="00D43578" w:rsidP="00D43578">
      <w:pPr>
        <w:pStyle w:val="00Center"/>
        <w:ind w:left="-720"/>
      </w:pPr>
      <w:r w:rsidRPr="00D43578">
        <w:t>ACKNOWLEDGMENT, WAIVER AND CONSENT AGREEMENT (BRINGDOWN)</w:t>
      </w:r>
    </w:p>
    <w:p w14:paraId="09361AEC" w14:textId="53BA6ABF" w:rsidR="00D43578" w:rsidRDefault="00D43578">
      <w:pPr>
        <w:rPr>
          <w:sz w:val="22"/>
          <w:szCs w:val="22"/>
        </w:rPr>
      </w:pPr>
    </w:p>
    <w:sectPr w:rsidR="00D43578" w:rsidSect="005408D7">
      <w:footerReference w:type="first" r:id="rId23"/>
      <w:pgSz w:w="12240" w:h="15840" w:code="1"/>
      <w:pgMar w:top="1440" w:right="1440" w:bottom="1440" w:left="2160" w:header="720" w:footer="54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65376A" w14:textId="77777777" w:rsidR="00031714" w:rsidRDefault="00031714">
      <w:r>
        <w:separator/>
      </w:r>
    </w:p>
  </w:endnote>
  <w:endnote w:type="continuationSeparator" w:id="0">
    <w:p w14:paraId="667AD18F" w14:textId="77777777" w:rsidR="00031714" w:rsidRDefault="00031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DC7D0" w14:textId="77777777" w:rsidR="005408D7" w:rsidRDefault="005408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6B2DB9" w14:textId="0045CCB3" w:rsidR="00BC1E62" w:rsidRDefault="00BC1E62" w:rsidP="00BC1E62">
    <w:pPr>
      <w:pStyle w:val="Footer"/>
      <w:tabs>
        <w:tab w:val="clear" w:pos="4680"/>
        <w:tab w:val="clear" w:pos="9360"/>
        <w:tab w:val="center" w:pos="4320"/>
        <w:tab w:val="right" w:pos="8640"/>
      </w:tabs>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9543AA">
      <w:rPr>
        <w:rFonts w:ascii="Arial" w:hAnsi="Arial" w:cs="Arial"/>
        <w:sz w:val="16"/>
      </w:rPr>
      <w:t>4932-1761-6131, v. 2</w:t>
    </w:r>
    <w:r>
      <w:rPr>
        <w:rFonts w:ascii="Arial" w:hAnsi="Arial" w:cs="Arial"/>
        <w:sz w:val="16"/>
      </w:rPr>
      <w:fldChar w:fldCharType="end"/>
    </w:r>
    <w:r>
      <w:rPr>
        <w:rStyle w:val="DocID"/>
      </w:rPr>
      <w:tab/>
    </w:r>
    <w:r w:rsidRPr="00D56CC0">
      <w:rPr>
        <w:rStyle w:val="DocID"/>
        <w:rFonts w:ascii="Times New Roman" w:hAnsi="Times New Roman"/>
        <w:sz w:val="24"/>
      </w:rPr>
      <w:fldChar w:fldCharType="begin"/>
    </w:r>
    <w:r w:rsidRPr="00D56CC0">
      <w:rPr>
        <w:rStyle w:val="DocID"/>
        <w:rFonts w:ascii="Times New Roman" w:hAnsi="Times New Roman"/>
        <w:sz w:val="24"/>
      </w:rPr>
      <w:instrText xml:space="preserve"> PAGE   \* MERGEFORMAT </w:instrText>
    </w:r>
    <w:r w:rsidRPr="00D56CC0">
      <w:rPr>
        <w:rStyle w:val="DocID"/>
        <w:rFonts w:ascii="Times New Roman" w:hAnsi="Times New Roman"/>
        <w:sz w:val="24"/>
      </w:rPr>
      <w:fldChar w:fldCharType="separate"/>
    </w:r>
    <w:r>
      <w:rPr>
        <w:rStyle w:val="DocID"/>
        <w:rFonts w:ascii="Times New Roman" w:hAnsi="Times New Roman"/>
        <w:noProof/>
        <w:sz w:val="24"/>
      </w:rPr>
      <w:t>15</w:t>
    </w:r>
    <w:r w:rsidRPr="00D56CC0">
      <w:rPr>
        <w:rStyle w:val="DocID"/>
        <w:rFonts w:ascii="Times New Roman" w:hAnsi="Times New Roman"/>
        <w:noProof/>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CFECC1" w14:textId="63E6E7F3" w:rsidR="00BC1E62" w:rsidRDefault="00BC1E62" w:rsidP="00BC1E62">
    <w:pPr>
      <w:pStyle w:val="Footer"/>
      <w:tabs>
        <w:tab w:val="clear" w:pos="4680"/>
        <w:tab w:val="clear" w:pos="9360"/>
        <w:tab w:val="center" w:pos="432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4883-9075-0976, v. 2</w:t>
    </w:r>
    <w:r>
      <w:rPr>
        <w:rFonts w:ascii="Arial" w:hAnsi="Arial" w:cs="Arial"/>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AF0A88" w14:textId="3CA54995" w:rsidR="00BC1E62" w:rsidRDefault="00BC1E62" w:rsidP="009E5275">
    <w:pPr>
      <w:tabs>
        <w:tab w:val="center" w:pos="4320"/>
      </w:tabs>
      <w:jc w:val="center"/>
    </w:pPr>
    <w:r>
      <w:t>S-1</w:t>
    </w:r>
  </w:p>
  <w:p w14:paraId="1A07F83F" w14:textId="1A4EF70D" w:rsidR="00BC1E62" w:rsidRDefault="003F77F7" w:rsidP="00BC1E62">
    <w:pPr>
      <w:tabs>
        <w:tab w:val="center" w:pos="4320"/>
      </w:tabs>
      <w:jc w:val="center"/>
    </w:pPr>
    <w:r>
      <w:t xml:space="preserve">FIRST </w:t>
    </w:r>
    <w:r w:rsidR="00AE3BBC">
      <w:t>AMEND</w:t>
    </w:r>
    <w:r w:rsidR="00E66DA7">
      <w:t>MENT TO</w:t>
    </w:r>
    <w:r w:rsidR="00AE3BBC">
      <w:t xml:space="preserve"> </w:t>
    </w:r>
    <w:r w:rsidR="00BC1E62">
      <w:t>ASSESSMENT ORDINANCE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A003FF" w14:textId="77777777" w:rsidR="00031714" w:rsidRDefault="0003171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BCAFC9" w14:textId="3B9707B9" w:rsidR="00031714" w:rsidRDefault="00031714" w:rsidP="00956B7B">
    <w:pPr>
      <w:pStyle w:val="Footer"/>
      <w:rPr>
        <w:rStyle w:val="PageNumber"/>
      </w:rPr>
    </w:pPr>
    <w:r>
      <w:rPr>
        <w:rStyle w:val="DocID"/>
      </w:rPr>
      <w:tab/>
    </w:r>
    <w:r>
      <w:rPr>
        <w:rStyle w:val="DocID"/>
        <w:rFonts w:ascii="Times New Roman" w:hAnsi="Times New Roman"/>
        <w:sz w:val="24"/>
      </w:rPr>
      <w:t>A</w:t>
    </w:r>
    <w:r>
      <w:rPr>
        <w:rStyle w:val="DocID"/>
      </w:rPr>
      <w:t>-</w:t>
    </w: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p w14:paraId="4CC27BB1" w14:textId="63F67C16" w:rsidR="00031714" w:rsidRDefault="00031714" w:rsidP="001807B4">
    <w:pPr>
      <w:pStyle w:val="Footer"/>
      <w:tabs>
        <w:tab w:val="clear" w:pos="4680"/>
        <w:tab w:val="center" w:pos="4320"/>
      </w:tabs>
      <w:spacing w:line="180" w:lineRule="exac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9543AA">
      <w:rPr>
        <w:rFonts w:ascii="Arial" w:hAnsi="Arial" w:cs="Arial"/>
        <w:sz w:val="16"/>
      </w:rPr>
      <w:t>4932-1761-6131, v. 2</w:t>
    </w:r>
    <w:r>
      <w:rPr>
        <w:rFonts w:ascii="Arial" w:hAnsi="Arial" w:cs="Arial"/>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D74049" w14:textId="11C0781D" w:rsidR="00E67836" w:rsidRDefault="00E67836" w:rsidP="009E5275">
    <w:pPr>
      <w:tabs>
        <w:tab w:val="center" w:pos="4320"/>
      </w:tabs>
      <w:jc w:val="center"/>
    </w:pPr>
    <w:r>
      <w:t>S-2</w:t>
    </w:r>
  </w:p>
  <w:p w14:paraId="1CCA112E" w14:textId="77777777" w:rsidR="00E67836" w:rsidRDefault="00E67836" w:rsidP="00E67836">
    <w:pPr>
      <w:tabs>
        <w:tab w:val="center" w:pos="4320"/>
      </w:tabs>
      <w:jc w:val="center"/>
    </w:pPr>
    <w:r>
      <w:t>FIRST AMENDMENT TO ASSESSMENT ORDINANCE</w:t>
    </w:r>
  </w:p>
  <w:p w14:paraId="173AF5AF" w14:textId="5E1AAFCD" w:rsidR="00031714" w:rsidRPr="00E67836" w:rsidRDefault="00031714" w:rsidP="00E67836">
    <w:pPr>
      <w:pStyle w:val="Footer"/>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01B2DD" w14:textId="6F029FA4" w:rsidR="00E67836" w:rsidRPr="00E67836" w:rsidRDefault="00E67836" w:rsidP="00E67836">
    <w:pPr>
      <w:tabs>
        <w:tab w:val="center" w:pos="4320"/>
      </w:tabs>
    </w:pPr>
    <w:r>
      <w:tab/>
      <w:t>A-1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E2D986" w14:textId="2D678B71" w:rsidR="005408D7" w:rsidRPr="00E67836" w:rsidRDefault="005408D7" w:rsidP="00E67836">
    <w:pPr>
      <w:tabs>
        <w:tab w:val="center" w:pos="4320"/>
      </w:tabs>
    </w:pPr>
    <w:r>
      <w:tab/>
      <w:t>B-1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2ACFC7" w14:textId="77777777" w:rsidR="00031714" w:rsidRDefault="00031714">
      <w:r>
        <w:separator/>
      </w:r>
    </w:p>
  </w:footnote>
  <w:footnote w:type="continuationSeparator" w:id="0">
    <w:p w14:paraId="2BE38B8C" w14:textId="77777777" w:rsidR="00031714" w:rsidRDefault="000317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DB568" w14:textId="77777777" w:rsidR="005408D7" w:rsidRDefault="005408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05D1F5" w14:textId="77777777" w:rsidR="005408D7" w:rsidRDefault="005408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1E7A60" w14:textId="77777777" w:rsidR="005408D7" w:rsidRDefault="005408D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EF8264" w14:textId="77777777" w:rsidR="00031714" w:rsidRDefault="0003171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2F27FC" w14:textId="77777777" w:rsidR="00031714" w:rsidRDefault="000317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54B23C" w14:textId="77777777" w:rsidR="00031714" w:rsidRDefault="000317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1D6580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76417E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A6832C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86E97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A2065D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01EAD6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AC4A32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5497B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1A047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9C617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4C2543"/>
    <w:multiLevelType w:val="multilevel"/>
    <w:tmpl w:val="E014F3CC"/>
    <w:lvl w:ilvl="0">
      <w:start w:val="1"/>
      <w:numFmt w:val="decimal"/>
      <w:lvlText w:val="Section %1."/>
      <w:lvlJc w:val="left"/>
      <w:pPr>
        <w:tabs>
          <w:tab w:val="num" w:pos="360"/>
        </w:tabs>
        <w:ind w:left="360" w:hanging="360"/>
      </w:pPr>
    </w:lvl>
    <w:lvl w:ilvl="1">
      <w:start w:val="1"/>
      <w:numFmt w:val="decimal"/>
      <w:pStyle w:val="Heading24Body"/>
      <w:suff w:val="space"/>
      <w:lvlText w:val="Section %1.%2."/>
      <w:lvlJc w:val="left"/>
      <w:pPr>
        <w:tabs>
          <w:tab w:val="num" w:pos="1440"/>
        </w:tabs>
        <w:ind w:left="0" w:firstLine="720"/>
      </w:pPr>
      <w:rPr>
        <w:b w:val="0"/>
        <w:i w:val="0"/>
        <w:caps w:val="0"/>
        <w:sz w:val="24"/>
        <w:u w:val="none"/>
      </w:rPr>
    </w:lvl>
    <w:lvl w:ilvl="2">
      <w:start w:val="1"/>
      <w:numFmt w:val="lowerLetter"/>
      <w:pStyle w:val="Heading32Body"/>
      <w:lvlText w:val="(%3)"/>
      <w:lvlJc w:val="left"/>
      <w:pPr>
        <w:tabs>
          <w:tab w:val="num" w:pos="2160"/>
        </w:tabs>
        <w:ind w:left="720" w:firstLine="720"/>
      </w:pPr>
      <w:rPr>
        <w:b w:val="0"/>
        <w:i w:val="0"/>
        <w:caps w:val="0"/>
        <w:sz w:val="24"/>
        <w:u w:val="none"/>
      </w:r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4"/>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72704DC"/>
    <w:multiLevelType w:val="multilevel"/>
    <w:tmpl w:val="E522DC20"/>
    <w:name w:val="General Numbering (1a)"/>
    <w:lvl w:ilvl="0">
      <w:start w:val="1"/>
      <w:numFmt w:val="decimal"/>
      <w:lvlText w:val="Section %1."/>
      <w:lvlJc w:val="left"/>
      <w:pPr>
        <w:tabs>
          <w:tab w:val="num" w:pos="1800"/>
        </w:tabs>
        <w:ind w:left="0" w:firstLine="720"/>
      </w:pPr>
      <w:rPr>
        <w:rFonts w:hint="default"/>
        <w:caps w:val="0"/>
        <w:color w:val="auto"/>
        <w:u w:val="none"/>
      </w:rPr>
    </w:lvl>
    <w:lvl w:ilvl="1">
      <w:start w:val="1"/>
      <w:numFmt w:val="lowerLetter"/>
      <w:lvlText w:val="(%2)"/>
      <w:lvlJc w:val="left"/>
      <w:pPr>
        <w:tabs>
          <w:tab w:val="num" w:pos="1800"/>
        </w:tabs>
        <w:ind w:left="720" w:firstLine="720"/>
      </w:pPr>
      <w:rPr>
        <w:rFonts w:hint="default"/>
        <w:caps w:val="0"/>
        <w:color w:val="auto"/>
        <w:u w:val="none"/>
      </w:rPr>
    </w:lvl>
    <w:lvl w:ilvl="2">
      <w:start w:val="1"/>
      <w:numFmt w:val="lowerRoman"/>
      <w:lvlText w:val="(%3)"/>
      <w:lvlJc w:val="left"/>
      <w:pPr>
        <w:tabs>
          <w:tab w:val="num" w:pos="2880"/>
        </w:tabs>
        <w:ind w:left="1440" w:firstLine="720"/>
      </w:pPr>
      <w:rPr>
        <w:rFonts w:hint="default"/>
        <w:caps w:val="0"/>
        <w:color w:val="auto"/>
        <w:u w:val="none"/>
      </w:rPr>
    </w:lvl>
    <w:lvl w:ilvl="3">
      <w:start w:val="1"/>
      <w:numFmt w:val="decimal"/>
      <w:lvlText w:val="(%4)"/>
      <w:lvlJc w:val="left"/>
      <w:pPr>
        <w:tabs>
          <w:tab w:val="num" w:pos="3600"/>
        </w:tabs>
        <w:ind w:left="3600" w:hanging="720"/>
      </w:pPr>
      <w:rPr>
        <w:rFonts w:hint="default"/>
        <w:caps w:val="0"/>
        <w:color w:val="auto"/>
        <w:u w:val="none"/>
      </w:rPr>
    </w:lvl>
    <w:lvl w:ilvl="4">
      <w:start w:val="1"/>
      <w:numFmt w:val="lowerLetter"/>
      <w:lvlText w:val="%5."/>
      <w:lvlJc w:val="left"/>
      <w:pPr>
        <w:tabs>
          <w:tab w:val="num" w:pos="4320"/>
        </w:tabs>
        <w:ind w:left="4320" w:hanging="720"/>
      </w:pPr>
      <w:rPr>
        <w:rFonts w:hint="default"/>
        <w:caps w:val="0"/>
        <w:color w:val="auto"/>
        <w:u w:val="none"/>
      </w:rPr>
    </w:lvl>
    <w:lvl w:ilvl="5">
      <w:start w:val="1"/>
      <w:numFmt w:val="lowerRoman"/>
      <w:lvlText w:val="%6."/>
      <w:lvlJc w:val="left"/>
      <w:pPr>
        <w:tabs>
          <w:tab w:val="num" w:pos="5040"/>
        </w:tabs>
        <w:ind w:left="5040" w:hanging="720"/>
      </w:pPr>
      <w:rPr>
        <w:rFonts w:hint="default"/>
        <w:caps w:val="0"/>
        <w:color w:val="auto"/>
        <w:u w:val="none"/>
      </w:rPr>
    </w:lvl>
    <w:lvl w:ilvl="6">
      <w:start w:val="1"/>
      <w:numFmt w:val="decimal"/>
      <w:lvlText w:val="%7)"/>
      <w:lvlJc w:val="left"/>
      <w:pPr>
        <w:tabs>
          <w:tab w:val="num" w:pos="5760"/>
        </w:tabs>
        <w:ind w:left="5760" w:hanging="720"/>
      </w:pPr>
      <w:rPr>
        <w:rFonts w:hint="default"/>
        <w:caps w:val="0"/>
        <w:color w:val="auto"/>
        <w:u w:val="none"/>
      </w:rPr>
    </w:lvl>
    <w:lvl w:ilvl="7">
      <w:start w:val="1"/>
      <w:numFmt w:val="lowerLetter"/>
      <w:lvlText w:val="%8)"/>
      <w:lvlJc w:val="left"/>
      <w:pPr>
        <w:tabs>
          <w:tab w:val="num" w:pos="6480"/>
        </w:tabs>
        <w:ind w:left="6480" w:hanging="720"/>
      </w:pPr>
      <w:rPr>
        <w:rFonts w:hint="default"/>
        <w:caps w:val="0"/>
        <w:color w:val="auto"/>
        <w:u w:val="none"/>
      </w:rPr>
    </w:lvl>
    <w:lvl w:ilvl="8">
      <w:start w:val="1"/>
      <w:numFmt w:val="lowerRoman"/>
      <w:lvlText w:val="%9)"/>
      <w:lvlJc w:val="left"/>
      <w:pPr>
        <w:tabs>
          <w:tab w:val="num" w:pos="7200"/>
        </w:tabs>
        <w:ind w:left="7200" w:hanging="720"/>
      </w:pPr>
      <w:rPr>
        <w:rFonts w:hint="default"/>
        <w:caps w:val="0"/>
        <w:color w:val="auto"/>
        <w:u w:val="none"/>
      </w:rPr>
    </w:lvl>
  </w:abstractNum>
  <w:abstractNum w:abstractNumId="12" w15:restartNumberingAfterBreak="0">
    <w:nsid w:val="0A2027CF"/>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CE97E5B"/>
    <w:multiLevelType w:val="hybridMultilevel"/>
    <w:tmpl w:val="6D722E0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0F6A127D"/>
    <w:multiLevelType w:val="hybridMultilevel"/>
    <w:tmpl w:val="DB027412"/>
    <w:lvl w:ilvl="0" w:tplc="6A9663D4">
      <w:start w:val="1"/>
      <w:numFmt w:val="decimal"/>
      <w:pStyle w:val="00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3637C21"/>
    <w:multiLevelType w:val="multilevel"/>
    <w:tmpl w:val="D2F82180"/>
    <w:name w:val="BSAI Scheme 4"/>
    <w:lvl w:ilvl="0">
      <w:start w:val="1"/>
      <w:numFmt w:val="decimal"/>
      <w:pStyle w:val="Heading1"/>
      <w:lvlText w:val="Section %1."/>
      <w:lvlJc w:val="left"/>
      <w:pPr>
        <w:tabs>
          <w:tab w:val="num" w:pos="1800"/>
        </w:tabs>
        <w:ind w:left="0" w:firstLine="720"/>
      </w:pPr>
      <w:rPr>
        <w:rFonts w:hint="default"/>
        <w:caps w:val="0"/>
        <w:color w:val="auto"/>
        <w:u w:val="none"/>
      </w:rPr>
    </w:lvl>
    <w:lvl w:ilvl="1">
      <w:start w:val="1"/>
      <w:numFmt w:val="lowerLetter"/>
      <w:pStyle w:val="Heading2"/>
      <w:lvlText w:val="(%2)"/>
      <w:lvlJc w:val="left"/>
      <w:pPr>
        <w:tabs>
          <w:tab w:val="num" w:pos="1800"/>
        </w:tabs>
        <w:ind w:left="720" w:firstLine="720"/>
      </w:pPr>
      <w:rPr>
        <w:rFonts w:hint="default"/>
        <w:caps w:val="0"/>
        <w:color w:val="auto"/>
        <w:u w:val="none"/>
      </w:rPr>
    </w:lvl>
    <w:lvl w:ilvl="2">
      <w:start w:val="1"/>
      <w:numFmt w:val="lowerRoman"/>
      <w:pStyle w:val="Heading3"/>
      <w:lvlText w:val="(%3)"/>
      <w:lvlJc w:val="left"/>
      <w:pPr>
        <w:tabs>
          <w:tab w:val="num" w:pos="2880"/>
        </w:tabs>
        <w:ind w:left="1440" w:firstLine="720"/>
      </w:pPr>
      <w:rPr>
        <w:rFonts w:hint="default"/>
        <w:caps w:val="0"/>
        <w:color w:val="auto"/>
        <w:u w:val="none"/>
      </w:rPr>
    </w:lvl>
    <w:lvl w:ilvl="3">
      <w:start w:val="1"/>
      <w:numFmt w:val="decimal"/>
      <w:pStyle w:val="Heading4"/>
      <w:lvlText w:val="(%4)"/>
      <w:lvlJc w:val="left"/>
      <w:pPr>
        <w:tabs>
          <w:tab w:val="num" w:pos="4320"/>
        </w:tabs>
        <w:ind w:left="4320" w:hanging="720"/>
      </w:pPr>
      <w:rPr>
        <w:rFonts w:hint="default"/>
        <w:caps w:val="0"/>
        <w:color w:val="auto"/>
        <w:u w:val="none"/>
      </w:rPr>
    </w:lvl>
    <w:lvl w:ilvl="4">
      <w:start w:val="1"/>
      <w:numFmt w:val="lowerLetter"/>
      <w:pStyle w:val="Heading5"/>
      <w:lvlText w:val="%5."/>
      <w:lvlJc w:val="left"/>
      <w:pPr>
        <w:tabs>
          <w:tab w:val="num" w:pos="5040"/>
        </w:tabs>
        <w:ind w:left="5040" w:hanging="720"/>
      </w:pPr>
      <w:rPr>
        <w:rFonts w:hint="default"/>
        <w:caps w:val="0"/>
        <w:color w:val="auto"/>
        <w:u w:val="none"/>
      </w:rPr>
    </w:lvl>
    <w:lvl w:ilvl="5">
      <w:start w:val="1"/>
      <w:numFmt w:val="lowerRoman"/>
      <w:pStyle w:val="Heading6"/>
      <w:lvlText w:val="%6."/>
      <w:lvlJc w:val="left"/>
      <w:pPr>
        <w:tabs>
          <w:tab w:val="num" w:pos="5760"/>
        </w:tabs>
        <w:ind w:left="5760" w:hanging="720"/>
      </w:pPr>
      <w:rPr>
        <w:rFonts w:hint="default"/>
        <w:caps w:val="0"/>
        <w:color w:val="auto"/>
        <w:u w:val="none"/>
      </w:rPr>
    </w:lvl>
    <w:lvl w:ilvl="6">
      <w:start w:val="1"/>
      <w:numFmt w:val="decimal"/>
      <w:pStyle w:val="Heading7"/>
      <w:lvlText w:val="%7)"/>
      <w:lvlJc w:val="left"/>
      <w:pPr>
        <w:tabs>
          <w:tab w:val="num" w:pos="6480"/>
        </w:tabs>
        <w:ind w:left="6480" w:hanging="720"/>
      </w:pPr>
      <w:rPr>
        <w:rFonts w:hint="default"/>
        <w:caps w:val="0"/>
        <w:color w:val="auto"/>
        <w:u w:val="none"/>
      </w:rPr>
    </w:lvl>
    <w:lvl w:ilvl="7">
      <w:start w:val="1"/>
      <w:numFmt w:val="lowerLetter"/>
      <w:pStyle w:val="Heading8"/>
      <w:lvlText w:val="%8)"/>
      <w:lvlJc w:val="left"/>
      <w:pPr>
        <w:tabs>
          <w:tab w:val="num" w:pos="7200"/>
        </w:tabs>
        <w:ind w:left="7200" w:hanging="720"/>
      </w:pPr>
      <w:rPr>
        <w:rFonts w:hint="default"/>
        <w:caps w:val="0"/>
        <w:color w:val="auto"/>
        <w:u w:val="none"/>
      </w:rPr>
    </w:lvl>
    <w:lvl w:ilvl="8">
      <w:start w:val="1"/>
      <w:numFmt w:val="lowerRoman"/>
      <w:pStyle w:val="Heading9"/>
      <w:lvlText w:val="%9)"/>
      <w:lvlJc w:val="left"/>
      <w:pPr>
        <w:tabs>
          <w:tab w:val="num" w:pos="7920"/>
        </w:tabs>
        <w:ind w:left="7920" w:hanging="720"/>
      </w:pPr>
      <w:rPr>
        <w:rFonts w:hint="default"/>
        <w:caps w:val="0"/>
        <w:color w:val="auto"/>
        <w:u w:val="none"/>
      </w:rPr>
    </w:lvl>
  </w:abstractNum>
  <w:abstractNum w:abstractNumId="16" w15:restartNumberingAfterBreak="0">
    <w:nsid w:val="18703093"/>
    <w:multiLevelType w:val="hybridMultilevel"/>
    <w:tmpl w:val="D80E4E76"/>
    <w:lvl w:ilvl="0" w:tplc="2330537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8C3201"/>
    <w:multiLevelType w:val="hybridMultilevel"/>
    <w:tmpl w:val="DA46737A"/>
    <w:lvl w:ilvl="0" w:tplc="FFFFFFFF">
      <w:start w:val="1"/>
      <w:numFmt w:val="lowerRoman"/>
      <w:lvlText w:val="(%1)"/>
      <w:lvlJc w:val="left"/>
      <w:pPr>
        <w:ind w:left="2880" w:hanging="720"/>
      </w:pPr>
      <w:rPr>
        <w:rFonts w:hint="default"/>
      </w:r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19"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D00721B"/>
    <w:multiLevelType w:val="hybridMultilevel"/>
    <w:tmpl w:val="E26C0C2E"/>
    <w:lvl w:ilvl="0" w:tplc="E1DC6488">
      <w:start w:val="1"/>
      <w:numFmt w:val="bullet"/>
      <w:pStyle w:val="00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9D9421D"/>
    <w:multiLevelType w:val="multilevel"/>
    <w:tmpl w:val="F5BCC148"/>
    <w:lvl w:ilvl="0">
      <w:start w:val="1"/>
      <w:numFmt w:val="decimal"/>
      <w:lvlText w:val="Section %1."/>
      <w:lvlJc w:val="left"/>
      <w:pPr>
        <w:tabs>
          <w:tab w:val="num" w:pos="1800"/>
        </w:tabs>
        <w:ind w:left="0" w:firstLine="720"/>
      </w:pPr>
      <w:rPr>
        <w:rFonts w:hint="default"/>
        <w:caps w:val="0"/>
        <w:color w:val="auto"/>
        <w:u w:val="none"/>
      </w:rPr>
    </w:lvl>
    <w:lvl w:ilvl="1">
      <w:start w:val="1"/>
      <w:numFmt w:val="lowerLetter"/>
      <w:lvlText w:val="(%2)"/>
      <w:lvlJc w:val="left"/>
      <w:pPr>
        <w:tabs>
          <w:tab w:val="num" w:pos="1800"/>
        </w:tabs>
        <w:ind w:left="720" w:firstLine="720"/>
      </w:pPr>
      <w:rPr>
        <w:rFonts w:hint="default"/>
        <w:caps w:val="0"/>
        <w:color w:val="auto"/>
        <w:u w:val="none"/>
      </w:rPr>
    </w:lvl>
    <w:lvl w:ilvl="2">
      <w:start w:val="1"/>
      <w:numFmt w:val="lowerRoman"/>
      <w:lvlText w:val="(%3)"/>
      <w:lvlJc w:val="left"/>
      <w:pPr>
        <w:tabs>
          <w:tab w:val="num" w:pos="2880"/>
        </w:tabs>
        <w:ind w:left="1440" w:firstLine="720"/>
      </w:pPr>
      <w:rPr>
        <w:rFonts w:hint="default"/>
        <w:caps w:val="0"/>
        <w:color w:val="auto"/>
        <w:u w:val="none"/>
      </w:rPr>
    </w:lvl>
    <w:lvl w:ilvl="3">
      <w:start w:val="1"/>
      <w:numFmt w:val="decimal"/>
      <w:lvlText w:val="(%4)"/>
      <w:lvlJc w:val="left"/>
      <w:pPr>
        <w:tabs>
          <w:tab w:val="num" w:pos="3240"/>
        </w:tabs>
        <w:ind w:left="2160" w:firstLine="720"/>
      </w:pPr>
      <w:rPr>
        <w:rFonts w:hint="default"/>
        <w:caps w:val="0"/>
        <w:color w:val="auto"/>
        <w:u w:val="none"/>
      </w:rPr>
    </w:lvl>
    <w:lvl w:ilvl="4">
      <w:start w:val="1"/>
      <w:numFmt w:val="lowerLetter"/>
      <w:lvlText w:val="%5."/>
      <w:lvlJc w:val="left"/>
      <w:pPr>
        <w:tabs>
          <w:tab w:val="num" w:pos="5040"/>
        </w:tabs>
        <w:ind w:left="0" w:firstLine="4320"/>
      </w:pPr>
      <w:rPr>
        <w:rFonts w:hint="default"/>
        <w:caps w:val="0"/>
        <w:color w:val="auto"/>
        <w:u w:val="none"/>
      </w:rPr>
    </w:lvl>
    <w:lvl w:ilvl="5">
      <w:start w:val="1"/>
      <w:numFmt w:val="lowerRoman"/>
      <w:lvlText w:val="%6."/>
      <w:lvlJc w:val="left"/>
      <w:pPr>
        <w:tabs>
          <w:tab w:val="num" w:pos="5760"/>
        </w:tabs>
        <w:ind w:left="0" w:firstLine="5040"/>
      </w:pPr>
      <w:rPr>
        <w:rFonts w:hint="default"/>
        <w:caps w:val="0"/>
        <w:color w:val="auto"/>
        <w:u w:val="none"/>
      </w:rPr>
    </w:lvl>
    <w:lvl w:ilvl="6">
      <w:start w:val="1"/>
      <w:numFmt w:val="decimal"/>
      <w:lvlText w:val="%7)"/>
      <w:lvlJc w:val="left"/>
      <w:pPr>
        <w:tabs>
          <w:tab w:val="num" w:pos="6480"/>
        </w:tabs>
        <w:ind w:left="0" w:firstLine="5760"/>
      </w:pPr>
      <w:rPr>
        <w:rFonts w:hint="default"/>
        <w:caps w:val="0"/>
        <w:color w:val="auto"/>
        <w:u w:val="none"/>
      </w:rPr>
    </w:lvl>
    <w:lvl w:ilvl="7">
      <w:start w:val="1"/>
      <w:numFmt w:val="lowerLetter"/>
      <w:lvlText w:val="%8)"/>
      <w:lvlJc w:val="left"/>
      <w:pPr>
        <w:tabs>
          <w:tab w:val="num" w:pos="7200"/>
        </w:tabs>
        <w:ind w:left="0" w:firstLine="6480"/>
      </w:pPr>
      <w:rPr>
        <w:rFonts w:hint="default"/>
        <w:caps w:val="0"/>
        <w:color w:val="auto"/>
        <w:u w:val="none"/>
      </w:rPr>
    </w:lvl>
    <w:lvl w:ilvl="8">
      <w:start w:val="1"/>
      <w:numFmt w:val="lowerRoman"/>
      <w:lvlText w:val="%9)"/>
      <w:lvlJc w:val="left"/>
      <w:pPr>
        <w:tabs>
          <w:tab w:val="num" w:pos="7920"/>
        </w:tabs>
        <w:ind w:left="0" w:firstLine="7200"/>
      </w:pPr>
      <w:rPr>
        <w:rFonts w:hint="default"/>
        <w:caps w:val="0"/>
        <w:color w:val="auto"/>
        <w:u w:val="none"/>
      </w:rPr>
    </w:lvl>
  </w:abstractNum>
  <w:abstractNum w:abstractNumId="23" w15:restartNumberingAfterBreak="0">
    <w:nsid w:val="5A5E1535"/>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5B995963"/>
    <w:multiLevelType w:val="hybridMultilevel"/>
    <w:tmpl w:val="230A818A"/>
    <w:lvl w:ilvl="0" w:tplc="C71E5206">
      <w:start w:val="1"/>
      <w:numFmt w:val="upperLetter"/>
      <w:lvlText w:val="(%1)"/>
      <w:lvlJc w:val="left"/>
      <w:pPr>
        <w:ind w:left="4755" w:hanging="435"/>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25" w15:restartNumberingAfterBreak="0">
    <w:nsid w:val="5C270681"/>
    <w:multiLevelType w:val="multilevel"/>
    <w:tmpl w:val="69F68A04"/>
    <w:lvl w:ilvl="0">
      <w:start w:val="1"/>
      <w:numFmt w:val="decimal"/>
      <w:lvlText w:val="Section %1."/>
      <w:lvlJc w:val="left"/>
      <w:pPr>
        <w:tabs>
          <w:tab w:val="num" w:pos="1800"/>
        </w:tabs>
        <w:ind w:left="0" w:firstLine="720"/>
      </w:pPr>
      <w:rPr>
        <w:rFonts w:hint="default"/>
      </w:rPr>
    </w:lvl>
    <w:lvl w:ilvl="1">
      <w:start w:val="1"/>
      <w:numFmt w:val="lowerLetter"/>
      <w:lvlText w:val="(%2)"/>
      <w:lvlJc w:val="left"/>
      <w:pPr>
        <w:tabs>
          <w:tab w:val="num" w:pos="1800"/>
        </w:tabs>
        <w:ind w:left="720" w:firstLine="720"/>
      </w:pPr>
      <w:rPr>
        <w:rFonts w:hint="default"/>
      </w:rPr>
    </w:lvl>
    <w:lvl w:ilvl="2">
      <w:start w:val="1"/>
      <w:numFmt w:val="lowerRoman"/>
      <w:lvlText w:val="%3."/>
      <w:lvlJc w:val="left"/>
      <w:pPr>
        <w:tabs>
          <w:tab w:val="num" w:pos="2880"/>
        </w:tabs>
        <w:ind w:left="1440" w:firstLine="720"/>
      </w:pPr>
      <w:rPr>
        <w:rFonts w:hint="default"/>
      </w:rPr>
    </w:lvl>
    <w:lvl w:ilvl="3">
      <w:start w:val="1"/>
      <w:numFmt w:val="decimal"/>
      <w:lvlText w:val="(%4)"/>
      <w:lvlJc w:val="left"/>
      <w:pPr>
        <w:tabs>
          <w:tab w:val="num" w:pos="3240"/>
        </w:tabs>
        <w:ind w:left="2160" w:firstLine="720"/>
      </w:pPr>
      <w:rPr>
        <w:rFonts w:hint="default"/>
      </w:rPr>
    </w:lvl>
    <w:lvl w:ilvl="4">
      <w:start w:val="1"/>
      <w:numFmt w:val="lowerLetter"/>
      <w:lvlText w:val="(%5)"/>
      <w:lvlJc w:val="left"/>
      <w:pPr>
        <w:tabs>
          <w:tab w:val="num" w:pos="3960"/>
        </w:tabs>
        <w:ind w:left="2880" w:firstLine="720"/>
      </w:pPr>
      <w:rPr>
        <w:rFonts w:hint="default"/>
      </w:rPr>
    </w:lvl>
    <w:lvl w:ilvl="5">
      <w:start w:val="1"/>
      <w:numFmt w:val="lowerRoman"/>
      <w:lvlText w:val="(%6)"/>
      <w:lvlJc w:val="left"/>
      <w:pPr>
        <w:tabs>
          <w:tab w:val="num" w:pos="5040"/>
        </w:tabs>
        <w:ind w:left="3600" w:firstLine="720"/>
      </w:pPr>
      <w:rPr>
        <w:rFonts w:hint="default"/>
      </w:rPr>
    </w:lvl>
    <w:lvl w:ilvl="6">
      <w:start w:val="1"/>
      <w:numFmt w:val="decimal"/>
      <w:lvlText w:val="%7)"/>
      <w:lvlJc w:val="left"/>
      <w:pPr>
        <w:tabs>
          <w:tab w:val="num" w:pos="5400"/>
        </w:tabs>
        <w:ind w:left="2880" w:firstLine="2160"/>
      </w:pPr>
      <w:rPr>
        <w:rFonts w:hint="default"/>
      </w:rPr>
    </w:lvl>
    <w:lvl w:ilvl="7">
      <w:start w:val="1"/>
      <w:numFmt w:val="lowerLetter"/>
      <w:lvlText w:val="%8)"/>
      <w:lvlJc w:val="left"/>
      <w:pPr>
        <w:tabs>
          <w:tab w:val="num" w:pos="6120"/>
        </w:tabs>
        <w:ind w:left="3600" w:firstLine="2160"/>
      </w:pPr>
      <w:rPr>
        <w:rFonts w:hint="default"/>
      </w:rPr>
    </w:lvl>
    <w:lvl w:ilvl="8">
      <w:start w:val="1"/>
      <w:numFmt w:val="lowerRoman"/>
      <w:lvlText w:val="%9)"/>
      <w:lvlJc w:val="left"/>
      <w:pPr>
        <w:tabs>
          <w:tab w:val="num" w:pos="7200"/>
        </w:tabs>
        <w:ind w:left="4320" w:firstLine="2160"/>
      </w:pPr>
      <w:rPr>
        <w:rFonts w:hint="default"/>
      </w:rPr>
    </w:lvl>
  </w:abstractNum>
  <w:abstractNum w:abstractNumId="26" w15:restartNumberingAfterBreak="0">
    <w:nsid w:val="6D0F328D"/>
    <w:multiLevelType w:val="hybridMultilevel"/>
    <w:tmpl w:val="DA46737A"/>
    <w:lvl w:ilvl="0" w:tplc="BA4A2968">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2096898425">
    <w:abstractNumId w:val="20"/>
  </w:num>
  <w:num w:numId="2" w16cid:durableId="1391726862">
    <w:abstractNumId w:val="14"/>
  </w:num>
  <w:num w:numId="3" w16cid:durableId="325790199">
    <w:abstractNumId w:val="15"/>
  </w:num>
  <w:num w:numId="4" w16cid:durableId="552691082">
    <w:abstractNumId w:val="6"/>
  </w:num>
  <w:num w:numId="5" w16cid:durableId="2080057963">
    <w:abstractNumId w:val="9"/>
  </w:num>
  <w:num w:numId="6" w16cid:durableId="660040177">
    <w:abstractNumId w:val="7"/>
  </w:num>
  <w:num w:numId="7" w16cid:durableId="824055385">
    <w:abstractNumId w:val="5"/>
  </w:num>
  <w:num w:numId="8" w16cid:durableId="1810509741">
    <w:abstractNumId w:val="4"/>
  </w:num>
  <w:num w:numId="9" w16cid:durableId="522519319">
    <w:abstractNumId w:val="8"/>
  </w:num>
  <w:num w:numId="10" w16cid:durableId="1970281451">
    <w:abstractNumId w:val="3"/>
  </w:num>
  <w:num w:numId="11" w16cid:durableId="446780258">
    <w:abstractNumId w:val="2"/>
  </w:num>
  <w:num w:numId="12" w16cid:durableId="1284535036">
    <w:abstractNumId w:val="1"/>
  </w:num>
  <w:num w:numId="13" w16cid:durableId="2042390486">
    <w:abstractNumId w:val="0"/>
  </w:num>
  <w:num w:numId="14" w16cid:durableId="537396517">
    <w:abstractNumId w:val="19"/>
  </w:num>
  <w:num w:numId="15" w16cid:durableId="733242046">
    <w:abstractNumId w:val="20"/>
  </w:num>
  <w:num w:numId="16" w16cid:durableId="2121564072">
    <w:abstractNumId w:val="14"/>
  </w:num>
  <w:num w:numId="17" w16cid:durableId="226376460">
    <w:abstractNumId w:val="17"/>
  </w:num>
  <w:num w:numId="18" w16cid:durableId="714813074">
    <w:abstractNumId w:val="15"/>
  </w:num>
  <w:num w:numId="19" w16cid:durableId="32875297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1539642">
    <w:abstractNumId w:val="10"/>
  </w:num>
  <w:num w:numId="21" w16cid:durableId="252251127">
    <w:abstractNumId w:val="15"/>
  </w:num>
  <w:num w:numId="22" w16cid:durableId="1178613138">
    <w:abstractNumId w:val="15"/>
  </w:num>
  <w:num w:numId="23" w16cid:durableId="485975613">
    <w:abstractNumId w:val="15"/>
  </w:num>
  <w:num w:numId="24" w16cid:durableId="1399596193">
    <w:abstractNumId w:val="15"/>
  </w:num>
  <w:num w:numId="25" w16cid:durableId="1336030343">
    <w:abstractNumId w:val="15"/>
  </w:num>
  <w:num w:numId="26" w16cid:durableId="1459490419">
    <w:abstractNumId w:val="15"/>
  </w:num>
  <w:num w:numId="27" w16cid:durableId="1104492621">
    <w:abstractNumId w:val="15"/>
  </w:num>
  <w:num w:numId="28" w16cid:durableId="1739356477">
    <w:abstractNumId w:val="15"/>
  </w:num>
  <w:num w:numId="29" w16cid:durableId="1085687746">
    <w:abstractNumId w:val="15"/>
  </w:num>
  <w:num w:numId="30" w16cid:durableId="1111626412">
    <w:abstractNumId w:val="15"/>
  </w:num>
  <w:num w:numId="31" w16cid:durableId="86271268">
    <w:abstractNumId w:val="15"/>
  </w:num>
  <w:num w:numId="32" w16cid:durableId="392773610">
    <w:abstractNumId w:val="15"/>
  </w:num>
  <w:num w:numId="33" w16cid:durableId="1782069596">
    <w:abstractNumId w:val="15"/>
  </w:num>
  <w:num w:numId="34" w16cid:durableId="1170481822">
    <w:abstractNumId w:val="24"/>
  </w:num>
  <w:num w:numId="35" w16cid:durableId="1644698345">
    <w:abstractNumId w:val="16"/>
  </w:num>
  <w:num w:numId="36" w16cid:durableId="669911299">
    <w:abstractNumId w:val="26"/>
  </w:num>
  <w:num w:numId="37" w16cid:durableId="542405236">
    <w:abstractNumId w:val="18"/>
  </w:num>
  <w:num w:numId="38" w16cid:durableId="536818194">
    <w:abstractNumId w:val="13"/>
  </w:num>
  <w:num w:numId="39" w16cid:durableId="14039439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clickAndTypeStyle w:val="Double"/>
  <w:drawingGridHorizontalSpacing w:val="120"/>
  <w:drawingGridVerticalSpacing w:val="163"/>
  <w:displayHorizontalDrawingGridEvery w:val="0"/>
  <w:displayVerticalDrawingGridEvery w:val="2"/>
  <w:doNotShadeFormData/>
  <w:characterSpacingControl w:val="compressPunctuation"/>
  <w:hdrShapeDefaults>
    <o:shapedefaults v:ext="edit" spidmax="23040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dGeneratedStamp" w:val="4932-1761-6131, v. 2"/>
    <w:docVar w:name="ndGeneratedStampLocation" w:val="ExceptFirst"/>
  </w:docVars>
  <w:rsids>
    <w:rsidRoot w:val="00B222FA"/>
    <w:rsid w:val="00000B2F"/>
    <w:rsid w:val="00002BE4"/>
    <w:rsid w:val="000036E0"/>
    <w:rsid w:val="00006981"/>
    <w:rsid w:val="00007E38"/>
    <w:rsid w:val="000100A6"/>
    <w:rsid w:val="00011F29"/>
    <w:rsid w:val="0001352D"/>
    <w:rsid w:val="000140C9"/>
    <w:rsid w:val="00015C5F"/>
    <w:rsid w:val="00017EA5"/>
    <w:rsid w:val="00021597"/>
    <w:rsid w:val="00021E53"/>
    <w:rsid w:val="0002206A"/>
    <w:rsid w:val="00025C08"/>
    <w:rsid w:val="00027CF2"/>
    <w:rsid w:val="00027F10"/>
    <w:rsid w:val="0003044D"/>
    <w:rsid w:val="00030760"/>
    <w:rsid w:val="00031714"/>
    <w:rsid w:val="00034BE8"/>
    <w:rsid w:val="0003798D"/>
    <w:rsid w:val="00037D8F"/>
    <w:rsid w:val="00040E16"/>
    <w:rsid w:val="00042048"/>
    <w:rsid w:val="00044B4E"/>
    <w:rsid w:val="00045906"/>
    <w:rsid w:val="000521FB"/>
    <w:rsid w:val="0006221A"/>
    <w:rsid w:val="000622E2"/>
    <w:rsid w:val="00063A38"/>
    <w:rsid w:val="00064C9C"/>
    <w:rsid w:val="00065034"/>
    <w:rsid w:val="00065A94"/>
    <w:rsid w:val="00070E32"/>
    <w:rsid w:val="000712D1"/>
    <w:rsid w:val="000805FE"/>
    <w:rsid w:val="0008332B"/>
    <w:rsid w:val="00083A13"/>
    <w:rsid w:val="000856D5"/>
    <w:rsid w:val="000871CA"/>
    <w:rsid w:val="00091304"/>
    <w:rsid w:val="00094364"/>
    <w:rsid w:val="000A0CF0"/>
    <w:rsid w:val="000A1D3B"/>
    <w:rsid w:val="000A2566"/>
    <w:rsid w:val="000A5C50"/>
    <w:rsid w:val="000A7C88"/>
    <w:rsid w:val="000B1378"/>
    <w:rsid w:val="000B6BF4"/>
    <w:rsid w:val="000B7777"/>
    <w:rsid w:val="000B7F5F"/>
    <w:rsid w:val="000C006D"/>
    <w:rsid w:val="000C07E9"/>
    <w:rsid w:val="000C4976"/>
    <w:rsid w:val="000D4878"/>
    <w:rsid w:val="000D49ED"/>
    <w:rsid w:val="000E4703"/>
    <w:rsid w:val="000E68B6"/>
    <w:rsid w:val="000F0B76"/>
    <w:rsid w:val="000F15F9"/>
    <w:rsid w:val="000F21ED"/>
    <w:rsid w:val="000F4008"/>
    <w:rsid w:val="00100487"/>
    <w:rsid w:val="001005AC"/>
    <w:rsid w:val="00102249"/>
    <w:rsid w:val="00103C19"/>
    <w:rsid w:val="00103C3D"/>
    <w:rsid w:val="00103DEE"/>
    <w:rsid w:val="001040A1"/>
    <w:rsid w:val="00104DAA"/>
    <w:rsid w:val="0010581E"/>
    <w:rsid w:val="00106876"/>
    <w:rsid w:val="001078D2"/>
    <w:rsid w:val="00107DC9"/>
    <w:rsid w:val="001119F9"/>
    <w:rsid w:val="00115606"/>
    <w:rsid w:val="001172FB"/>
    <w:rsid w:val="00120410"/>
    <w:rsid w:val="0012095E"/>
    <w:rsid w:val="00122B0D"/>
    <w:rsid w:val="00123345"/>
    <w:rsid w:val="00124CCD"/>
    <w:rsid w:val="00124F72"/>
    <w:rsid w:val="001257B2"/>
    <w:rsid w:val="001258F5"/>
    <w:rsid w:val="00130C24"/>
    <w:rsid w:val="001310C2"/>
    <w:rsid w:val="00132AEF"/>
    <w:rsid w:val="00133C8F"/>
    <w:rsid w:val="001340C1"/>
    <w:rsid w:val="00135124"/>
    <w:rsid w:val="00135A3D"/>
    <w:rsid w:val="00140272"/>
    <w:rsid w:val="00142B1C"/>
    <w:rsid w:val="00143528"/>
    <w:rsid w:val="00146A55"/>
    <w:rsid w:val="00151E97"/>
    <w:rsid w:val="00161AC7"/>
    <w:rsid w:val="00162563"/>
    <w:rsid w:val="001627E7"/>
    <w:rsid w:val="00162DE1"/>
    <w:rsid w:val="00164F09"/>
    <w:rsid w:val="001665E6"/>
    <w:rsid w:val="00167667"/>
    <w:rsid w:val="00170604"/>
    <w:rsid w:val="001718DD"/>
    <w:rsid w:val="00171F89"/>
    <w:rsid w:val="00172161"/>
    <w:rsid w:val="00175397"/>
    <w:rsid w:val="00176148"/>
    <w:rsid w:val="00176A0E"/>
    <w:rsid w:val="001773DF"/>
    <w:rsid w:val="001807B4"/>
    <w:rsid w:val="0018109D"/>
    <w:rsid w:val="001820CE"/>
    <w:rsid w:val="001827E1"/>
    <w:rsid w:val="00184C98"/>
    <w:rsid w:val="00191E74"/>
    <w:rsid w:val="001931E7"/>
    <w:rsid w:val="00193985"/>
    <w:rsid w:val="00193AD1"/>
    <w:rsid w:val="00193E29"/>
    <w:rsid w:val="00194CC9"/>
    <w:rsid w:val="00194EBF"/>
    <w:rsid w:val="00194F5D"/>
    <w:rsid w:val="00195688"/>
    <w:rsid w:val="00196145"/>
    <w:rsid w:val="001A4D11"/>
    <w:rsid w:val="001A5927"/>
    <w:rsid w:val="001A7DEC"/>
    <w:rsid w:val="001B1F2D"/>
    <w:rsid w:val="001B2069"/>
    <w:rsid w:val="001B6F12"/>
    <w:rsid w:val="001C0D21"/>
    <w:rsid w:val="001C1527"/>
    <w:rsid w:val="001C3B0F"/>
    <w:rsid w:val="001C5DB2"/>
    <w:rsid w:val="001C6821"/>
    <w:rsid w:val="001D12C5"/>
    <w:rsid w:val="001D18F3"/>
    <w:rsid w:val="001D2FEB"/>
    <w:rsid w:val="001D3022"/>
    <w:rsid w:val="001D40D7"/>
    <w:rsid w:val="001D50CD"/>
    <w:rsid w:val="001D7988"/>
    <w:rsid w:val="001E684E"/>
    <w:rsid w:val="001F49E9"/>
    <w:rsid w:val="001F7BF2"/>
    <w:rsid w:val="00200713"/>
    <w:rsid w:val="00201FA8"/>
    <w:rsid w:val="002071B6"/>
    <w:rsid w:val="00211843"/>
    <w:rsid w:val="00212509"/>
    <w:rsid w:val="00215309"/>
    <w:rsid w:val="0022034E"/>
    <w:rsid w:val="002222B7"/>
    <w:rsid w:val="00225C56"/>
    <w:rsid w:val="002264B1"/>
    <w:rsid w:val="00235845"/>
    <w:rsid w:val="00235B7A"/>
    <w:rsid w:val="002361B1"/>
    <w:rsid w:val="00243458"/>
    <w:rsid w:val="0024606A"/>
    <w:rsid w:val="00246223"/>
    <w:rsid w:val="0024725E"/>
    <w:rsid w:val="00247A4F"/>
    <w:rsid w:val="002512AC"/>
    <w:rsid w:val="00251ECD"/>
    <w:rsid w:val="00253AF9"/>
    <w:rsid w:val="002540AF"/>
    <w:rsid w:val="00261FB1"/>
    <w:rsid w:val="00263F73"/>
    <w:rsid w:val="00264458"/>
    <w:rsid w:val="0026560B"/>
    <w:rsid w:val="00266BA9"/>
    <w:rsid w:val="00266D8F"/>
    <w:rsid w:val="002749B0"/>
    <w:rsid w:val="00277942"/>
    <w:rsid w:val="002807AF"/>
    <w:rsid w:val="00281524"/>
    <w:rsid w:val="0028363C"/>
    <w:rsid w:val="00285C81"/>
    <w:rsid w:val="002908E7"/>
    <w:rsid w:val="002931D0"/>
    <w:rsid w:val="00296F12"/>
    <w:rsid w:val="002A0C6B"/>
    <w:rsid w:val="002A56BC"/>
    <w:rsid w:val="002B102E"/>
    <w:rsid w:val="002B1A2C"/>
    <w:rsid w:val="002B46DD"/>
    <w:rsid w:val="002B7938"/>
    <w:rsid w:val="002C0DA2"/>
    <w:rsid w:val="002C26E1"/>
    <w:rsid w:val="002C2AC1"/>
    <w:rsid w:val="002C6965"/>
    <w:rsid w:val="002C7886"/>
    <w:rsid w:val="002D6C03"/>
    <w:rsid w:val="002E0159"/>
    <w:rsid w:val="002E1831"/>
    <w:rsid w:val="002E1922"/>
    <w:rsid w:val="002E47AD"/>
    <w:rsid w:val="002E4DF4"/>
    <w:rsid w:val="002E536B"/>
    <w:rsid w:val="002F66AE"/>
    <w:rsid w:val="002F721F"/>
    <w:rsid w:val="003008DA"/>
    <w:rsid w:val="00301A59"/>
    <w:rsid w:val="00302B46"/>
    <w:rsid w:val="00303B3E"/>
    <w:rsid w:val="00304EBB"/>
    <w:rsid w:val="0030558F"/>
    <w:rsid w:val="0030737D"/>
    <w:rsid w:val="00310FF4"/>
    <w:rsid w:val="00314D02"/>
    <w:rsid w:val="00321BB3"/>
    <w:rsid w:val="00324B00"/>
    <w:rsid w:val="00327762"/>
    <w:rsid w:val="00330522"/>
    <w:rsid w:val="0033253A"/>
    <w:rsid w:val="00333492"/>
    <w:rsid w:val="0033372A"/>
    <w:rsid w:val="00335DBC"/>
    <w:rsid w:val="00340407"/>
    <w:rsid w:val="00343F7C"/>
    <w:rsid w:val="00345CC9"/>
    <w:rsid w:val="00345D58"/>
    <w:rsid w:val="003473E5"/>
    <w:rsid w:val="0035085C"/>
    <w:rsid w:val="00350FDB"/>
    <w:rsid w:val="00352F87"/>
    <w:rsid w:val="00354B27"/>
    <w:rsid w:val="0035541D"/>
    <w:rsid w:val="003564AA"/>
    <w:rsid w:val="00361B9C"/>
    <w:rsid w:val="00361EB1"/>
    <w:rsid w:val="00362B14"/>
    <w:rsid w:val="00364A82"/>
    <w:rsid w:val="003651B6"/>
    <w:rsid w:val="003734EF"/>
    <w:rsid w:val="00374B69"/>
    <w:rsid w:val="003751CC"/>
    <w:rsid w:val="0038246E"/>
    <w:rsid w:val="00383B5C"/>
    <w:rsid w:val="003928FA"/>
    <w:rsid w:val="00393E64"/>
    <w:rsid w:val="00394EF3"/>
    <w:rsid w:val="00395481"/>
    <w:rsid w:val="003A0C93"/>
    <w:rsid w:val="003A112B"/>
    <w:rsid w:val="003A17D6"/>
    <w:rsid w:val="003A3AAC"/>
    <w:rsid w:val="003A4183"/>
    <w:rsid w:val="003A48D8"/>
    <w:rsid w:val="003A49D7"/>
    <w:rsid w:val="003A602F"/>
    <w:rsid w:val="003A72D0"/>
    <w:rsid w:val="003A7619"/>
    <w:rsid w:val="003B0050"/>
    <w:rsid w:val="003B1728"/>
    <w:rsid w:val="003B2E9A"/>
    <w:rsid w:val="003B411C"/>
    <w:rsid w:val="003B5E50"/>
    <w:rsid w:val="003B6FAA"/>
    <w:rsid w:val="003C02EC"/>
    <w:rsid w:val="003C0C52"/>
    <w:rsid w:val="003C3D2A"/>
    <w:rsid w:val="003C43D3"/>
    <w:rsid w:val="003C507C"/>
    <w:rsid w:val="003D0923"/>
    <w:rsid w:val="003D0DFE"/>
    <w:rsid w:val="003D151F"/>
    <w:rsid w:val="003D29F2"/>
    <w:rsid w:val="003D38A8"/>
    <w:rsid w:val="003D524A"/>
    <w:rsid w:val="003D58B4"/>
    <w:rsid w:val="003D78A4"/>
    <w:rsid w:val="003E26AC"/>
    <w:rsid w:val="003E5722"/>
    <w:rsid w:val="003E670B"/>
    <w:rsid w:val="003F1C0F"/>
    <w:rsid w:val="003F429D"/>
    <w:rsid w:val="003F7182"/>
    <w:rsid w:val="003F77F7"/>
    <w:rsid w:val="00400224"/>
    <w:rsid w:val="00403DC2"/>
    <w:rsid w:val="00407585"/>
    <w:rsid w:val="004078CA"/>
    <w:rsid w:val="004139EC"/>
    <w:rsid w:val="0041442C"/>
    <w:rsid w:val="004161F0"/>
    <w:rsid w:val="00423044"/>
    <w:rsid w:val="0042355A"/>
    <w:rsid w:val="0042551B"/>
    <w:rsid w:val="00425F04"/>
    <w:rsid w:val="0042681B"/>
    <w:rsid w:val="0043326F"/>
    <w:rsid w:val="00433B7F"/>
    <w:rsid w:val="00437118"/>
    <w:rsid w:val="00445228"/>
    <w:rsid w:val="00446934"/>
    <w:rsid w:val="00446B86"/>
    <w:rsid w:val="00452345"/>
    <w:rsid w:val="00455851"/>
    <w:rsid w:val="00456DAC"/>
    <w:rsid w:val="00457C88"/>
    <w:rsid w:val="00461430"/>
    <w:rsid w:val="0046242B"/>
    <w:rsid w:val="00463CE9"/>
    <w:rsid w:val="00465A95"/>
    <w:rsid w:val="00466A22"/>
    <w:rsid w:val="00467C15"/>
    <w:rsid w:val="0047035F"/>
    <w:rsid w:val="00472028"/>
    <w:rsid w:val="004729AE"/>
    <w:rsid w:val="00472A85"/>
    <w:rsid w:val="00476C1D"/>
    <w:rsid w:val="00477AA1"/>
    <w:rsid w:val="004854F4"/>
    <w:rsid w:val="004859E9"/>
    <w:rsid w:val="00486860"/>
    <w:rsid w:val="00486B12"/>
    <w:rsid w:val="00486F09"/>
    <w:rsid w:val="00487212"/>
    <w:rsid w:val="004902B1"/>
    <w:rsid w:val="00490E05"/>
    <w:rsid w:val="00491109"/>
    <w:rsid w:val="004967E2"/>
    <w:rsid w:val="00496B3C"/>
    <w:rsid w:val="00497567"/>
    <w:rsid w:val="004A03B8"/>
    <w:rsid w:val="004A419C"/>
    <w:rsid w:val="004A43CE"/>
    <w:rsid w:val="004A6DC4"/>
    <w:rsid w:val="004A726C"/>
    <w:rsid w:val="004A799A"/>
    <w:rsid w:val="004A7D4A"/>
    <w:rsid w:val="004B4E23"/>
    <w:rsid w:val="004B6C43"/>
    <w:rsid w:val="004B7BE8"/>
    <w:rsid w:val="004C0D16"/>
    <w:rsid w:val="004C4EA8"/>
    <w:rsid w:val="004C5FFF"/>
    <w:rsid w:val="004C669A"/>
    <w:rsid w:val="004C695B"/>
    <w:rsid w:val="004C6D11"/>
    <w:rsid w:val="004C7489"/>
    <w:rsid w:val="004D40C7"/>
    <w:rsid w:val="004E7326"/>
    <w:rsid w:val="004F2545"/>
    <w:rsid w:val="004F365B"/>
    <w:rsid w:val="004F4559"/>
    <w:rsid w:val="004F6095"/>
    <w:rsid w:val="00505A98"/>
    <w:rsid w:val="00505D50"/>
    <w:rsid w:val="005067D7"/>
    <w:rsid w:val="00507661"/>
    <w:rsid w:val="00507AF7"/>
    <w:rsid w:val="0051188F"/>
    <w:rsid w:val="00515AC6"/>
    <w:rsid w:val="0051662E"/>
    <w:rsid w:val="0052090B"/>
    <w:rsid w:val="00526081"/>
    <w:rsid w:val="005268B9"/>
    <w:rsid w:val="0052727E"/>
    <w:rsid w:val="0053132E"/>
    <w:rsid w:val="0053289C"/>
    <w:rsid w:val="00534FB0"/>
    <w:rsid w:val="00537EC8"/>
    <w:rsid w:val="005408C9"/>
    <w:rsid w:val="005408D7"/>
    <w:rsid w:val="00542924"/>
    <w:rsid w:val="00543C01"/>
    <w:rsid w:val="0054553E"/>
    <w:rsid w:val="00547EC5"/>
    <w:rsid w:val="0055063A"/>
    <w:rsid w:val="005513D4"/>
    <w:rsid w:val="005525ED"/>
    <w:rsid w:val="00552EDD"/>
    <w:rsid w:val="00557DCC"/>
    <w:rsid w:val="005672A8"/>
    <w:rsid w:val="00570009"/>
    <w:rsid w:val="005717A5"/>
    <w:rsid w:val="00571ED1"/>
    <w:rsid w:val="00573C59"/>
    <w:rsid w:val="005769C1"/>
    <w:rsid w:val="00581717"/>
    <w:rsid w:val="00582D12"/>
    <w:rsid w:val="00590B71"/>
    <w:rsid w:val="00591801"/>
    <w:rsid w:val="00592332"/>
    <w:rsid w:val="00595752"/>
    <w:rsid w:val="005965B0"/>
    <w:rsid w:val="005A604E"/>
    <w:rsid w:val="005A607E"/>
    <w:rsid w:val="005A64ED"/>
    <w:rsid w:val="005B1F77"/>
    <w:rsid w:val="005B40AB"/>
    <w:rsid w:val="005B4D3C"/>
    <w:rsid w:val="005B5F16"/>
    <w:rsid w:val="005C0347"/>
    <w:rsid w:val="005C181C"/>
    <w:rsid w:val="005C3792"/>
    <w:rsid w:val="005D6D91"/>
    <w:rsid w:val="005D6F41"/>
    <w:rsid w:val="005E1DC4"/>
    <w:rsid w:val="005E63B4"/>
    <w:rsid w:val="005E7FD6"/>
    <w:rsid w:val="005F306B"/>
    <w:rsid w:val="005F36C0"/>
    <w:rsid w:val="005F3700"/>
    <w:rsid w:val="005F4C52"/>
    <w:rsid w:val="005F59B6"/>
    <w:rsid w:val="0060008B"/>
    <w:rsid w:val="00600531"/>
    <w:rsid w:val="006010DE"/>
    <w:rsid w:val="00602143"/>
    <w:rsid w:val="006057DA"/>
    <w:rsid w:val="00613B95"/>
    <w:rsid w:val="006166BC"/>
    <w:rsid w:val="00617CC4"/>
    <w:rsid w:val="00621108"/>
    <w:rsid w:val="006214F5"/>
    <w:rsid w:val="00627AB7"/>
    <w:rsid w:val="00631D86"/>
    <w:rsid w:val="006379F3"/>
    <w:rsid w:val="00640119"/>
    <w:rsid w:val="00641A76"/>
    <w:rsid w:val="00645918"/>
    <w:rsid w:val="006504AF"/>
    <w:rsid w:val="00650872"/>
    <w:rsid w:val="00651682"/>
    <w:rsid w:val="00651D24"/>
    <w:rsid w:val="006542F6"/>
    <w:rsid w:val="006546B9"/>
    <w:rsid w:val="00654BE9"/>
    <w:rsid w:val="00655826"/>
    <w:rsid w:val="00655ED1"/>
    <w:rsid w:val="00657169"/>
    <w:rsid w:val="006576F0"/>
    <w:rsid w:val="00661B9B"/>
    <w:rsid w:val="00665BF3"/>
    <w:rsid w:val="00670028"/>
    <w:rsid w:val="00674455"/>
    <w:rsid w:val="00680822"/>
    <w:rsid w:val="00681129"/>
    <w:rsid w:val="0068189F"/>
    <w:rsid w:val="00681D71"/>
    <w:rsid w:val="00682106"/>
    <w:rsid w:val="00687FF1"/>
    <w:rsid w:val="00690182"/>
    <w:rsid w:val="0069475A"/>
    <w:rsid w:val="006955E1"/>
    <w:rsid w:val="006A1404"/>
    <w:rsid w:val="006A3525"/>
    <w:rsid w:val="006A5F11"/>
    <w:rsid w:val="006B1BFB"/>
    <w:rsid w:val="006B2135"/>
    <w:rsid w:val="006B7E2A"/>
    <w:rsid w:val="006C1B1C"/>
    <w:rsid w:val="006C1C47"/>
    <w:rsid w:val="006C1EF5"/>
    <w:rsid w:val="006C2C76"/>
    <w:rsid w:val="006C3C02"/>
    <w:rsid w:val="006C60E5"/>
    <w:rsid w:val="006C7FB8"/>
    <w:rsid w:val="006D31EA"/>
    <w:rsid w:val="006D356B"/>
    <w:rsid w:val="006D41E9"/>
    <w:rsid w:val="006D6989"/>
    <w:rsid w:val="006D7564"/>
    <w:rsid w:val="006D7D93"/>
    <w:rsid w:val="006E0964"/>
    <w:rsid w:val="006E1261"/>
    <w:rsid w:val="006E252B"/>
    <w:rsid w:val="006E3E74"/>
    <w:rsid w:val="006F31A8"/>
    <w:rsid w:val="006F58E9"/>
    <w:rsid w:val="00700415"/>
    <w:rsid w:val="00704C44"/>
    <w:rsid w:val="00714D6F"/>
    <w:rsid w:val="007155C2"/>
    <w:rsid w:val="00715BD8"/>
    <w:rsid w:val="00716940"/>
    <w:rsid w:val="00717DB5"/>
    <w:rsid w:val="0072020F"/>
    <w:rsid w:val="007202B7"/>
    <w:rsid w:val="00722016"/>
    <w:rsid w:val="00722299"/>
    <w:rsid w:val="00723F01"/>
    <w:rsid w:val="007307E0"/>
    <w:rsid w:val="007317FC"/>
    <w:rsid w:val="00731CF0"/>
    <w:rsid w:val="007373B5"/>
    <w:rsid w:val="0074119C"/>
    <w:rsid w:val="00744640"/>
    <w:rsid w:val="00747C43"/>
    <w:rsid w:val="0075164C"/>
    <w:rsid w:val="007533B8"/>
    <w:rsid w:val="0075465C"/>
    <w:rsid w:val="00754734"/>
    <w:rsid w:val="00755848"/>
    <w:rsid w:val="00755F03"/>
    <w:rsid w:val="00756092"/>
    <w:rsid w:val="007566B0"/>
    <w:rsid w:val="00757BD2"/>
    <w:rsid w:val="00762A8E"/>
    <w:rsid w:val="00766FF1"/>
    <w:rsid w:val="00770B33"/>
    <w:rsid w:val="007770F9"/>
    <w:rsid w:val="0078110B"/>
    <w:rsid w:val="00782E94"/>
    <w:rsid w:val="007835F1"/>
    <w:rsid w:val="00783CF4"/>
    <w:rsid w:val="0079178C"/>
    <w:rsid w:val="00791D5D"/>
    <w:rsid w:val="00792319"/>
    <w:rsid w:val="00793818"/>
    <w:rsid w:val="007942F0"/>
    <w:rsid w:val="007A39AE"/>
    <w:rsid w:val="007A3C52"/>
    <w:rsid w:val="007A548F"/>
    <w:rsid w:val="007A6350"/>
    <w:rsid w:val="007B140D"/>
    <w:rsid w:val="007B30F1"/>
    <w:rsid w:val="007B493D"/>
    <w:rsid w:val="007B64F2"/>
    <w:rsid w:val="007B7983"/>
    <w:rsid w:val="007C264E"/>
    <w:rsid w:val="007C425A"/>
    <w:rsid w:val="007C5154"/>
    <w:rsid w:val="007C5F7D"/>
    <w:rsid w:val="007C7316"/>
    <w:rsid w:val="007D1057"/>
    <w:rsid w:val="007D2DC5"/>
    <w:rsid w:val="007D3036"/>
    <w:rsid w:val="007D4E26"/>
    <w:rsid w:val="007D651F"/>
    <w:rsid w:val="007D709E"/>
    <w:rsid w:val="007E1C2C"/>
    <w:rsid w:val="007F14E6"/>
    <w:rsid w:val="007F184C"/>
    <w:rsid w:val="007F393E"/>
    <w:rsid w:val="007F43C1"/>
    <w:rsid w:val="007F5C10"/>
    <w:rsid w:val="007F5D3C"/>
    <w:rsid w:val="00805E5B"/>
    <w:rsid w:val="00805F42"/>
    <w:rsid w:val="0082319E"/>
    <w:rsid w:val="00824004"/>
    <w:rsid w:val="00833B8C"/>
    <w:rsid w:val="008342B4"/>
    <w:rsid w:val="0083475D"/>
    <w:rsid w:val="00835B51"/>
    <w:rsid w:val="0083726E"/>
    <w:rsid w:val="00846C05"/>
    <w:rsid w:val="00847D96"/>
    <w:rsid w:val="008554C0"/>
    <w:rsid w:val="0086333F"/>
    <w:rsid w:val="00863554"/>
    <w:rsid w:val="00865509"/>
    <w:rsid w:val="0086656A"/>
    <w:rsid w:val="00866C12"/>
    <w:rsid w:val="008727C5"/>
    <w:rsid w:val="0087420D"/>
    <w:rsid w:val="0089084C"/>
    <w:rsid w:val="00891168"/>
    <w:rsid w:val="00892D16"/>
    <w:rsid w:val="0089489E"/>
    <w:rsid w:val="00894DDA"/>
    <w:rsid w:val="00896B0B"/>
    <w:rsid w:val="008974FB"/>
    <w:rsid w:val="008A374B"/>
    <w:rsid w:val="008A3790"/>
    <w:rsid w:val="008A3CF3"/>
    <w:rsid w:val="008A59FF"/>
    <w:rsid w:val="008A5BB6"/>
    <w:rsid w:val="008A7C2F"/>
    <w:rsid w:val="008B1973"/>
    <w:rsid w:val="008B31B5"/>
    <w:rsid w:val="008B4355"/>
    <w:rsid w:val="008B743B"/>
    <w:rsid w:val="008C0DF1"/>
    <w:rsid w:val="008D0228"/>
    <w:rsid w:val="008D0526"/>
    <w:rsid w:val="008D2CB7"/>
    <w:rsid w:val="008D4664"/>
    <w:rsid w:val="008D570B"/>
    <w:rsid w:val="008E20BB"/>
    <w:rsid w:val="008E3138"/>
    <w:rsid w:val="008E4A23"/>
    <w:rsid w:val="008E6779"/>
    <w:rsid w:val="008E6E7B"/>
    <w:rsid w:val="008E73B0"/>
    <w:rsid w:val="008E7B0A"/>
    <w:rsid w:val="008F1050"/>
    <w:rsid w:val="008F3C5A"/>
    <w:rsid w:val="008F4417"/>
    <w:rsid w:val="008F5A82"/>
    <w:rsid w:val="008F7A92"/>
    <w:rsid w:val="00901457"/>
    <w:rsid w:val="009022E6"/>
    <w:rsid w:val="0090359B"/>
    <w:rsid w:val="00906333"/>
    <w:rsid w:val="00915948"/>
    <w:rsid w:val="00917E6F"/>
    <w:rsid w:val="009249C6"/>
    <w:rsid w:val="00925BEF"/>
    <w:rsid w:val="00930321"/>
    <w:rsid w:val="00930894"/>
    <w:rsid w:val="00931A1B"/>
    <w:rsid w:val="00932811"/>
    <w:rsid w:val="009344AA"/>
    <w:rsid w:val="00936D79"/>
    <w:rsid w:val="00940353"/>
    <w:rsid w:val="009408F4"/>
    <w:rsid w:val="009419AF"/>
    <w:rsid w:val="0094627A"/>
    <w:rsid w:val="0094687F"/>
    <w:rsid w:val="0095258D"/>
    <w:rsid w:val="0095350F"/>
    <w:rsid w:val="009543A0"/>
    <w:rsid w:val="009543AA"/>
    <w:rsid w:val="00956405"/>
    <w:rsid w:val="00956B7B"/>
    <w:rsid w:val="00957130"/>
    <w:rsid w:val="0096069F"/>
    <w:rsid w:val="00960A65"/>
    <w:rsid w:val="00964F97"/>
    <w:rsid w:val="00965BA6"/>
    <w:rsid w:val="00970977"/>
    <w:rsid w:val="00971521"/>
    <w:rsid w:val="00971BB8"/>
    <w:rsid w:val="009743BE"/>
    <w:rsid w:val="00974C3F"/>
    <w:rsid w:val="0098089A"/>
    <w:rsid w:val="0098133A"/>
    <w:rsid w:val="00981A8D"/>
    <w:rsid w:val="00984B37"/>
    <w:rsid w:val="00986902"/>
    <w:rsid w:val="0099460F"/>
    <w:rsid w:val="00997870"/>
    <w:rsid w:val="00997903"/>
    <w:rsid w:val="009A74E3"/>
    <w:rsid w:val="009B03B1"/>
    <w:rsid w:val="009B6A26"/>
    <w:rsid w:val="009B7E26"/>
    <w:rsid w:val="009C012A"/>
    <w:rsid w:val="009C5FFE"/>
    <w:rsid w:val="009D0072"/>
    <w:rsid w:val="009D0253"/>
    <w:rsid w:val="009D19A4"/>
    <w:rsid w:val="009D7349"/>
    <w:rsid w:val="009D7EAD"/>
    <w:rsid w:val="009E049B"/>
    <w:rsid w:val="009E3432"/>
    <w:rsid w:val="009E34A4"/>
    <w:rsid w:val="009E3C57"/>
    <w:rsid w:val="009E5275"/>
    <w:rsid w:val="009E5C0D"/>
    <w:rsid w:val="009E5F74"/>
    <w:rsid w:val="009E7239"/>
    <w:rsid w:val="009E7C5B"/>
    <w:rsid w:val="009E7CD9"/>
    <w:rsid w:val="009F00A8"/>
    <w:rsid w:val="009F1A28"/>
    <w:rsid w:val="009F34B5"/>
    <w:rsid w:val="009F356C"/>
    <w:rsid w:val="009F529A"/>
    <w:rsid w:val="009F54B8"/>
    <w:rsid w:val="00A00515"/>
    <w:rsid w:val="00A0112D"/>
    <w:rsid w:val="00A0493B"/>
    <w:rsid w:val="00A131AB"/>
    <w:rsid w:val="00A14639"/>
    <w:rsid w:val="00A1599B"/>
    <w:rsid w:val="00A17449"/>
    <w:rsid w:val="00A2055E"/>
    <w:rsid w:val="00A20ED3"/>
    <w:rsid w:val="00A253DA"/>
    <w:rsid w:val="00A25C04"/>
    <w:rsid w:val="00A31970"/>
    <w:rsid w:val="00A3266C"/>
    <w:rsid w:val="00A331AA"/>
    <w:rsid w:val="00A377C7"/>
    <w:rsid w:val="00A40DA8"/>
    <w:rsid w:val="00A4230E"/>
    <w:rsid w:val="00A441C7"/>
    <w:rsid w:val="00A45AF3"/>
    <w:rsid w:val="00A465F3"/>
    <w:rsid w:val="00A51315"/>
    <w:rsid w:val="00A52300"/>
    <w:rsid w:val="00A525AB"/>
    <w:rsid w:val="00A54213"/>
    <w:rsid w:val="00A557B3"/>
    <w:rsid w:val="00A60B72"/>
    <w:rsid w:val="00A6476C"/>
    <w:rsid w:val="00A64EB0"/>
    <w:rsid w:val="00A65862"/>
    <w:rsid w:val="00A6767C"/>
    <w:rsid w:val="00A70B3B"/>
    <w:rsid w:val="00A718C0"/>
    <w:rsid w:val="00A7619C"/>
    <w:rsid w:val="00A7756B"/>
    <w:rsid w:val="00A816F6"/>
    <w:rsid w:val="00A8210A"/>
    <w:rsid w:val="00A8331B"/>
    <w:rsid w:val="00A837F9"/>
    <w:rsid w:val="00A84312"/>
    <w:rsid w:val="00A87FBB"/>
    <w:rsid w:val="00A916E6"/>
    <w:rsid w:val="00A93204"/>
    <w:rsid w:val="00A94549"/>
    <w:rsid w:val="00AA097A"/>
    <w:rsid w:val="00AA0E82"/>
    <w:rsid w:val="00AA159F"/>
    <w:rsid w:val="00AB08E3"/>
    <w:rsid w:val="00AB3064"/>
    <w:rsid w:val="00AB63DE"/>
    <w:rsid w:val="00AB73FC"/>
    <w:rsid w:val="00AC0B93"/>
    <w:rsid w:val="00AC5227"/>
    <w:rsid w:val="00AC6270"/>
    <w:rsid w:val="00AC6324"/>
    <w:rsid w:val="00AD1058"/>
    <w:rsid w:val="00AD114A"/>
    <w:rsid w:val="00AD3F55"/>
    <w:rsid w:val="00AD48EC"/>
    <w:rsid w:val="00AD5AA1"/>
    <w:rsid w:val="00AD661F"/>
    <w:rsid w:val="00AD7C46"/>
    <w:rsid w:val="00AD7F57"/>
    <w:rsid w:val="00AE31E5"/>
    <w:rsid w:val="00AE336B"/>
    <w:rsid w:val="00AE33A1"/>
    <w:rsid w:val="00AE3BBC"/>
    <w:rsid w:val="00AE5332"/>
    <w:rsid w:val="00AE5373"/>
    <w:rsid w:val="00AE58B1"/>
    <w:rsid w:val="00AE5C15"/>
    <w:rsid w:val="00AE6D02"/>
    <w:rsid w:val="00AE7016"/>
    <w:rsid w:val="00AE77E9"/>
    <w:rsid w:val="00AE7BD4"/>
    <w:rsid w:val="00AF3684"/>
    <w:rsid w:val="00AF4BC9"/>
    <w:rsid w:val="00AF5A03"/>
    <w:rsid w:val="00AF6BBE"/>
    <w:rsid w:val="00B044B0"/>
    <w:rsid w:val="00B04711"/>
    <w:rsid w:val="00B04D63"/>
    <w:rsid w:val="00B063C6"/>
    <w:rsid w:val="00B07D6F"/>
    <w:rsid w:val="00B102DC"/>
    <w:rsid w:val="00B11F70"/>
    <w:rsid w:val="00B12796"/>
    <w:rsid w:val="00B14FB4"/>
    <w:rsid w:val="00B17123"/>
    <w:rsid w:val="00B222FA"/>
    <w:rsid w:val="00B2350F"/>
    <w:rsid w:val="00B36A55"/>
    <w:rsid w:val="00B36CA1"/>
    <w:rsid w:val="00B40A6B"/>
    <w:rsid w:val="00B43B54"/>
    <w:rsid w:val="00B44B32"/>
    <w:rsid w:val="00B5032F"/>
    <w:rsid w:val="00B514E6"/>
    <w:rsid w:val="00B52114"/>
    <w:rsid w:val="00B5212A"/>
    <w:rsid w:val="00B556DC"/>
    <w:rsid w:val="00B61313"/>
    <w:rsid w:val="00B622FC"/>
    <w:rsid w:val="00B6309E"/>
    <w:rsid w:val="00B64CA8"/>
    <w:rsid w:val="00B65B78"/>
    <w:rsid w:val="00B67BFA"/>
    <w:rsid w:val="00B73CB3"/>
    <w:rsid w:val="00B73CBE"/>
    <w:rsid w:val="00B81211"/>
    <w:rsid w:val="00B8146A"/>
    <w:rsid w:val="00B81DD5"/>
    <w:rsid w:val="00B827C8"/>
    <w:rsid w:val="00B82B09"/>
    <w:rsid w:val="00B87CB5"/>
    <w:rsid w:val="00B907D3"/>
    <w:rsid w:val="00B91884"/>
    <w:rsid w:val="00B9654B"/>
    <w:rsid w:val="00B974CB"/>
    <w:rsid w:val="00BA00BF"/>
    <w:rsid w:val="00BA0A60"/>
    <w:rsid w:val="00BA0F89"/>
    <w:rsid w:val="00BA3C05"/>
    <w:rsid w:val="00BA5FE6"/>
    <w:rsid w:val="00BB57FD"/>
    <w:rsid w:val="00BC009C"/>
    <w:rsid w:val="00BC02E6"/>
    <w:rsid w:val="00BC0681"/>
    <w:rsid w:val="00BC19AF"/>
    <w:rsid w:val="00BC1E62"/>
    <w:rsid w:val="00BC258B"/>
    <w:rsid w:val="00BC2A03"/>
    <w:rsid w:val="00BC30A9"/>
    <w:rsid w:val="00BC30DD"/>
    <w:rsid w:val="00BC4971"/>
    <w:rsid w:val="00BC5680"/>
    <w:rsid w:val="00BD194A"/>
    <w:rsid w:val="00BD2060"/>
    <w:rsid w:val="00BE0D67"/>
    <w:rsid w:val="00BE4290"/>
    <w:rsid w:val="00BE573A"/>
    <w:rsid w:val="00BE5EA8"/>
    <w:rsid w:val="00BF1718"/>
    <w:rsid w:val="00BF25EE"/>
    <w:rsid w:val="00BF4102"/>
    <w:rsid w:val="00BF4BFD"/>
    <w:rsid w:val="00BF699A"/>
    <w:rsid w:val="00BF6BCB"/>
    <w:rsid w:val="00BF7176"/>
    <w:rsid w:val="00C00747"/>
    <w:rsid w:val="00C030AE"/>
    <w:rsid w:val="00C03C62"/>
    <w:rsid w:val="00C04383"/>
    <w:rsid w:val="00C045E6"/>
    <w:rsid w:val="00C04714"/>
    <w:rsid w:val="00C05F1C"/>
    <w:rsid w:val="00C07336"/>
    <w:rsid w:val="00C1538E"/>
    <w:rsid w:val="00C169D9"/>
    <w:rsid w:val="00C16B6B"/>
    <w:rsid w:val="00C171C8"/>
    <w:rsid w:val="00C1766A"/>
    <w:rsid w:val="00C20D25"/>
    <w:rsid w:val="00C2146C"/>
    <w:rsid w:val="00C246FF"/>
    <w:rsid w:val="00C24AF7"/>
    <w:rsid w:val="00C260D3"/>
    <w:rsid w:val="00C274CC"/>
    <w:rsid w:val="00C277FC"/>
    <w:rsid w:val="00C321EA"/>
    <w:rsid w:val="00C323AC"/>
    <w:rsid w:val="00C33306"/>
    <w:rsid w:val="00C347AE"/>
    <w:rsid w:val="00C36EA3"/>
    <w:rsid w:val="00C41AFB"/>
    <w:rsid w:val="00C45B1E"/>
    <w:rsid w:val="00C4601A"/>
    <w:rsid w:val="00C4655B"/>
    <w:rsid w:val="00C52E94"/>
    <w:rsid w:val="00C539EB"/>
    <w:rsid w:val="00C53E29"/>
    <w:rsid w:val="00C62327"/>
    <w:rsid w:val="00C631FB"/>
    <w:rsid w:val="00C65880"/>
    <w:rsid w:val="00C661DA"/>
    <w:rsid w:val="00C7159E"/>
    <w:rsid w:val="00C72E71"/>
    <w:rsid w:val="00C74EC5"/>
    <w:rsid w:val="00C764FA"/>
    <w:rsid w:val="00C77CAB"/>
    <w:rsid w:val="00C85AE2"/>
    <w:rsid w:val="00C87AEF"/>
    <w:rsid w:val="00C92047"/>
    <w:rsid w:val="00C92C89"/>
    <w:rsid w:val="00C97666"/>
    <w:rsid w:val="00CA1325"/>
    <w:rsid w:val="00CA1512"/>
    <w:rsid w:val="00CA35A7"/>
    <w:rsid w:val="00CA53E2"/>
    <w:rsid w:val="00CA544C"/>
    <w:rsid w:val="00CA75D6"/>
    <w:rsid w:val="00CA7FD3"/>
    <w:rsid w:val="00CB08D4"/>
    <w:rsid w:val="00CB27C3"/>
    <w:rsid w:val="00CB6637"/>
    <w:rsid w:val="00CC19AC"/>
    <w:rsid w:val="00CC324B"/>
    <w:rsid w:val="00CC468B"/>
    <w:rsid w:val="00CC761B"/>
    <w:rsid w:val="00CD3647"/>
    <w:rsid w:val="00CD63E3"/>
    <w:rsid w:val="00CD6893"/>
    <w:rsid w:val="00CD753D"/>
    <w:rsid w:val="00CE032F"/>
    <w:rsid w:val="00CE07CB"/>
    <w:rsid w:val="00CE0AA1"/>
    <w:rsid w:val="00CE1A24"/>
    <w:rsid w:val="00CE3457"/>
    <w:rsid w:val="00CE3F7A"/>
    <w:rsid w:val="00CE5847"/>
    <w:rsid w:val="00CF2E00"/>
    <w:rsid w:val="00CF4305"/>
    <w:rsid w:val="00CF5C74"/>
    <w:rsid w:val="00D00094"/>
    <w:rsid w:val="00D0059B"/>
    <w:rsid w:val="00D00737"/>
    <w:rsid w:val="00D0122C"/>
    <w:rsid w:val="00D02CE2"/>
    <w:rsid w:val="00D042DC"/>
    <w:rsid w:val="00D112F0"/>
    <w:rsid w:val="00D11D6A"/>
    <w:rsid w:val="00D14377"/>
    <w:rsid w:val="00D151E0"/>
    <w:rsid w:val="00D179B5"/>
    <w:rsid w:val="00D20C25"/>
    <w:rsid w:val="00D22FAA"/>
    <w:rsid w:val="00D24348"/>
    <w:rsid w:val="00D268FB"/>
    <w:rsid w:val="00D32B18"/>
    <w:rsid w:val="00D36789"/>
    <w:rsid w:val="00D40A5F"/>
    <w:rsid w:val="00D40CC3"/>
    <w:rsid w:val="00D43578"/>
    <w:rsid w:val="00D454B7"/>
    <w:rsid w:val="00D47950"/>
    <w:rsid w:val="00D47BF4"/>
    <w:rsid w:val="00D50144"/>
    <w:rsid w:val="00D51462"/>
    <w:rsid w:val="00D5147F"/>
    <w:rsid w:val="00D5158D"/>
    <w:rsid w:val="00D525F3"/>
    <w:rsid w:val="00D52778"/>
    <w:rsid w:val="00D54FB5"/>
    <w:rsid w:val="00D55F40"/>
    <w:rsid w:val="00D56CC0"/>
    <w:rsid w:val="00D57BB2"/>
    <w:rsid w:val="00D6127A"/>
    <w:rsid w:val="00D63EE5"/>
    <w:rsid w:val="00D665CA"/>
    <w:rsid w:val="00D66697"/>
    <w:rsid w:val="00D66F56"/>
    <w:rsid w:val="00D7020E"/>
    <w:rsid w:val="00D752C2"/>
    <w:rsid w:val="00D7685F"/>
    <w:rsid w:val="00D7758D"/>
    <w:rsid w:val="00D80893"/>
    <w:rsid w:val="00D82955"/>
    <w:rsid w:val="00D83604"/>
    <w:rsid w:val="00D845AA"/>
    <w:rsid w:val="00D860CD"/>
    <w:rsid w:val="00D906F7"/>
    <w:rsid w:val="00D9197A"/>
    <w:rsid w:val="00D9204D"/>
    <w:rsid w:val="00D95A6C"/>
    <w:rsid w:val="00D965CC"/>
    <w:rsid w:val="00D97233"/>
    <w:rsid w:val="00D973EB"/>
    <w:rsid w:val="00D9799C"/>
    <w:rsid w:val="00DA1BDF"/>
    <w:rsid w:val="00DA32B0"/>
    <w:rsid w:val="00DA34AF"/>
    <w:rsid w:val="00DA3AC7"/>
    <w:rsid w:val="00DA6C87"/>
    <w:rsid w:val="00DA7B15"/>
    <w:rsid w:val="00DB0133"/>
    <w:rsid w:val="00DB1493"/>
    <w:rsid w:val="00DB5E79"/>
    <w:rsid w:val="00DB61FA"/>
    <w:rsid w:val="00DB71DD"/>
    <w:rsid w:val="00DB7C2E"/>
    <w:rsid w:val="00DC029A"/>
    <w:rsid w:val="00DC120D"/>
    <w:rsid w:val="00DC1C19"/>
    <w:rsid w:val="00DD03FF"/>
    <w:rsid w:val="00DD0C8B"/>
    <w:rsid w:val="00DD1FDF"/>
    <w:rsid w:val="00DD2EF8"/>
    <w:rsid w:val="00DE4C8E"/>
    <w:rsid w:val="00DE4D2F"/>
    <w:rsid w:val="00DE6083"/>
    <w:rsid w:val="00DF2A9F"/>
    <w:rsid w:val="00DF4228"/>
    <w:rsid w:val="00DF4685"/>
    <w:rsid w:val="00DF4EE9"/>
    <w:rsid w:val="00DF5CE2"/>
    <w:rsid w:val="00DF6480"/>
    <w:rsid w:val="00DF73C5"/>
    <w:rsid w:val="00E0220F"/>
    <w:rsid w:val="00E04391"/>
    <w:rsid w:val="00E05069"/>
    <w:rsid w:val="00E07869"/>
    <w:rsid w:val="00E108E5"/>
    <w:rsid w:val="00E10997"/>
    <w:rsid w:val="00E11B98"/>
    <w:rsid w:val="00E163B6"/>
    <w:rsid w:val="00E176C8"/>
    <w:rsid w:val="00E21D26"/>
    <w:rsid w:val="00E22545"/>
    <w:rsid w:val="00E229AA"/>
    <w:rsid w:val="00E25765"/>
    <w:rsid w:val="00E271FA"/>
    <w:rsid w:val="00E272DA"/>
    <w:rsid w:val="00E30F63"/>
    <w:rsid w:val="00E33C36"/>
    <w:rsid w:val="00E33F44"/>
    <w:rsid w:val="00E353D8"/>
    <w:rsid w:val="00E35922"/>
    <w:rsid w:val="00E359C4"/>
    <w:rsid w:val="00E4001D"/>
    <w:rsid w:val="00E4214C"/>
    <w:rsid w:val="00E428FA"/>
    <w:rsid w:val="00E451AF"/>
    <w:rsid w:val="00E45483"/>
    <w:rsid w:val="00E50692"/>
    <w:rsid w:val="00E510A7"/>
    <w:rsid w:val="00E51BCB"/>
    <w:rsid w:val="00E5456E"/>
    <w:rsid w:val="00E54C4A"/>
    <w:rsid w:val="00E56F0C"/>
    <w:rsid w:val="00E60A8C"/>
    <w:rsid w:val="00E6237B"/>
    <w:rsid w:val="00E62CE9"/>
    <w:rsid w:val="00E6677B"/>
    <w:rsid w:val="00E66DA7"/>
    <w:rsid w:val="00E67836"/>
    <w:rsid w:val="00E678D4"/>
    <w:rsid w:val="00E72780"/>
    <w:rsid w:val="00E72D6F"/>
    <w:rsid w:val="00E73442"/>
    <w:rsid w:val="00E73DAB"/>
    <w:rsid w:val="00E76147"/>
    <w:rsid w:val="00E80836"/>
    <w:rsid w:val="00E8099F"/>
    <w:rsid w:val="00E8249F"/>
    <w:rsid w:val="00E84A52"/>
    <w:rsid w:val="00E92B51"/>
    <w:rsid w:val="00E94241"/>
    <w:rsid w:val="00E96187"/>
    <w:rsid w:val="00E979BA"/>
    <w:rsid w:val="00EA3022"/>
    <w:rsid w:val="00EA3DD1"/>
    <w:rsid w:val="00EA6B2A"/>
    <w:rsid w:val="00EA6D4D"/>
    <w:rsid w:val="00EB0D53"/>
    <w:rsid w:val="00EB143A"/>
    <w:rsid w:val="00EB5435"/>
    <w:rsid w:val="00EB6A91"/>
    <w:rsid w:val="00EC06B0"/>
    <w:rsid w:val="00EC11C9"/>
    <w:rsid w:val="00EC348D"/>
    <w:rsid w:val="00EC5A0B"/>
    <w:rsid w:val="00ED410E"/>
    <w:rsid w:val="00ED4E24"/>
    <w:rsid w:val="00ED5BA0"/>
    <w:rsid w:val="00ED6D68"/>
    <w:rsid w:val="00EE0799"/>
    <w:rsid w:val="00EE1934"/>
    <w:rsid w:val="00EE4006"/>
    <w:rsid w:val="00EF0AFF"/>
    <w:rsid w:val="00EF1444"/>
    <w:rsid w:val="00EF1E33"/>
    <w:rsid w:val="00EF3294"/>
    <w:rsid w:val="00EF573E"/>
    <w:rsid w:val="00EF64A3"/>
    <w:rsid w:val="00EF6883"/>
    <w:rsid w:val="00EF6B1F"/>
    <w:rsid w:val="00F003B0"/>
    <w:rsid w:val="00F03BFD"/>
    <w:rsid w:val="00F073AF"/>
    <w:rsid w:val="00F07DB4"/>
    <w:rsid w:val="00F102BA"/>
    <w:rsid w:val="00F13334"/>
    <w:rsid w:val="00F1586A"/>
    <w:rsid w:val="00F23FE5"/>
    <w:rsid w:val="00F26E4E"/>
    <w:rsid w:val="00F3601C"/>
    <w:rsid w:val="00F36574"/>
    <w:rsid w:val="00F4312B"/>
    <w:rsid w:val="00F45293"/>
    <w:rsid w:val="00F516D0"/>
    <w:rsid w:val="00F53562"/>
    <w:rsid w:val="00F63978"/>
    <w:rsid w:val="00F65646"/>
    <w:rsid w:val="00F6688C"/>
    <w:rsid w:val="00F6763B"/>
    <w:rsid w:val="00F71391"/>
    <w:rsid w:val="00F74195"/>
    <w:rsid w:val="00F81BD7"/>
    <w:rsid w:val="00F82395"/>
    <w:rsid w:val="00F84E8C"/>
    <w:rsid w:val="00F9043B"/>
    <w:rsid w:val="00F91B87"/>
    <w:rsid w:val="00F94378"/>
    <w:rsid w:val="00F94E8B"/>
    <w:rsid w:val="00FA1319"/>
    <w:rsid w:val="00FA2AB7"/>
    <w:rsid w:val="00FA5C7E"/>
    <w:rsid w:val="00FA6B1D"/>
    <w:rsid w:val="00FA7C53"/>
    <w:rsid w:val="00FC44B9"/>
    <w:rsid w:val="00FC45E1"/>
    <w:rsid w:val="00FC4B21"/>
    <w:rsid w:val="00FC4C29"/>
    <w:rsid w:val="00FC566C"/>
    <w:rsid w:val="00FC7F50"/>
    <w:rsid w:val="00FD12D9"/>
    <w:rsid w:val="00FD24F6"/>
    <w:rsid w:val="00FD3414"/>
    <w:rsid w:val="00FD46D8"/>
    <w:rsid w:val="00FD5D2E"/>
    <w:rsid w:val="00FE26E0"/>
    <w:rsid w:val="00FE53AC"/>
    <w:rsid w:val="00FF1948"/>
    <w:rsid w:val="00FF436F"/>
    <w:rsid w:val="00FF5EE7"/>
    <w:rsid w:val="00FF62A6"/>
    <w:rsid w:val="00FF7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0401"/>
    <o:shapelayout v:ext="edit">
      <o:idmap v:ext="edit" data="1"/>
    </o:shapelayout>
  </w:shapeDefaults>
  <w:decimalSymbol w:val="."/>
  <w:listSeparator w:val=","/>
  <w14:docId w14:val="0A7DE096"/>
  <w15:docId w15:val="{11A2CBD6-BF34-4C45-ACBC-40AAB7537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FD46D8"/>
    <w:pPr>
      <w:keepNext/>
      <w:numPr>
        <w:numId w:val="3"/>
      </w:numPr>
      <w:tabs>
        <w:tab w:val="clear" w:pos="1800"/>
      </w:tabs>
      <w:spacing w:after="240"/>
      <w:jc w:val="both"/>
      <w:outlineLvl w:val="0"/>
    </w:pPr>
    <w:rPr>
      <w:rFonts w:cs="Arial"/>
      <w:bCs/>
      <w:szCs w:val="32"/>
    </w:rPr>
  </w:style>
  <w:style w:type="paragraph" w:styleId="Heading2">
    <w:name w:val="heading 2"/>
    <w:basedOn w:val="Normal"/>
    <w:next w:val="Normal"/>
    <w:link w:val="Heading2Char"/>
    <w:qFormat/>
    <w:rsid w:val="00C045E6"/>
    <w:pPr>
      <w:numPr>
        <w:ilvl w:val="1"/>
        <w:numId w:val="3"/>
      </w:numPr>
      <w:tabs>
        <w:tab w:val="clear" w:pos="1800"/>
      </w:tabs>
      <w:spacing w:after="240"/>
      <w:jc w:val="both"/>
      <w:outlineLvl w:val="1"/>
    </w:pPr>
    <w:rPr>
      <w:rFonts w:cs="Arial"/>
      <w:bCs/>
      <w:iCs/>
      <w:szCs w:val="28"/>
    </w:rPr>
  </w:style>
  <w:style w:type="paragraph" w:styleId="Heading3">
    <w:name w:val="heading 3"/>
    <w:basedOn w:val="Normal"/>
    <w:next w:val="Normal"/>
    <w:qFormat/>
    <w:pPr>
      <w:numPr>
        <w:ilvl w:val="2"/>
        <w:numId w:val="3"/>
      </w:numPr>
      <w:spacing w:after="240"/>
      <w:outlineLvl w:val="2"/>
    </w:pPr>
    <w:rPr>
      <w:rFonts w:cs="Arial"/>
      <w:bCs/>
      <w:szCs w:val="26"/>
    </w:rPr>
  </w:style>
  <w:style w:type="paragraph" w:styleId="Heading4">
    <w:name w:val="heading 4"/>
    <w:basedOn w:val="Normal"/>
    <w:next w:val="Normal"/>
    <w:qFormat/>
    <w:pPr>
      <w:numPr>
        <w:ilvl w:val="3"/>
        <w:numId w:val="3"/>
      </w:numPr>
      <w:tabs>
        <w:tab w:val="clear" w:pos="4320"/>
      </w:tabs>
      <w:spacing w:after="240"/>
      <w:outlineLvl w:val="3"/>
    </w:pPr>
    <w:rPr>
      <w:bCs/>
      <w:szCs w:val="28"/>
    </w:rPr>
  </w:style>
  <w:style w:type="paragraph" w:styleId="Heading5">
    <w:name w:val="heading 5"/>
    <w:basedOn w:val="Normal"/>
    <w:next w:val="Normal"/>
    <w:qFormat/>
    <w:pPr>
      <w:numPr>
        <w:ilvl w:val="4"/>
        <w:numId w:val="3"/>
      </w:numPr>
      <w:tabs>
        <w:tab w:val="clear" w:pos="5040"/>
      </w:tabs>
      <w:spacing w:after="240"/>
      <w:outlineLvl w:val="4"/>
    </w:pPr>
    <w:rPr>
      <w:bCs/>
      <w:iCs/>
      <w:szCs w:val="26"/>
    </w:rPr>
  </w:style>
  <w:style w:type="paragraph" w:styleId="Heading6">
    <w:name w:val="heading 6"/>
    <w:basedOn w:val="Normal"/>
    <w:next w:val="Normal"/>
    <w:qFormat/>
    <w:pPr>
      <w:numPr>
        <w:ilvl w:val="5"/>
        <w:numId w:val="3"/>
      </w:numPr>
      <w:tabs>
        <w:tab w:val="clear" w:pos="5760"/>
      </w:tabs>
      <w:spacing w:after="240"/>
      <w:outlineLvl w:val="5"/>
    </w:pPr>
    <w:rPr>
      <w:bCs/>
      <w:szCs w:val="22"/>
    </w:rPr>
  </w:style>
  <w:style w:type="paragraph" w:styleId="Heading7">
    <w:name w:val="heading 7"/>
    <w:basedOn w:val="Normal"/>
    <w:next w:val="Normal"/>
    <w:qFormat/>
    <w:pPr>
      <w:numPr>
        <w:ilvl w:val="6"/>
        <w:numId w:val="3"/>
      </w:numPr>
      <w:tabs>
        <w:tab w:val="clear" w:pos="6480"/>
      </w:tabs>
      <w:spacing w:after="240"/>
      <w:outlineLvl w:val="6"/>
    </w:pPr>
  </w:style>
  <w:style w:type="paragraph" w:styleId="Heading8">
    <w:name w:val="heading 8"/>
    <w:basedOn w:val="Normal"/>
    <w:next w:val="Normal"/>
    <w:qFormat/>
    <w:pPr>
      <w:numPr>
        <w:ilvl w:val="7"/>
        <w:numId w:val="3"/>
      </w:numPr>
      <w:tabs>
        <w:tab w:val="clear" w:pos="7200"/>
      </w:tabs>
      <w:spacing w:after="240"/>
      <w:outlineLvl w:val="7"/>
    </w:pPr>
    <w:rPr>
      <w:iCs/>
    </w:rPr>
  </w:style>
  <w:style w:type="paragraph" w:styleId="Heading9">
    <w:name w:val="heading 9"/>
    <w:basedOn w:val="Normal"/>
    <w:next w:val="Normal"/>
    <w:qFormat/>
    <w:pPr>
      <w:numPr>
        <w:ilvl w:val="8"/>
        <w:numId w:val="3"/>
      </w:numPr>
      <w:tabs>
        <w:tab w:val="clear" w:pos="7920"/>
      </w:tabs>
      <w:spacing w:after="240"/>
      <w:outlineLvl w:val="8"/>
    </w:pPr>
    <w:rPr>
      <w:rFonts w:cs="Arial"/>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D46D8"/>
    <w:rPr>
      <w:rFonts w:cs="Arial"/>
      <w:bCs/>
      <w:sz w:val="24"/>
      <w:szCs w:val="32"/>
    </w:rPr>
  </w:style>
  <w:style w:type="character" w:styleId="FootnoteReference">
    <w:name w:val="footnote reference"/>
    <w:semiHidden/>
  </w:style>
  <w:style w:type="paragraph" w:styleId="Header">
    <w:name w:val="header"/>
    <w:aliases w:val="h"/>
    <w:basedOn w:val="Normal"/>
    <w:link w:val="HeaderChar"/>
    <w:pPr>
      <w:tabs>
        <w:tab w:val="center" w:pos="4680"/>
        <w:tab w:val="right" w:pos="9360"/>
      </w:tabs>
    </w:pPr>
  </w:style>
  <w:style w:type="paragraph" w:styleId="Footer">
    <w:name w:val="footer"/>
    <w:basedOn w:val="Normal"/>
    <w:link w:val="FooterChar"/>
    <w:pPr>
      <w:tabs>
        <w:tab w:val="center" w:pos="4680"/>
        <w:tab w:val="right" w:pos="9360"/>
      </w:tabs>
    </w:pPr>
  </w:style>
  <w:style w:type="character" w:customStyle="1" w:styleId="FooterChar">
    <w:name w:val="Footer Char"/>
    <w:link w:val="Footer"/>
    <w:locked/>
    <w:rsid w:val="00C03C62"/>
    <w:rPr>
      <w:sz w:val="24"/>
      <w:szCs w:val="24"/>
    </w:rPr>
  </w:style>
  <w:style w:type="paragraph" w:customStyle="1" w:styleId="Heading1Body">
    <w:name w:val="Heading 1 Body"/>
    <w:basedOn w:val="Normal"/>
    <w:next w:val="Heading1"/>
    <w:pPr>
      <w:ind w:firstLine="720"/>
      <w:jc w:val="both"/>
    </w:pPr>
  </w:style>
  <w:style w:type="paragraph" w:customStyle="1" w:styleId="Heading3Body">
    <w:name w:val="Heading 3 Body"/>
    <w:basedOn w:val="Normal"/>
    <w:next w:val="Heading3"/>
    <w:pPr>
      <w:ind w:left="720" w:firstLine="720"/>
      <w:jc w:val="both"/>
    </w:pPr>
  </w:style>
  <w:style w:type="paragraph" w:customStyle="1" w:styleId="Heading4Body">
    <w:name w:val="Heading 4 Body"/>
    <w:basedOn w:val="Normal"/>
    <w:next w:val="Heading4"/>
    <w:pPr>
      <w:ind w:left="1440" w:firstLine="720"/>
      <w:jc w:val="both"/>
    </w:pPr>
  </w:style>
  <w:style w:type="paragraph" w:customStyle="1" w:styleId="BodyText15">
    <w:name w:val="* Body Text 1.5"/>
    <w:basedOn w:val="Normal"/>
    <w:pPr>
      <w:spacing w:line="360" w:lineRule="auto"/>
      <w:ind w:firstLine="1440"/>
    </w:pPr>
  </w:style>
  <w:style w:type="character" w:styleId="Emphasis">
    <w:name w:val="Emphasis"/>
    <w:basedOn w:val="DefaultParagraphFont"/>
    <w:rsid w:val="006C2C76"/>
    <w:rPr>
      <w:i/>
      <w:iCs/>
    </w:rPr>
  </w:style>
  <w:style w:type="paragraph" w:customStyle="1" w:styleId="BodyText5">
    <w:name w:val="* Body Text .5"/>
    <w:basedOn w:val="Normal"/>
    <w:link w:val="BodyText5Char"/>
    <w:autoRedefine/>
    <w:pPr>
      <w:spacing w:after="240"/>
      <w:ind w:firstLine="720"/>
      <w:jc w:val="both"/>
    </w:pPr>
  </w:style>
  <w:style w:type="character" w:customStyle="1" w:styleId="BodyText5Char">
    <w:name w:val="* Body Text .5 Char"/>
    <w:link w:val="BodyText5"/>
    <w:rPr>
      <w:sz w:val="24"/>
      <w:szCs w:val="24"/>
      <w:lang w:val="en-US" w:eastAsia="en-US" w:bidi="ar-SA"/>
    </w:r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pPr>
      <w:spacing w:after="240"/>
    </w:pPr>
  </w:style>
  <w:style w:type="paragraph" w:customStyle="1" w:styleId="TitleC">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aliases w:val="si,sig,s"/>
    <w:basedOn w:val="Normal"/>
    <w:link w:val="SignatureChar"/>
    <w:pPr>
      <w:ind w:left="5040"/>
    </w:pPr>
  </w:style>
  <w:style w:type="character" w:customStyle="1" w:styleId="SignatureChar">
    <w:name w:val="Signature Char"/>
    <w:aliases w:val="si Char,sig Char,s Char"/>
    <w:link w:val="Signature"/>
    <w:rsid w:val="00C03C62"/>
    <w:rPr>
      <w:sz w:val="24"/>
      <w:szCs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paragraph" w:customStyle="1" w:styleId="00BodyText5">
    <w:name w:val="00 Body Text .5"/>
    <w:basedOn w:val="Normal"/>
    <w:link w:val="00BodyText5Char"/>
    <w:qFormat/>
    <w:rsid w:val="006C2C76"/>
    <w:pPr>
      <w:spacing w:after="240"/>
      <w:ind w:firstLine="720"/>
      <w:jc w:val="both"/>
    </w:pPr>
  </w:style>
  <w:style w:type="paragraph" w:styleId="FootnoteText">
    <w:name w:val="footnote text"/>
    <w:basedOn w:val="Normal"/>
    <w:semiHidden/>
    <w:pPr>
      <w:spacing w:after="240"/>
      <w:ind w:left="720" w:hanging="720"/>
    </w:pPr>
    <w:rPr>
      <w:szCs w:val="20"/>
    </w:rPr>
  </w:style>
  <w:style w:type="paragraph" w:customStyle="1" w:styleId="00BulletList">
    <w:name w:val="00 Bullet List"/>
    <w:basedOn w:val="Normal"/>
    <w:pPr>
      <w:numPr>
        <w:numId w:val="15"/>
      </w:numPr>
      <w:tabs>
        <w:tab w:val="clear" w:pos="1440"/>
        <w:tab w:val="num" w:pos="360"/>
      </w:tabs>
      <w:spacing w:after="240"/>
      <w:ind w:left="0" w:firstLine="0"/>
    </w:pPr>
  </w:style>
  <w:style w:type="paragraph" w:customStyle="1" w:styleId="00BlockInd5">
    <w:name w:val="00 Block Ind .5"/>
    <w:basedOn w:val="Normal"/>
    <w:qFormat/>
    <w:pPr>
      <w:spacing w:after="240"/>
      <w:ind w:left="720" w:right="720"/>
    </w:pPr>
  </w:style>
  <w:style w:type="paragraph" w:customStyle="1" w:styleId="00BlockInd1">
    <w:name w:val="00 Block Ind 1"/>
    <w:basedOn w:val="Normal"/>
    <w:pPr>
      <w:spacing w:after="240"/>
      <w:ind w:left="1440" w:right="1440"/>
    </w:pPr>
  </w:style>
  <w:style w:type="paragraph" w:customStyle="1" w:styleId="00BodyText1">
    <w:name w:val="00 Body Text 1"/>
    <w:basedOn w:val="Normal"/>
    <w:pPr>
      <w:spacing w:after="240"/>
      <w:ind w:firstLine="1440"/>
    </w:pPr>
  </w:style>
  <w:style w:type="paragraph" w:customStyle="1" w:styleId="00BodyText15">
    <w:name w:val="00 Body Text 1.5"/>
    <w:basedOn w:val="Normal"/>
    <w:pPr>
      <w:spacing w:line="360" w:lineRule="auto"/>
      <w:ind w:firstLine="1440"/>
    </w:pPr>
  </w:style>
  <w:style w:type="paragraph" w:customStyle="1" w:styleId="00BodyTextDbl">
    <w:name w:val="00 Body Text Dbl"/>
    <w:basedOn w:val="Normal"/>
    <w:pPr>
      <w:spacing w:line="480" w:lineRule="auto"/>
      <w:ind w:firstLine="1440"/>
    </w:pPr>
  </w:style>
  <w:style w:type="paragraph" w:customStyle="1" w:styleId="00Center">
    <w:name w:val="00 Center"/>
    <w:basedOn w:val="Normal"/>
    <w:qFormat/>
    <w:pPr>
      <w:keepNext/>
      <w:spacing w:after="240"/>
      <w:jc w:val="center"/>
    </w:pPr>
  </w:style>
  <w:style w:type="paragraph" w:customStyle="1" w:styleId="00Double">
    <w:name w:val="00 Double"/>
    <w:basedOn w:val="Normal"/>
    <w:pPr>
      <w:spacing w:line="480" w:lineRule="auto"/>
    </w:pPr>
  </w:style>
  <w:style w:type="paragraph" w:customStyle="1" w:styleId="00HangingIndent">
    <w:name w:val="00 Hanging Indent"/>
    <w:basedOn w:val="Normal"/>
    <w:pPr>
      <w:spacing w:after="240"/>
      <w:ind w:left="2880" w:hanging="2160"/>
    </w:pPr>
  </w:style>
  <w:style w:type="paragraph" w:customStyle="1" w:styleId="00JBodyText1">
    <w:name w:val="00 J Body Text 1"/>
    <w:basedOn w:val="Normal"/>
    <w:pPr>
      <w:spacing w:after="240"/>
      <w:ind w:firstLine="1440"/>
      <w:jc w:val="both"/>
    </w:pPr>
  </w:style>
  <w:style w:type="paragraph" w:customStyle="1" w:styleId="00LeftIndent5">
    <w:name w:val="00 Left Indent .5"/>
    <w:basedOn w:val="Normal"/>
    <w:pPr>
      <w:spacing w:after="240"/>
      <w:ind w:left="720"/>
    </w:pPr>
  </w:style>
  <w:style w:type="paragraph" w:customStyle="1" w:styleId="00LeftIndent10">
    <w:name w:val="00 Left Indent 1.0"/>
    <w:basedOn w:val="Normal"/>
    <w:pPr>
      <w:spacing w:after="240"/>
      <w:ind w:left="1440"/>
    </w:pPr>
  </w:style>
  <w:style w:type="paragraph" w:customStyle="1" w:styleId="00LeftIndent15">
    <w:name w:val="00 Left Indent 1.5"/>
    <w:basedOn w:val="Normal"/>
    <w:pPr>
      <w:spacing w:after="240"/>
      <w:ind w:left="2160"/>
    </w:pPr>
  </w:style>
  <w:style w:type="paragraph" w:customStyle="1" w:styleId="00Normal">
    <w:name w:val="00 Normal"/>
    <w:basedOn w:val="Normal"/>
    <w:qFormat/>
    <w:pPr>
      <w:spacing w:after="240"/>
    </w:pPr>
  </w:style>
  <w:style w:type="paragraph" w:customStyle="1" w:styleId="00NumberList">
    <w:name w:val="00 Number List"/>
    <w:basedOn w:val="Normal"/>
    <w:pPr>
      <w:numPr>
        <w:numId w:val="16"/>
      </w:numPr>
      <w:tabs>
        <w:tab w:val="clear" w:pos="1080"/>
        <w:tab w:val="num" w:pos="360"/>
      </w:tabs>
      <w:spacing w:after="240"/>
      <w:ind w:firstLine="0"/>
    </w:pPr>
  </w:style>
  <w:style w:type="paragraph" w:customStyle="1" w:styleId="00PlainText">
    <w:name w:val="00 Plain Text"/>
    <w:basedOn w:val="Normal"/>
  </w:style>
  <w:style w:type="paragraph" w:customStyle="1" w:styleId="00TitleC">
    <w:name w:val="00 Title C"/>
    <w:basedOn w:val="Normal"/>
    <w:pPr>
      <w:keepNext/>
      <w:spacing w:after="240"/>
      <w:jc w:val="center"/>
    </w:pPr>
    <w:rPr>
      <w:b/>
    </w:rPr>
  </w:style>
  <w:style w:type="paragraph" w:customStyle="1" w:styleId="00TitleL">
    <w:name w:val="00 Title L"/>
    <w:basedOn w:val="Normal"/>
    <w:pPr>
      <w:keepNext/>
      <w:spacing w:after="240"/>
    </w:pPr>
    <w:rPr>
      <w:b/>
    </w:rPr>
  </w:style>
  <w:style w:type="paragraph" w:styleId="ListBullet">
    <w:name w:val="List Bullet"/>
    <w:basedOn w:val="Normal"/>
    <w:pPr>
      <w:numPr>
        <w:numId w:val="5"/>
      </w:numPr>
    </w:pPr>
  </w:style>
  <w:style w:type="paragraph" w:styleId="ListBullet2">
    <w:name w:val="List Bullet 2"/>
    <w:basedOn w:val="Normal"/>
    <w:autoRedefine/>
    <w:pPr>
      <w:tabs>
        <w:tab w:val="num" w:pos="720"/>
      </w:tabs>
      <w:ind w:left="720" w:hanging="360"/>
    </w:pPr>
  </w:style>
  <w:style w:type="character" w:customStyle="1" w:styleId="DOCID0">
    <w:name w:val="DOCID"/>
    <w:rPr>
      <w:rFonts w:ascii="Arial" w:hAnsi="Arial" w:cs="Arial"/>
      <w:sz w:val="16"/>
      <w:szCs w:val="16"/>
    </w:rPr>
  </w:style>
  <w:style w:type="paragraph" w:customStyle="1" w:styleId="Heading24Body">
    <w:name w:val="Heading 24 Body"/>
    <w:basedOn w:val="Normal"/>
    <w:next w:val="Normal"/>
    <w:pPr>
      <w:numPr>
        <w:ilvl w:val="1"/>
        <w:numId w:val="20"/>
      </w:numPr>
      <w:tabs>
        <w:tab w:val="clear" w:pos="1440"/>
      </w:tabs>
      <w:ind w:left="1440"/>
      <w:jc w:val="both"/>
    </w:pPr>
  </w:style>
  <w:style w:type="paragraph" w:customStyle="1" w:styleId="Heading32Body">
    <w:name w:val="Heading 32 Body"/>
    <w:basedOn w:val="Normal"/>
    <w:next w:val="Normal"/>
    <w:pPr>
      <w:numPr>
        <w:ilvl w:val="2"/>
        <w:numId w:val="20"/>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0"/>
      <w:jc w:val="both"/>
    </w:pPr>
  </w:style>
  <w:style w:type="paragraph" w:styleId="BalloonText">
    <w:name w:val="Balloon Text"/>
    <w:basedOn w:val="Normal"/>
    <w:link w:val="BalloonTextChar"/>
    <w:rsid w:val="004F2545"/>
    <w:rPr>
      <w:rFonts w:ascii="Tahoma" w:hAnsi="Tahoma" w:cs="Tahoma"/>
      <w:sz w:val="16"/>
      <w:szCs w:val="16"/>
    </w:rPr>
  </w:style>
  <w:style w:type="character" w:customStyle="1" w:styleId="BalloonTextChar">
    <w:name w:val="Balloon Text Char"/>
    <w:link w:val="BalloonText"/>
    <w:rsid w:val="004F2545"/>
    <w:rPr>
      <w:rFonts w:ascii="Tahoma" w:hAnsi="Tahoma" w:cs="Tahoma"/>
      <w:sz w:val="16"/>
      <w:szCs w:val="16"/>
    </w:rPr>
  </w:style>
  <w:style w:type="character" w:styleId="Hyperlink">
    <w:name w:val="Hyperlink"/>
    <w:rsid w:val="00D52778"/>
    <w:rPr>
      <w:color w:val="0000FF"/>
      <w:u w:val="single"/>
    </w:rPr>
  </w:style>
  <w:style w:type="paragraph" w:customStyle="1" w:styleId="Default">
    <w:name w:val="Default"/>
    <w:rsid w:val="00BE5EA8"/>
    <w:pPr>
      <w:autoSpaceDE w:val="0"/>
      <w:autoSpaceDN w:val="0"/>
      <w:adjustRightInd w:val="0"/>
    </w:pPr>
    <w:rPr>
      <w:color w:val="000000"/>
      <w:sz w:val="24"/>
      <w:szCs w:val="24"/>
    </w:rPr>
  </w:style>
  <w:style w:type="paragraph" w:styleId="BodyText">
    <w:name w:val="Body Text"/>
    <w:basedOn w:val="Normal"/>
    <w:link w:val="BodyTextChar"/>
    <w:unhideWhenUsed/>
    <w:rsid w:val="00BE5EA8"/>
    <w:pPr>
      <w:spacing w:after="120"/>
    </w:pPr>
  </w:style>
  <w:style w:type="character" w:customStyle="1" w:styleId="BodyTextChar">
    <w:name w:val="Body Text Char"/>
    <w:basedOn w:val="DefaultParagraphFont"/>
    <w:link w:val="BodyText"/>
    <w:rsid w:val="00BE5EA8"/>
    <w:rPr>
      <w:sz w:val="24"/>
      <w:szCs w:val="24"/>
    </w:rPr>
  </w:style>
  <w:style w:type="paragraph" w:styleId="Index8">
    <w:name w:val="index 8"/>
    <w:basedOn w:val="Normal"/>
    <w:next w:val="Normal"/>
    <w:autoRedefine/>
    <w:semiHidden/>
    <w:rsid w:val="005E7FD6"/>
    <w:pPr>
      <w:ind w:left="1920" w:hanging="240"/>
    </w:pPr>
  </w:style>
  <w:style w:type="character" w:styleId="CommentReference">
    <w:name w:val="annotation reference"/>
    <w:basedOn w:val="DefaultParagraphFont"/>
    <w:semiHidden/>
    <w:unhideWhenUsed/>
    <w:rsid w:val="00582D12"/>
    <w:rPr>
      <w:sz w:val="16"/>
      <w:szCs w:val="16"/>
    </w:rPr>
  </w:style>
  <w:style w:type="paragraph" w:styleId="CommentText">
    <w:name w:val="annotation text"/>
    <w:basedOn w:val="Normal"/>
    <w:link w:val="CommentTextChar"/>
    <w:semiHidden/>
    <w:unhideWhenUsed/>
    <w:rsid w:val="00582D12"/>
    <w:rPr>
      <w:sz w:val="20"/>
      <w:szCs w:val="20"/>
    </w:rPr>
  </w:style>
  <w:style w:type="character" w:customStyle="1" w:styleId="CommentTextChar">
    <w:name w:val="Comment Text Char"/>
    <w:basedOn w:val="DefaultParagraphFont"/>
    <w:link w:val="CommentText"/>
    <w:semiHidden/>
    <w:rsid w:val="00582D12"/>
  </w:style>
  <w:style w:type="paragraph" w:styleId="CommentSubject">
    <w:name w:val="annotation subject"/>
    <w:basedOn w:val="CommentText"/>
    <w:next w:val="CommentText"/>
    <w:link w:val="CommentSubjectChar"/>
    <w:semiHidden/>
    <w:unhideWhenUsed/>
    <w:rsid w:val="00582D12"/>
    <w:rPr>
      <w:b/>
      <w:bCs/>
    </w:rPr>
  </w:style>
  <w:style w:type="character" w:customStyle="1" w:styleId="CommentSubjectChar">
    <w:name w:val="Comment Subject Char"/>
    <w:basedOn w:val="CommentTextChar"/>
    <w:link w:val="CommentSubject"/>
    <w:semiHidden/>
    <w:rsid w:val="00582D12"/>
    <w:rPr>
      <w:b/>
      <w:bCs/>
    </w:rPr>
  </w:style>
  <w:style w:type="paragraph" w:customStyle="1" w:styleId="TableParagraph">
    <w:name w:val="Table Paragraph"/>
    <w:basedOn w:val="Normal"/>
    <w:uiPriority w:val="1"/>
    <w:qFormat/>
    <w:rsid w:val="009F1A28"/>
    <w:pPr>
      <w:widowControl w:val="0"/>
      <w:autoSpaceDE w:val="0"/>
      <w:autoSpaceDN w:val="0"/>
      <w:jc w:val="center"/>
    </w:pPr>
    <w:rPr>
      <w:rFonts w:ascii="Calibri" w:eastAsia="Calibri" w:hAnsi="Calibri" w:cs="Calibri"/>
      <w:sz w:val="22"/>
      <w:szCs w:val="22"/>
      <w:lang w:bidi="en-US"/>
    </w:rPr>
  </w:style>
  <w:style w:type="character" w:customStyle="1" w:styleId="HeaderChar">
    <w:name w:val="Header Char"/>
    <w:aliases w:val="h Char"/>
    <w:basedOn w:val="DefaultParagraphFont"/>
    <w:link w:val="Header"/>
    <w:rsid w:val="001B1F2D"/>
    <w:rPr>
      <w:sz w:val="24"/>
      <w:szCs w:val="24"/>
    </w:rPr>
  </w:style>
  <w:style w:type="character" w:styleId="UnresolvedMention">
    <w:name w:val="Unresolved Mention"/>
    <w:basedOn w:val="DefaultParagraphFont"/>
    <w:uiPriority w:val="99"/>
    <w:semiHidden/>
    <w:unhideWhenUsed/>
    <w:rsid w:val="0086656A"/>
    <w:rPr>
      <w:color w:val="605E5C"/>
      <w:shd w:val="clear" w:color="auto" w:fill="E1DFDD"/>
    </w:rPr>
  </w:style>
  <w:style w:type="paragraph" w:customStyle="1" w:styleId="BodyText1">
    <w:name w:val="* Body Text 1"/>
    <w:basedOn w:val="Normal"/>
    <w:rsid w:val="00571ED1"/>
    <w:pPr>
      <w:spacing w:after="240"/>
      <w:ind w:firstLine="1440"/>
    </w:pPr>
  </w:style>
  <w:style w:type="character" w:customStyle="1" w:styleId="00BodyText5Char">
    <w:name w:val="00 Body Text .5 Char"/>
    <w:basedOn w:val="DefaultParagraphFont"/>
    <w:link w:val="00BodyText5"/>
    <w:rsid w:val="00571ED1"/>
    <w:rPr>
      <w:sz w:val="24"/>
      <w:szCs w:val="24"/>
    </w:rPr>
  </w:style>
  <w:style w:type="paragraph" w:styleId="ListParagraph">
    <w:name w:val="List Paragraph"/>
    <w:basedOn w:val="Normal"/>
    <w:uiPriority w:val="34"/>
    <w:qFormat/>
    <w:rsid w:val="007D4E26"/>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paragraph" w:customStyle="1" w:styleId="HeadingBody1">
    <w:name w:val="HeadingBody 1"/>
    <w:basedOn w:val="BodyText"/>
    <w:next w:val="BodyText5"/>
    <w:link w:val="HeadingBody1Char"/>
    <w:rsid w:val="00D43578"/>
    <w:pPr>
      <w:spacing w:after="240"/>
      <w:ind w:firstLine="720"/>
      <w:jc w:val="both"/>
    </w:pPr>
    <w:rPr>
      <w:rFonts w:cs="Arial"/>
    </w:rPr>
  </w:style>
  <w:style w:type="character" w:customStyle="1" w:styleId="HeadingBody1Char">
    <w:name w:val="HeadingBody 1 Char"/>
    <w:basedOn w:val="Heading1Char"/>
    <w:link w:val="HeadingBody1"/>
    <w:rsid w:val="00D43578"/>
    <w:rPr>
      <w:rFonts w:cs="Arial"/>
      <w:bCs w:val="0"/>
      <w:sz w:val="24"/>
      <w:szCs w:val="24"/>
    </w:rPr>
  </w:style>
  <w:style w:type="character" w:customStyle="1" w:styleId="Heading2Char">
    <w:name w:val="Heading 2 Char"/>
    <w:basedOn w:val="DefaultParagraphFont"/>
    <w:link w:val="Heading2"/>
    <w:rsid w:val="00F81BD7"/>
    <w:rPr>
      <w:rFonts w:cs="Arial"/>
      <w:bCs/>
      <w:iCs/>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294091">
      <w:bodyDiv w:val="1"/>
      <w:marLeft w:val="0"/>
      <w:marRight w:val="0"/>
      <w:marTop w:val="0"/>
      <w:marBottom w:val="0"/>
      <w:divBdr>
        <w:top w:val="none" w:sz="0" w:space="0" w:color="auto"/>
        <w:left w:val="none" w:sz="0" w:space="0" w:color="auto"/>
        <w:bottom w:val="none" w:sz="0" w:space="0" w:color="auto"/>
        <w:right w:val="none" w:sz="0" w:space="0" w:color="auto"/>
      </w:divBdr>
    </w:div>
    <w:div w:id="74477897">
      <w:bodyDiv w:val="1"/>
      <w:marLeft w:val="0"/>
      <w:marRight w:val="0"/>
      <w:marTop w:val="0"/>
      <w:marBottom w:val="0"/>
      <w:divBdr>
        <w:top w:val="none" w:sz="0" w:space="0" w:color="auto"/>
        <w:left w:val="none" w:sz="0" w:space="0" w:color="auto"/>
        <w:bottom w:val="none" w:sz="0" w:space="0" w:color="auto"/>
        <w:right w:val="none" w:sz="0" w:space="0" w:color="auto"/>
      </w:divBdr>
    </w:div>
    <w:div w:id="278462497">
      <w:bodyDiv w:val="1"/>
      <w:marLeft w:val="0"/>
      <w:marRight w:val="0"/>
      <w:marTop w:val="0"/>
      <w:marBottom w:val="0"/>
      <w:divBdr>
        <w:top w:val="none" w:sz="0" w:space="0" w:color="auto"/>
        <w:left w:val="none" w:sz="0" w:space="0" w:color="auto"/>
        <w:bottom w:val="none" w:sz="0" w:space="0" w:color="auto"/>
        <w:right w:val="none" w:sz="0" w:space="0" w:color="auto"/>
      </w:divBdr>
    </w:div>
    <w:div w:id="339430246">
      <w:bodyDiv w:val="1"/>
      <w:marLeft w:val="0"/>
      <w:marRight w:val="0"/>
      <w:marTop w:val="0"/>
      <w:marBottom w:val="0"/>
      <w:divBdr>
        <w:top w:val="none" w:sz="0" w:space="0" w:color="auto"/>
        <w:left w:val="none" w:sz="0" w:space="0" w:color="auto"/>
        <w:bottom w:val="none" w:sz="0" w:space="0" w:color="auto"/>
        <w:right w:val="none" w:sz="0" w:space="0" w:color="auto"/>
      </w:divBdr>
    </w:div>
    <w:div w:id="409737679">
      <w:bodyDiv w:val="1"/>
      <w:marLeft w:val="0"/>
      <w:marRight w:val="0"/>
      <w:marTop w:val="0"/>
      <w:marBottom w:val="0"/>
      <w:divBdr>
        <w:top w:val="none" w:sz="0" w:space="0" w:color="auto"/>
        <w:left w:val="none" w:sz="0" w:space="0" w:color="auto"/>
        <w:bottom w:val="none" w:sz="0" w:space="0" w:color="auto"/>
        <w:right w:val="none" w:sz="0" w:space="0" w:color="auto"/>
      </w:divBdr>
    </w:div>
    <w:div w:id="434987074">
      <w:bodyDiv w:val="1"/>
      <w:marLeft w:val="0"/>
      <w:marRight w:val="0"/>
      <w:marTop w:val="0"/>
      <w:marBottom w:val="0"/>
      <w:divBdr>
        <w:top w:val="none" w:sz="0" w:space="0" w:color="auto"/>
        <w:left w:val="none" w:sz="0" w:space="0" w:color="auto"/>
        <w:bottom w:val="none" w:sz="0" w:space="0" w:color="auto"/>
        <w:right w:val="none" w:sz="0" w:space="0" w:color="auto"/>
      </w:divBdr>
    </w:div>
    <w:div w:id="488905017">
      <w:bodyDiv w:val="1"/>
      <w:marLeft w:val="0"/>
      <w:marRight w:val="0"/>
      <w:marTop w:val="0"/>
      <w:marBottom w:val="0"/>
      <w:divBdr>
        <w:top w:val="none" w:sz="0" w:space="0" w:color="auto"/>
        <w:left w:val="none" w:sz="0" w:space="0" w:color="auto"/>
        <w:bottom w:val="none" w:sz="0" w:space="0" w:color="auto"/>
        <w:right w:val="none" w:sz="0" w:space="0" w:color="auto"/>
      </w:divBdr>
    </w:div>
    <w:div w:id="616331926">
      <w:bodyDiv w:val="1"/>
      <w:marLeft w:val="0"/>
      <w:marRight w:val="0"/>
      <w:marTop w:val="0"/>
      <w:marBottom w:val="0"/>
      <w:divBdr>
        <w:top w:val="none" w:sz="0" w:space="0" w:color="auto"/>
        <w:left w:val="none" w:sz="0" w:space="0" w:color="auto"/>
        <w:bottom w:val="none" w:sz="0" w:space="0" w:color="auto"/>
        <w:right w:val="none" w:sz="0" w:space="0" w:color="auto"/>
      </w:divBdr>
    </w:div>
    <w:div w:id="634337049">
      <w:bodyDiv w:val="1"/>
      <w:marLeft w:val="0"/>
      <w:marRight w:val="0"/>
      <w:marTop w:val="0"/>
      <w:marBottom w:val="0"/>
      <w:divBdr>
        <w:top w:val="none" w:sz="0" w:space="0" w:color="auto"/>
        <w:left w:val="none" w:sz="0" w:space="0" w:color="auto"/>
        <w:bottom w:val="none" w:sz="0" w:space="0" w:color="auto"/>
        <w:right w:val="none" w:sz="0" w:space="0" w:color="auto"/>
      </w:divBdr>
    </w:div>
    <w:div w:id="741635006">
      <w:bodyDiv w:val="1"/>
      <w:marLeft w:val="0"/>
      <w:marRight w:val="0"/>
      <w:marTop w:val="0"/>
      <w:marBottom w:val="0"/>
      <w:divBdr>
        <w:top w:val="none" w:sz="0" w:space="0" w:color="auto"/>
        <w:left w:val="none" w:sz="0" w:space="0" w:color="auto"/>
        <w:bottom w:val="none" w:sz="0" w:space="0" w:color="auto"/>
        <w:right w:val="none" w:sz="0" w:space="0" w:color="auto"/>
      </w:divBdr>
    </w:div>
    <w:div w:id="973173658">
      <w:bodyDiv w:val="1"/>
      <w:marLeft w:val="0"/>
      <w:marRight w:val="0"/>
      <w:marTop w:val="0"/>
      <w:marBottom w:val="0"/>
      <w:divBdr>
        <w:top w:val="none" w:sz="0" w:space="0" w:color="auto"/>
        <w:left w:val="none" w:sz="0" w:space="0" w:color="auto"/>
        <w:bottom w:val="none" w:sz="0" w:space="0" w:color="auto"/>
        <w:right w:val="none" w:sz="0" w:space="0" w:color="auto"/>
      </w:divBdr>
    </w:div>
    <w:div w:id="987125783">
      <w:bodyDiv w:val="1"/>
      <w:marLeft w:val="0"/>
      <w:marRight w:val="0"/>
      <w:marTop w:val="0"/>
      <w:marBottom w:val="0"/>
      <w:divBdr>
        <w:top w:val="none" w:sz="0" w:space="0" w:color="auto"/>
        <w:left w:val="none" w:sz="0" w:space="0" w:color="auto"/>
        <w:bottom w:val="none" w:sz="0" w:space="0" w:color="auto"/>
        <w:right w:val="none" w:sz="0" w:space="0" w:color="auto"/>
      </w:divBdr>
    </w:div>
    <w:div w:id="1117872444">
      <w:bodyDiv w:val="1"/>
      <w:marLeft w:val="0"/>
      <w:marRight w:val="0"/>
      <w:marTop w:val="0"/>
      <w:marBottom w:val="0"/>
      <w:divBdr>
        <w:top w:val="none" w:sz="0" w:space="0" w:color="auto"/>
        <w:left w:val="none" w:sz="0" w:space="0" w:color="auto"/>
        <w:bottom w:val="none" w:sz="0" w:space="0" w:color="auto"/>
        <w:right w:val="none" w:sz="0" w:space="0" w:color="auto"/>
      </w:divBdr>
    </w:div>
    <w:div w:id="1186287857">
      <w:bodyDiv w:val="1"/>
      <w:marLeft w:val="0"/>
      <w:marRight w:val="0"/>
      <w:marTop w:val="0"/>
      <w:marBottom w:val="0"/>
      <w:divBdr>
        <w:top w:val="none" w:sz="0" w:space="0" w:color="auto"/>
        <w:left w:val="none" w:sz="0" w:space="0" w:color="auto"/>
        <w:bottom w:val="none" w:sz="0" w:space="0" w:color="auto"/>
        <w:right w:val="none" w:sz="0" w:space="0" w:color="auto"/>
      </w:divBdr>
    </w:div>
    <w:div w:id="1220433612">
      <w:bodyDiv w:val="1"/>
      <w:marLeft w:val="0"/>
      <w:marRight w:val="0"/>
      <w:marTop w:val="0"/>
      <w:marBottom w:val="0"/>
      <w:divBdr>
        <w:top w:val="none" w:sz="0" w:space="0" w:color="auto"/>
        <w:left w:val="none" w:sz="0" w:space="0" w:color="auto"/>
        <w:bottom w:val="none" w:sz="0" w:space="0" w:color="auto"/>
        <w:right w:val="none" w:sz="0" w:space="0" w:color="auto"/>
      </w:divBdr>
    </w:div>
    <w:div w:id="1341006378">
      <w:bodyDiv w:val="1"/>
      <w:marLeft w:val="0"/>
      <w:marRight w:val="0"/>
      <w:marTop w:val="0"/>
      <w:marBottom w:val="0"/>
      <w:divBdr>
        <w:top w:val="none" w:sz="0" w:space="0" w:color="auto"/>
        <w:left w:val="none" w:sz="0" w:space="0" w:color="auto"/>
        <w:bottom w:val="none" w:sz="0" w:space="0" w:color="auto"/>
        <w:right w:val="none" w:sz="0" w:space="0" w:color="auto"/>
      </w:divBdr>
    </w:div>
    <w:div w:id="1418866267">
      <w:bodyDiv w:val="1"/>
      <w:marLeft w:val="0"/>
      <w:marRight w:val="0"/>
      <w:marTop w:val="0"/>
      <w:marBottom w:val="0"/>
      <w:divBdr>
        <w:top w:val="none" w:sz="0" w:space="0" w:color="auto"/>
        <w:left w:val="none" w:sz="0" w:space="0" w:color="auto"/>
        <w:bottom w:val="none" w:sz="0" w:space="0" w:color="auto"/>
        <w:right w:val="none" w:sz="0" w:space="0" w:color="auto"/>
      </w:divBdr>
    </w:div>
    <w:div w:id="1502895380">
      <w:bodyDiv w:val="1"/>
      <w:marLeft w:val="0"/>
      <w:marRight w:val="0"/>
      <w:marTop w:val="0"/>
      <w:marBottom w:val="0"/>
      <w:divBdr>
        <w:top w:val="none" w:sz="0" w:space="0" w:color="auto"/>
        <w:left w:val="none" w:sz="0" w:space="0" w:color="auto"/>
        <w:bottom w:val="none" w:sz="0" w:space="0" w:color="auto"/>
        <w:right w:val="none" w:sz="0" w:space="0" w:color="auto"/>
      </w:divBdr>
    </w:div>
    <w:div w:id="1505432981">
      <w:bodyDiv w:val="1"/>
      <w:marLeft w:val="0"/>
      <w:marRight w:val="0"/>
      <w:marTop w:val="0"/>
      <w:marBottom w:val="0"/>
      <w:divBdr>
        <w:top w:val="none" w:sz="0" w:space="0" w:color="auto"/>
        <w:left w:val="none" w:sz="0" w:space="0" w:color="auto"/>
        <w:bottom w:val="none" w:sz="0" w:space="0" w:color="auto"/>
        <w:right w:val="none" w:sz="0" w:space="0" w:color="auto"/>
      </w:divBdr>
    </w:div>
    <w:div w:id="1619992644">
      <w:bodyDiv w:val="1"/>
      <w:marLeft w:val="0"/>
      <w:marRight w:val="0"/>
      <w:marTop w:val="0"/>
      <w:marBottom w:val="0"/>
      <w:divBdr>
        <w:top w:val="none" w:sz="0" w:space="0" w:color="auto"/>
        <w:left w:val="none" w:sz="0" w:space="0" w:color="auto"/>
        <w:bottom w:val="none" w:sz="0" w:space="0" w:color="auto"/>
        <w:right w:val="none" w:sz="0" w:space="0" w:color="auto"/>
      </w:divBdr>
    </w:div>
    <w:div w:id="1807233709">
      <w:bodyDiv w:val="1"/>
      <w:marLeft w:val="0"/>
      <w:marRight w:val="0"/>
      <w:marTop w:val="0"/>
      <w:marBottom w:val="0"/>
      <w:divBdr>
        <w:top w:val="none" w:sz="0" w:space="0" w:color="auto"/>
        <w:left w:val="none" w:sz="0" w:space="0" w:color="auto"/>
        <w:bottom w:val="none" w:sz="0" w:space="0" w:color="auto"/>
        <w:right w:val="none" w:sz="0" w:space="0" w:color="auto"/>
      </w:divBdr>
    </w:div>
    <w:div w:id="1895121768">
      <w:bodyDiv w:val="1"/>
      <w:marLeft w:val="0"/>
      <w:marRight w:val="0"/>
      <w:marTop w:val="0"/>
      <w:marBottom w:val="0"/>
      <w:divBdr>
        <w:top w:val="none" w:sz="0" w:space="0" w:color="auto"/>
        <w:left w:val="none" w:sz="0" w:space="0" w:color="auto"/>
        <w:bottom w:val="none" w:sz="0" w:space="0" w:color="auto"/>
        <w:right w:val="none" w:sz="0" w:space="0" w:color="auto"/>
      </w:divBdr>
    </w:div>
    <w:div w:id="2073234044">
      <w:bodyDiv w:val="1"/>
      <w:marLeft w:val="0"/>
      <w:marRight w:val="0"/>
      <w:marTop w:val="0"/>
      <w:marBottom w:val="0"/>
      <w:divBdr>
        <w:top w:val="none" w:sz="0" w:space="0" w:color="auto"/>
        <w:left w:val="none" w:sz="0" w:space="0" w:color="auto"/>
        <w:bottom w:val="none" w:sz="0" w:space="0" w:color="auto"/>
        <w:right w:val="none" w:sz="0" w:space="0" w:color="auto"/>
      </w:divBdr>
    </w:div>
    <w:div w:id="2101749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mn.utah.gov" TargetMode="Externa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9.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C6186C-136C-41CC-842A-E05B2CE35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12</Pages>
  <Words>4000</Words>
  <Characters>21159</Characters>
  <Application>Microsoft Office Word</Application>
  <DocSecurity>0</DocSecurity>
  <Lines>176</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Stephens, Darci (G&amp;B)</dc:creator>
  <cp:keywords/>
  <dc:description/>
  <cp:lastModifiedBy>Wade, Aaron (G&amp;B)</cp:lastModifiedBy>
  <cp:revision>44</cp:revision>
  <cp:lastPrinted>2020-07-17T18:21:00Z</cp:lastPrinted>
  <dcterms:created xsi:type="dcterms:W3CDTF">2024-12-04T18:15:00Z</dcterms:created>
  <dcterms:modified xsi:type="dcterms:W3CDTF">2024-12-12T20:17:00Z</dcterms:modified>
</cp:coreProperties>
</file>