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Utah Medical Education Council (UMEC)</w:t>
      </w:r>
    </w:p>
    <w:p w:rsidR="00000000" w:rsidDel="00000000" w:rsidP="00000000" w:rsidRDefault="00000000" w:rsidRPr="00000000" w14:paraId="00000002">
      <w:pPr>
        <w:spacing w:after="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Tuesday, December 10, 2024</w:t>
      </w:r>
      <w:r w:rsidDel="00000000" w:rsidR="00000000" w:rsidRPr="00000000">
        <w:rPr>
          <w:rtl w:val="0"/>
        </w:rPr>
      </w:r>
    </w:p>
    <w:p w:rsidR="00000000" w:rsidDel="00000000" w:rsidP="00000000" w:rsidRDefault="00000000" w:rsidRPr="00000000" w14:paraId="00000003">
      <w:pPr>
        <w:spacing w:after="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Multi-agency State Office Building (MASOB)</w:t>
      </w:r>
    </w:p>
    <w:p w:rsidR="00000000" w:rsidDel="00000000" w:rsidP="00000000" w:rsidRDefault="00000000" w:rsidRPr="00000000" w14:paraId="00000004">
      <w:pPr>
        <w:spacing w:after="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8:00 – 9:00 AM</w:t>
      </w:r>
    </w:p>
    <w:p w:rsidR="00000000" w:rsidDel="00000000" w:rsidP="00000000" w:rsidRDefault="00000000" w:rsidRPr="00000000" w14:paraId="00000005">
      <w:pPr>
        <w:spacing w:after="0" w:line="240" w:lineRule="auto"/>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Meeting</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1"/>
          <w:sz w:val="20"/>
          <w:szCs w:val="20"/>
          <w:rtl w:val="0"/>
        </w:rPr>
        <w:t xml:space="preserve">Minutes</w:t>
      </w:r>
    </w:p>
    <w:p w:rsidR="00000000" w:rsidDel="00000000" w:rsidP="00000000" w:rsidRDefault="00000000" w:rsidRPr="00000000" w14:paraId="00000006">
      <w:pPr>
        <w:spacing w:after="0" w:line="240" w:lineRule="auto"/>
        <w:jc w:val="center"/>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07">
      <w:pPr>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Council Members Present (virtual):</w:t>
      </w:r>
      <w:r w:rsidDel="00000000" w:rsidR="00000000" w:rsidRPr="00000000">
        <w:rPr>
          <w:rFonts w:ascii="Open Sans" w:cs="Open Sans" w:eastAsia="Open Sans" w:hAnsi="Open Sans"/>
          <w:sz w:val="20"/>
          <w:szCs w:val="20"/>
          <w:rtl w:val="0"/>
        </w:rPr>
        <w:t xml:space="preserve"> Dr. Sam Finlayson, Dr. Mark Harris, Dr. Karyn Springer, Dr. Frank Powers, Dr. Camille Collett , and Dr. Marc Babitz. </w:t>
      </w:r>
    </w:p>
    <w:p w:rsidR="00000000" w:rsidDel="00000000" w:rsidP="00000000" w:rsidRDefault="00000000" w:rsidRPr="00000000" w14:paraId="00000008">
      <w:pPr>
        <w:spacing w:after="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9">
      <w:pPr>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Staff Present:</w:t>
      </w:r>
      <w:r w:rsidDel="00000000" w:rsidR="00000000" w:rsidRPr="00000000">
        <w:rPr>
          <w:rFonts w:ascii="Open Sans" w:cs="Open Sans" w:eastAsia="Open Sans" w:hAnsi="Open Sans"/>
          <w:sz w:val="20"/>
          <w:szCs w:val="20"/>
          <w:rtl w:val="0"/>
        </w:rPr>
        <w:t xml:space="preserve"> Ashley Moretz, Marc Watterson, and Kendyl Brockman</w:t>
      </w:r>
    </w:p>
    <w:p w:rsidR="00000000" w:rsidDel="00000000" w:rsidP="00000000" w:rsidRDefault="00000000" w:rsidRPr="00000000" w14:paraId="0000000A">
      <w:pPr>
        <w:spacing w:after="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B">
      <w:pPr>
        <w:spacing w:after="0" w:line="240" w:lineRule="auto"/>
        <w:rPr>
          <w:rFonts w:ascii="Open Sans" w:cs="Open Sans" w:eastAsia="Open Sans" w:hAnsi="Open Sans"/>
          <w:color w:val="ff0000"/>
          <w:sz w:val="20"/>
          <w:szCs w:val="20"/>
        </w:rPr>
      </w:pPr>
      <w:r w:rsidDel="00000000" w:rsidR="00000000" w:rsidRPr="00000000">
        <w:rPr>
          <w:rFonts w:ascii="Open Sans" w:cs="Open Sans" w:eastAsia="Open Sans" w:hAnsi="Open Sans"/>
          <w:sz w:val="20"/>
          <w:szCs w:val="20"/>
          <w:u w:val="single"/>
          <w:rtl w:val="0"/>
        </w:rPr>
        <w:t xml:space="preserve">Council Members Absent:</w:t>
      </w:r>
      <w:r w:rsidDel="00000000" w:rsidR="00000000" w:rsidRPr="00000000">
        <w:rPr>
          <w:rFonts w:ascii="Open Sans" w:cs="Open Sans" w:eastAsia="Open Sans" w:hAnsi="Open Sans"/>
          <w:sz w:val="20"/>
          <w:szCs w:val="20"/>
          <w:rtl w:val="0"/>
        </w:rPr>
        <w:t xml:space="preserve"> Dr. Mark Greenwood and Dr. Collin Lash</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160" w:line="259"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This meeting was recorded per the Open Public Meetings Act.</w:t>
      </w:r>
    </w:p>
    <w:p w:rsidR="00000000" w:rsidDel="00000000" w:rsidP="00000000" w:rsidRDefault="00000000" w:rsidRPr="00000000" w14:paraId="0000000D">
      <w:pPr>
        <w:spacing w:after="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Welcome,  Roll Call, Introductions and Approval of Meeting Minutes- Dr. Sam Finlayson</w:t>
      </w:r>
    </w:p>
    <w:p w:rsidR="00000000" w:rsidDel="00000000" w:rsidP="00000000" w:rsidRDefault="00000000" w:rsidRPr="00000000" w14:paraId="0000000E">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 Finlayson opened the meeting with a welcome, roll call and asked for a motion to approve the past meeting minutes.  </w:t>
      </w:r>
    </w:p>
    <w:p w:rsidR="00000000" w:rsidDel="00000000" w:rsidP="00000000" w:rsidRDefault="00000000" w:rsidRPr="00000000" w14:paraId="0000000F">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0">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b w:val="1"/>
          <w:color w:val="1aa1b7"/>
          <w:sz w:val="20"/>
          <w:szCs w:val="20"/>
          <w:rtl w:val="0"/>
        </w:rPr>
        <w:t xml:space="preserve">Motion passed</w:t>
      </w:r>
      <w:r w:rsidDel="00000000" w:rsidR="00000000" w:rsidRPr="00000000">
        <w:rPr>
          <w:rFonts w:ascii="Open Sans" w:cs="Open Sans" w:eastAsia="Open Sans" w:hAnsi="Open Sans"/>
          <w:sz w:val="20"/>
          <w:szCs w:val="20"/>
          <w:rtl w:val="0"/>
        </w:rPr>
        <w:t xml:space="preserve"> to approve the UMEC </w:t>
      </w:r>
      <w:hyperlink r:id="rId6">
        <w:r w:rsidDel="00000000" w:rsidR="00000000" w:rsidRPr="00000000">
          <w:rPr>
            <w:rFonts w:ascii="Open Sans" w:cs="Open Sans" w:eastAsia="Open Sans" w:hAnsi="Open Sans"/>
            <w:color w:val="1155cc"/>
            <w:sz w:val="20"/>
            <w:szCs w:val="20"/>
            <w:u w:val="single"/>
            <w:rtl w:val="0"/>
          </w:rPr>
          <w:t xml:space="preserve">9/10/24 Meeting Minutes</w:t>
        </w:r>
      </w:hyperlink>
      <w:r w:rsidDel="00000000" w:rsidR="00000000" w:rsidRPr="00000000">
        <w:rPr>
          <w:rFonts w:ascii="Open Sans" w:cs="Open Sans" w:eastAsia="Open Sans" w:hAnsi="Open Sans"/>
          <w:sz w:val="20"/>
          <w:szCs w:val="20"/>
          <w:rtl w:val="0"/>
        </w:rPr>
        <w:t xml:space="preserve"> and </w:t>
      </w:r>
      <w:hyperlink r:id="rId7">
        <w:r w:rsidDel="00000000" w:rsidR="00000000" w:rsidRPr="00000000">
          <w:rPr>
            <w:rFonts w:ascii="Open Sans" w:cs="Open Sans" w:eastAsia="Open Sans" w:hAnsi="Open Sans"/>
            <w:color w:val="1155cc"/>
            <w:sz w:val="20"/>
            <w:szCs w:val="20"/>
            <w:u w:val="single"/>
            <w:rtl w:val="0"/>
          </w:rPr>
          <w:t xml:space="preserve">11/18/24 Meeting Minutes</w:t>
        </w:r>
      </w:hyperlink>
      <w:r w:rsidDel="00000000" w:rsidR="00000000" w:rsidRPr="00000000">
        <w:rPr>
          <w:rFonts w:ascii="Open Sans" w:cs="Open Sans" w:eastAsia="Open Sans" w:hAnsi="Open Sans"/>
          <w:sz w:val="20"/>
          <w:szCs w:val="20"/>
          <w:rtl w:val="0"/>
        </w:rPr>
        <w:t xml:space="preserve">. </w:t>
      </w:r>
      <w:r w:rsidDel="00000000" w:rsidR="00000000" w:rsidRPr="00000000">
        <w:rPr>
          <w:rtl w:val="0"/>
        </w:rPr>
      </w:r>
    </w:p>
    <w:p w:rsidR="00000000" w:rsidDel="00000000" w:rsidP="00000000" w:rsidRDefault="00000000" w:rsidRPr="00000000" w14:paraId="00000011">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2">
      <w:pPr>
        <w:spacing w:line="240" w:lineRule="auto"/>
        <w:ind w:left="0" w:firstLine="0"/>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Presentation on Rural Rotations from Southern Utah University- Carrie Torgersen</w:t>
      </w:r>
    </w:p>
    <w:p w:rsidR="00000000" w:rsidDel="00000000" w:rsidP="00000000" w:rsidRDefault="00000000" w:rsidRPr="00000000" w14:paraId="00000013">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Carrie Torgersen with the Utah Center for Rural Health at Southern Utah University (SUU), gave a brief presentation on the rural rotations that UMEC used to fund. The health profession rural rotations through SUU were started in 2007 and were created to help students who are going into graduate level health education programs. The goal of the program is to get these student providers into rural areas and get exposure to these types of communities and care. The funding from this program goes to help with housing and transportation costs while the resident is in the rural areas. </w:t>
      </w:r>
    </w:p>
    <w:p w:rsidR="00000000" w:rsidDel="00000000" w:rsidP="00000000" w:rsidRDefault="00000000" w:rsidRPr="00000000" w14:paraId="00000014">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5">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Additionally, Carrie shared that in 2019, UMEC helped to fund and start the Utah Psychology Internship Consortium (UT-PIC). Typically through UT-PIC, they have had about seven doctorate level psychology students and. In the past, approximately 50% of the psychology students have stayed to practice in Utah post- training.</w:t>
      </w:r>
    </w:p>
    <w:p w:rsidR="00000000" w:rsidDel="00000000" w:rsidP="00000000" w:rsidRDefault="00000000" w:rsidRPr="00000000" w14:paraId="00000016">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7">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Utah Center for Rural Health at SUU has helped students in various health professions. These include physician assistants, nurse practitioners, pharmacy and medical students. Carrie and her team have been working on tracking data and shared that from 2007 to 2019 the program has had a total of 1,567 rotation. Of those rotations, 60.49% are currently practicing in Utah and 16.46% are currently practicing in rural Utah. Of the 16.46% practicing in rural Utah there are 138 medical doctors, 48 pharmacists, 40 physician assistants, 124 nurse practitioners and 18 other professions. </w:t>
      </w:r>
    </w:p>
    <w:p w:rsidR="00000000" w:rsidDel="00000000" w:rsidP="00000000" w:rsidRDefault="00000000" w:rsidRPr="00000000" w14:paraId="00000018">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Carrie shared on behalf of the Utah Center for Rural Health that they do not currently have any funding beyond the carry over from 2023, which may help another 10 to 12 students. Once the funding has run out, they are unable to help students with these rural rotations and they may lead to a decrease in rural health rotations throughout Utah. The Utah Center for Rural Health is requesting any amount of funding for the continuation of the rural rotations. In the past UMEC has provided $50,000 in funding. Carrie ended by sharing that this program is important because it helps students to determine if working in rural health is something they are interested in and would be well suited for. There have been many times that a student has entered into the program with very little to no interest in rural health and left the program wanting to stay and practice in a rural area. </w:t>
      </w:r>
    </w:p>
    <w:p w:rsidR="00000000" w:rsidDel="00000000" w:rsidP="00000000" w:rsidRDefault="00000000" w:rsidRPr="00000000" w14:paraId="0000001A">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spacing w:line="240" w:lineRule="auto"/>
        <w:ind w:left="0" w:firstLine="0"/>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UMEC Funding- Dr. Sam Finlayson</w:t>
      </w:r>
    </w:p>
    <w:p w:rsidR="00000000" w:rsidDel="00000000" w:rsidP="00000000" w:rsidRDefault="00000000" w:rsidRPr="00000000" w14:paraId="0000001C">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 Finalyson then provided the group with an update on UMEC funds and proposed a plan for distribution moving forward. UMEC has three different funding accounts. There are funding accounts for  a “general” UMEC funding, 26B-4-711: “residency grant program” and the 26B-4-712: “forensic psychiatry fellowship grant program”.  The “general” UMEC funding is allocated towards staff salary, Veritas Health Solutions contract and the family medicine residency slots that are funded by UMEC. There is also approximately $372,400 in carryover funding  in the “general” UMEC account that can only be used towards programs under Utah Code </w:t>
      </w:r>
      <w:hyperlink r:id="rId8">
        <w:r w:rsidDel="00000000" w:rsidR="00000000" w:rsidRPr="00000000">
          <w:rPr>
            <w:rFonts w:ascii="Open Sans" w:cs="Open Sans" w:eastAsia="Open Sans" w:hAnsi="Open Sans"/>
            <w:color w:val="1155cc"/>
            <w:sz w:val="20"/>
            <w:szCs w:val="20"/>
            <w:u w:val="single"/>
            <w:rtl w:val="0"/>
          </w:rPr>
          <w:t xml:space="preserve">26B-4-708(4)</w:t>
        </w:r>
      </w:hyperlink>
      <w:r w:rsidDel="00000000" w:rsidR="00000000" w:rsidRPr="00000000">
        <w:rPr>
          <w:rFonts w:ascii="Open Sans" w:cs="Open Sans" w:eastAsia="Open Sans" w:hAnsi="Open Sans"/>
          <w:sz w:val="20"/>
          <w:szCs w:val="20"/>
          <w:rtl w:val="0"/>
        </w:rPr>
        <w:t xml:space="preserve">, </w:t>
      </w:r>
      <w:hyperlink r:id="rId9">
        <w:r w:rsidDel="00000000" w:rsidR="00000000" w:rsidRPr="00000000">
          <w:rPr>
            <w:rFonts w:ascii="Open Sans" w:cs="Open Sans" w:eastAsia="Open Sans" w:hAnsi="Open Sans"/>
            <w:color w:val="1155cc"/>
            <w:sz w:val="20"/>
            <w:szCs w:val="20"/>
            <w:u w:val="single"/>
            <w:rtl w:val="0"/>
          </w:rPr>
          <w:t xml:space="preserve">26B-4-711</w:t>
        </w:r>
      </w:hyperlink>
      <w:r w:rsidDel="00000000" w:rsidR="00000000" w:rsidRPr="00000000">
        <w:rPr>
          <w:rFonts w:ascii="Open Sans" w:cs="Open Sans" w:eastAsia="Open Sans" w:hAnsi="Open Sans"/>
          <w:sz w:val="20"/>
          <w:szCs w:val="20"/>
          <w:rtl w:val="0"/>
        </w:rPr>
        <w:t xml:space="preserve"> and </w:t>
      </w:r>
      <w:hyperlink r:id="rId10">
        <w:r w:rsidDel="00000000" w:rsidR="00000000" w:rsidRPr="00000000">
          <w:rPr>
            <w:rFonts w:ascii="Open Sans" w:cs="Open Sans" w:eastAsia="Open Sans" w:hAnsi="Open Sans"/>
            <w:color w:val="1155cc"/>
            <w:sz w:val="20"/>
            <w:szCs w:val="20"/>
            <w:u w:val="single"/>
            <w:rtl w:val="0"/>
          </w:rPr>
          <w:t xml:space="preserve">26B-7-712</w:t>
        </w:r>
      </w:hyperlink>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D">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E">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UMEC also has $1.5M in ongoing funding for the 26B-4-711:  “Residency grant program” that needs to be spent down by the end of fiscal year 2025. These underspent funds were the result of delays in getting contracts signed but now all contracts are signed. Dr. Finlayson and staff propose fully obligating these unused funds to be used for their intended purpose and distributing the funds across the current organizations UMEC currently has contracts with. </w:t>
      </w:r>
    </w:p>
    <w:p w:rsidR="00000000" w:rsidDel="00000000" w:rsidP="00000000" w:rsidRDefault="00000000" w:rsidRPr="00000000" w14:paraId="0000001F">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0">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Additionally, there is also $550k in ongoing funding for the 26B-4-712: “Forensic psychiatrist fellowship grant”. These underspent funds were the result of delays in getting the contract signed, which was signed in June of 2024. Similar to the “residency grant program”, We propose fully obligating these unused funds to be used for their intended purpose and distribute the full $550k to the organization with a contract under this program. As of right now, University of Utah Huntsman Mental Health Institute is the only organization with a psychiatric residency so they are the only ones who will be eligible for this funding. </w:t>
      </w:r>
    </w:p>
    <w:p w:rsidR="00000000" w:rsidDel="00000000" w:rsidP="00000000" w:rsidRDefault="00000000" w:rsidRPr="00000000" w14:paraId="00000021">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2">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clarification, there is no crossover between the accounts and the funds for each are all going towards their intended purpose. Staff has been working with the Utah Department of Health and Human Services legal and financial team to determine a pathway forward with the funding in each of the UMEC accounts. Staff proposed that the carryover funding of $375,400 from the "general" UMEC account be used to support family residencies in the coming fiscal year. That then frees up space in the UMEC “general” budget for other requests like the rural rotations or a consultant to help with graduate medical education matters. </w:t>
      </w:r>
    </w:p>
    <w:p w:rsidR="00000000" w:rsidDel="00000000" w:rsidP="00000000" w:rsidRDefault="00000000" w:rsidRPr="00000000" w14:paraId="00000023">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4">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 Frank Powers asked UMEC to consider increasing the funding for these family medicine residencies because the cost per resident is increasing. Currently UMEC is funding $95,000 per year but data is showing that the cost of a family medicine resident is approximately $210,000 per year. Marc Watterson shared that staff can take this request on and provide an analysis of funds. Staff will look into how much funding UMEC has for the family medicine residencies and if there is availability to increase the funds. Marc Watterson also asked the group to consider moving this request to the HWAC to take to the Utah State Legislature. There were a few questions around if the carryover funding for this fiscal year is all used up for the family medicine program, will there be less carryover funding in future years. The projections for carryover for next year are less than what we have this year so to increase the cost per resident, it would require the legislature to allocate more funding for this program. </w:t>
      </w:r>
    </w:p>
    <w:p w:rsidR="00000000" w:rsidDel="00000000" w:rsidP="00000000" w:rsidRDefault="00000000" w:rsidRPr="00000000" w14:paraId="00000025">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 Sam Finlayson suggested using the carryover funds to temporarily support the family medicine residencies for this fiscal year. This would free up some of the budget to fund a graduate medical education consultancy. After the consultancy is completed, UMEC can then reevaluate the cost per resident. He feels that this is a larger issue that should be considered separately to the short- term allocation of funds. Additionally, Dr. Finlayson asked the group to consider funding the rural rotations through the Utah Center for Rural Health at SUU. </w:t>
      </w:r>
    </w:p>
    <w:p w:rsidR="00000000" w:rsidDel="00000000" w:rsidP="00000000" w:rsidRDefault="00000000" w:rsidRPr="00000000" w14:paraId="00000026">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7">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 Finlayson asked for a motion to approve distributing the $1.5M in funding for the “Residency Grant Program” to the organizations UMEC has contracts with.</w:t>
      </w:r>
    </w:p>
    <w:p w:rsidR="00000000" w:rsidDel="00000000" w:rsidP="00000000" w:rsidRDefault="00000000" w:rsidRPr="00000000" w14:paraId="00000028">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9">
      <w:pPr>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color w:val="1aa1b7"/>
          <w:sz w:val="20"/>
          <w:szCs w:val="20"/>
          <w:rtl w:val="0"/>
        </w:rPr>
        <w:t xml:space="preserve">Motion passed</w:t>
      </w:r>
      <w:r w:rsidDel="00000000" w:rsidR="00000000" w:rsidRPr="00000000">
        <w:rPr>
          <w:rFonts w:ascii="Open Sans" w:cs="Open Sans" w:eastAsia="Open Sans" w:hAnsi="Open Sans"/>
          <w:sz w:val="20"/>
          <w:szCs w:val="20"/>
          <w:rtl w:val="0"/>
        </w:rPr>
        <w:t xml:space="preserve"> to approve distributing the $1.5M in funding for the “Residency Grant Program” to the organizations UMEC has contracts with.</w:t>
      </w:r>
    </w:p>
    <w:p w:rsidR="00000000" w:rsidDel="00000000" w:rsidP="00000000" w:rsidRDefault="00000000" w:rsidRPr="00000000" w14:paraId="0000002A">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B">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 Finlayson asked for a motion to amend the contract with University of Utah HMHI to include the $550K in unused funding.</w:t>
      </w:r>
    </w:p>
    <w:p w:rsidR="00000000" w:rsidDel="00000000" w:rsidP="00000000" w:rsidRDefault="00000000" w:rsidRPr="00000000" w14:paraId="0000002C">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D">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b w:val="1"/>
          <w:color w:val="1aa1b7"/>
          <w:sz w:val="20"/>
          <w:szCs w:val="20"/>
          <w:rtl w:val="0"/>
        </w:rPr>
        <w:t xml:space="preserve">Motion passed</w:t>
      </w:r>
      <w:r w:rsidDel="00000000" w:rsidR="00000000" w:rsidRPr="00000000">
        <w:rPr>
          <w:rFonts w:ascii="Open Sans" w:cs="Open Sans" w:eastAsia="Open Sans" w:hAnsi="Open Sans"/>
          <w:sz w:val="20"/>
          <w:szCs w:val="20"/>
          <w:rtl w:val="0"/>
        </w:rPr>
        <w:t xml:space="preserve"> to amend the contract with University of Utah HMHI to include the $550K in unused funding.</w:t>
      </w:r>
    </w:p>
    <w:p w:rsidR="00000000" w:rsidDel="00000000" w:rsidP="00000000" w:rsidRDefault="00000000" w:rsidRPr="00000000" w14:paraId="0000002E">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F">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Funding Requests- Dr. Finlayson, All</w:t>
      </w:r>
      <w:r w:rsidDel="00000000" w:rsidR="00000000" w:rsidRPr="00000000">
        <w:rPr>
          <w:rtl w:val="0"/>
        </w:rPr>
      </w:r>
    </w:p>
    <w:p w:rsidR="00000000" w:rsidDel="00000000" w:rsidP="00000000" w:rsidRDefault="00000000" w:rsidRPr="00000000" w14:paraId="00000030">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UMEC finished up their meeting by discussing the two funding requests put forward to UMEC. These requests are for the rural rotations through the Utah Center for Rural Health at SUU and a consultant who specializes in graduate medical education. Funds for these requests would be allocated from the "general" UMEC fund.</w:t>
      </w:r>
    </w:p>
    <w:p w:rsidR="00000000" w:rsidDel="00000000" w:rsidP="00000000" w:rsidRDefault="00000000" w:rsidRPr="00000000" w14:paraId="00000031">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2">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 Finlayson asked the group, if it were possible to to allocate some portion of that of the freed up general funding to support rural Residency programs, is there a is there support for that. Dr. Karyn Springer mentioned that these rural rotations are across all professions, not specific to medical residents. She also had a few concerns on the effectiveness of this program and asked that the Utah Center for Rural Health provide a bit more data on the number of providers who are now practicing in rural areas because of this program. She also requested data on the program and its participants in the last five years. </w:t>
      </w:r>
    </w:p>
    <w:p w:rsidR="00000000" w:rsidDel="00000000" w:rsidP="00000000" w:rsidRDefault="00000000" w:rsidRPr="00000000" w14:paraId="00000033">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4">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 Finlayson proposed that UMEC moves forward with the previous motions regarding 26B-4-711 and 26B-4-712 funding and hold on making a specific decision on how to use the remaining “general” UMEC dollars. UMEC agreed to wait until their next meeting in March to take an official vote on funding for the rural rotations and the graduate medical education consultancy. </w:t>
      </w:r>
    </w:p>
    <w:p w:rsidR="00000000" w:rsidDel="00000000" w:rsidP="00000000" w:rsidRDefault="00000000" w:rsidRPr="00000000" w14:paraId="00000035">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6">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 Finlayson asked for a motion to use the “general” UMEC carryover funds of $372,400 to support FY25 family medicine residencies and hold on making any other UMEC funding decision. </w:t>
      </w:r>
    </w:p>
    <w:p w:rsidR="00000000" w:rsidDel="00000000" w:rsidP="00000000" w:rsidRDefault="00000000" w:rsidRPr="00000000" w14:paraId="00000037">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8">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b w:val="1"/>
          <w:color w:val="1aa1b7"/>
          <w:sz w:val="20"/>
          <w:szCs w:val="20"/>
          <w:rtl w:val="0"/>
        </w:rPr>
        <w:t xml:space="preserve">Motion passed</w:t>
      </w:r>
      <w:r w:rsidDel="00000000" w:rsidR="00000000" w:rsidRPr="00000000">
        <w:rPr>
          <w:rFonts w:ascii="Open Sans" w:cs="Open Sans" w:eastAsia="Open Sans" w:hAnsi="Open Sans"/>
          <w:sz w:val="20"/>
          <w:szCs w:val="20"/>
          <w:rtl w:val="0"/>
        </w:rPr>
        <w:t xml:space="preserve"> to use the carryover funds to support family medicine residencies and hold on making any other UMEC funding decision. </w:t>
      </w:r>
    </w:p>
    <w:p w:rsidR="00000000" w:rsidDel="00000000" w:rsidP="00000000" w:rsidRDefault="00000000" w:rsidRPr="00000000" w14:paraId="00000039">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A">
      <w:pPr>
        <w:spacing w:line="240" w:lineRule="auto"/>
        <w:ind w:left="0" w:firstLine="0"/>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Wrap Up</w:t>
      </w:r>
      <w:r w:rsidDel="00000000" w:rsidR="00000000" w:rsidRPr="00000000">
        <w:rPr>
          <w:rtl w:val="0"/>
        </w:rPr>
      </w:r>
    </w:p>
    <w:p w:rsidR="00000000" w:rsidDel="00000000" w:rsidP="00000000" w:rsidRDefault="00000000" w:rsidRPr="00000000" w14:paraId="0000003B">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was no further discussion and the next UMEC meeting will be on Thursday, February 13, 2025 from 9:00 – 10:00am. </w:t>
      </w:r>
    </w:p>
    <w:p w:rsidR="00000000" w:rsidDel="00000000" w:rsidP="00000000" w:rsidRDefault="00000000" w:rsidRPr="00000000" w14:paraId="0000003C">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 Finlayson asked for a motion to adjourn the meeting. </w:t>
      </w:r>
    </w:p>
    <w:p w:rsidR="00000000" w:rsidDel="00000000" w:rsidP="00000000" w:rsidRDefault="00000000" w:rsidRPr="00000000" w14:paraId="0000003D">
      <w:pPr>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E">
      <w:pPr>
        <w:spacing w:line="240" w:lineRule="auto"/>
        <w:ind w:left="0" w:firstLine="0"/>
        <w:rPr>
          <w:rFonts w:ascii="Open Sans" w:cs="Open Sans" w:eastAsia="Open Sans" w:hAnsi="Open Sans"/>
          <w:b w:val="1"/>
          <w:sz w:val="20"/>
          <w:szCs w:val="20"/>
        </w:rPr>
      </w:pPr>
      <w:r w:rsidDel="00000000" w:rsidR="00000000" w:rsidRPr="00000000">
        <w:rPr>
          <w:rFonts w:ascii="Open Sans" w:cs="Open Sans" w:eastAsia="Open Sans" w:hAnsi="Open Sans"/>
          <w:b w:val="1"/>
          <w:color w:val="1aa1b7"/>
          <w:sz w:val="20"/>
          <w:szCs w:val="20"/>
          <w:rtl w:val="0"/>
        </w:rPr>
        <w:t xml:space="preserve">Motion passed </w:t>
      </w:r>
      <w:r w:rsidDel="00000000" w:rsidR="00000000" w:rsidRPr="00000000">
        <w:rPr>
          <w:rFonts w:ascii="Open Sans" w:cs="Open Sans" w:eastAsia="Open Sans" w:hAnsi="Open Sans"/>
          <w:b w:val="1"/>
          <w:sz w:val="20"/>
          <w:szCs w:val="20"/>
          <w:rtl w:val="0"/>
        </w:rPr>
        <w:t xml:space="preserve">and the meeting</w:t>
      </w:r>
      <w:r w:rsidDel="00000000" w:rsidR="00000000" w:rsidRPr="00000000">
        <w:rPr>
          <w:rFonts w:ascii="Open Sans" w:cs="Open Sans" w:eastAsia="Open Sans" w:hAnsi="Open Sans"/>
          <w:b w:val="1"/>
          <w:sz w:val="20"/>
          <w:szCs w:val="20"/>
          <w:rtl w:val="0"/>
        </w:rPr>
        <w:t xml:space="preserve"> adjourned at 9:03 AM. </w:t>
      </w:r>
    </w:p>
    <w:p w:rsidR="00000000" w:rsidDel="00000000" w:rsidP="00000000" w:rsidRDefault="00000000" w:rsidRPr="00000000" w14:paraId="0000003F">
      <w:pPr>
        <w:spacing w:line="240" w:lineRule="auto"/>
        <w:ind w:left="0" w:firstLine="0"/>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40">
      <w:pPr>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Respectfully submitted,</w:t>
      </w:r>
    </w:p>
    <w:p w:rsidR="00000000" w:rsidDel="00000000" w:rsidP="00000000" w:rsidRDefault="00000000" w:rsidRPr="00000000" w14:paraId="00000041">
      <w:pPr>
        <w:spacing w:line="240" w:lineRule="auto"/>
        <w:ind w:left="0" w:firstLine="0"/>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Kendyl Brockman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le.utah.gov/xcode/Title26B/Chapter4/26B-4-S712.html" TargetMode="External"/><Relationship Id="rId9" Type="http://schemas.openxmlformats.org/officeDocument/2006/relationships/hyperlink" Target="https://le.utah.gov/xcode/Title26B/Chapter4/26B-4-S711.html" TargetMode="External"/><Relationship Id="rId5" Type="http://schemas.openxmlformats.org/officeDocument/2006/relationships/styles" Target="styles.xml"/><Relationship Id="rId6" Type="http://schemas.openxmlformats.org/officeDocument/2006/relationships/hyperlink" Target="https://docs.google.com/document/d/1HtFLfxAzQLmGqw2flJVPEkMCoBLSZCasbVHQJI06ElU/edit?tab=t.0" TargetMode="External"/><Relationship Id="rId7" Type="http://schemas.openxmlformats.org/officeDocument/2006/relationships/hyperlink" Target="https://docs.google.com/document/d/1s_gEIogiuRLqaFzI1O0xq4jUulUsC_kTtn5dHK-VJQE/edit?tab=t.0" TargetMode="External"/><Relationship Id="rId8" Type="http://schemas.openxmlformats.org/officeDocument/2006/relationships/hyperlink" Target="https://le.utah.gov/xcode/Title26B/Chapter4/26B-4-S708.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