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B9550" w14:textId="6A959F16" w:rsidR="00603B93" w:rsidRPr="00A77DD4" w:rsidRDefault="00A77DD4" w:rsidP="00A97105">
      <w:pPr>
        <w:pBdr>
          <w:top w:val="nil"/>
          <w:left w:val="nil"/>
          <w:bottom w:val="nil"/>
          <w:right w:val="nil"/>
          <w:between w:val="nil"/>
        </w:pBdr>
        <w:spacing w:after="180" w:line="240" w:lineRule="auto"/>
        <w:outlineLvl w:val="0"/>
        <w:rPr>
          <w:rFonts w:ascii="Cambria" w:eastAsia="Cambria" w:hAnsi="Cambria" w:cs="Cambria"/>
          <w:b/>
          <w:bCs/>
          <w:color w:val="000000"/>
          <w:kern w:val="0"/>
          <w:sz w:val="24"/>
          <w:u w:val="single"/>
          <w14:ligatures w14:val="none"/>
        </w:rPr>
      </w:pPr>
      <w:bookmarkStart w:id="0" w:name="_Toc178673230"/>
      <w:r w:rsidRPr="00A77DD4">
        <w:rPr>
          <w:rFonts w:ascii="Cambria" w:eastAsia="Cambria" w:hAnsi="Cambria" w:cs="Cambria"/>
          <w:b/>
          <w:bCs/>
          <w:color w:val="000000"/>
          <w:kern w:val="0"/>
          <w:sz w:val="24"/>
          <w:u w:val="single"/>
          <w14:ligatures w14:val="none"/>
        </w:rPr>
        <w:t xml:space="preserve">Exhibit A </w:t>
      </w:r>
    </w:p>
    <w:p w14:paraId="068C8578" w14:textId="6121FA48" w:rsidR="00A97105" w:rsidRPr="00A97105" w:rsidRDefault="00A97105" w:rsidP="00A97105">
      <w:pPr>
        <w:pBdr>
          <w:top w:val="nil"/>
          <w:left w:val="nil"/>
          <w:bottom w:val="nil"/>
          <w:right w:val="nil"/>
          <w:between w:val="nil"/>
        </w:pBdr>
        <w:spacing w:after="180" w:line="240" w:lineRule="auto"/>
        <w:outlineLvl w:val="0"/>
        <w:rPr>
          <w:rFonts w:ascii="Cambria" w:eastAsia="Cambria" w:hAnsi="Cambria" w:cs="Cambria"/>
          <w:b/>
          <w:bCs/>
          <w:color w:val="000000"/>
          <w:kern w:val="0"/>
          <w:sz w:val="36"/>
          <w:szCs w:val="36"/>
          <w14:ligatures w14:val="none"/>
        </w:rPr>
      </w:pPr>
      <w:r w:rsidRPr="00A97105">
        <w:rPr>
          <w:rFonts w:ascii="Cambria" w:eastAsia="Cambria" w:hAnsi="Cambria" w:cs="Cambria"/>
          <w:b/>
          <w:bCs/>
          <w:color w:val="000000"/>
          <w:kern w:val="0"/>
          <w:sz w:val="36"/>
          <w:szCs w:val="36"/>
          <w14:ligatures w14:val="none"/>
        </w:rPr>
        <w:t>CHAPTER 9 - MINOR SUBDIVISIONS</w:t>
      </w:r>
      <w:r w:rsidRPr="00A97105">
        <w:rPr>
          <w:rFonts w:ascii="Cambria" w:eastAsia="Cambria" w:hAnsi="Cambria" w:cs="Cambria"/>
          <w:b/>
          <w:bCs/>
          <w:color w:val="000000"/>
          <w:kern w:val="0"/>
          <w:sz w:val="36"/>
          <w:szCs w:val="36"/>
          <w14:ligatures w14:val="none"/>
        </w:rPr>
        <w:tab/>
      </w:r>
      <w:bookmarkEnd w:id="0"/>
    </w:p>
    <w:p w14:paraId="57E8F37B" w14:textId="77777777" w:rsidR="00A97105" w:rsidRPr="00A97105" w:rsidRDefault="00A97105" w:rsidP="00A97105">
      <w:p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p>
    <w:p w14:paraId="1ED199F1" w14:textId="77777777" w:rsidR="00A97105" w:rsidRPr="00A97105" w:rsidRDefault="00A97105" w:rsidP="00A97105">
      <w:pPr>
        <w:pBdr>
          <w:top w:val="nil"/>
          <w:left w:val="nil"/>
          <w:bottom w:val="nil"/>
          <w:right w:val="nil"/>
          <w:between w:val="nil"/>
        </w:pBdr>
        <w:spacing w:after="180" w:line="240" w:lineRule="auto"/>
        <w:outlineLvl w:val="1"/>
        <w:rPr>
          <w:rFonts w:ascii="Cambria" w:eastAsia="Cambria" w:hAnsi="Cambria" w:cs="Cambria"/>
          <w:b/>
          <w:bCs/>
          <w:color w:val="000000"/>
          <w:kern w:val="0"/>
          <w:sz w:val="26"/>
          <w:szCs w:val="26"/>
          <w14:ligatures w14:val="none"/>
        </w:rPr>
      </w:pPr>
      <w:bookmarkStart w:id="1" w:name="_Toc178673231"/>
      <w:r w:rsidRPr="00A97105">
        <w:rPr>
          <w:rFonts w:ascii="Cambria" w:eastAsia="Cambria" w:hAnsi="Cambria" w:cs="Cambria"/>
          <w:b/>
          <w:bCs/>
          <w:color w:val="000000"/>
          <w:kern w:val="0"/>
          <w:sz w:val="26"/>
          <w:szCs w:val="26"/>
          <w14:ligatures w14:val="none"/>
        </w:rPr>
        <w:t>11-9-1: GENERAL PURPOSE:</w:t>
      </w:r>
      <w:bookmarkEnd w:id="1"/>
    </w:p>
    <w:p w14:paraId="6A0B675F" w14:textId="77777777" w:rsidR="00A97105" w:rsidRPr="00A97105" w:rsidRDefault="00A97105" w:rsidP="00A97105">
      <w:p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The intent of the minor subdivision process is to allow for small subdivisions to be processed as quickly as possible in accordance with Town Code.</w:t>
      </w:r>
    </w:p>
    <w:p w14:paraId="5289A9E3" w14:textId="77777777" w:rsidR="00A97105" w:rsidRPr="00A97105" w:rsidRDefault="00A97105" w:rsidP="00A97105">
      <w:p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p>
    <w:p w14:paraId="06474568" w14:textId="77777777" w:rsidR="00A97105" w:rsidRPr="00A97105" w:rsidRDefault="00A97105" w:rsidP="00A97105">
      <w:pPr>
        <w:pBdr>
          <w:top w:val="nil"/>
          <w:left w:val="nil"/>
          <w:bottom w:val="nil"/>
          <w:right w:val="nil"/>
          <w:between w:val="nil"/>
        </w:pBdr>
        <w:spacing w:after="180" w:line="240" w:lineRule="auto"/>
        <w:outlineLvl w:val="1"/>
        <w:rPr>
          <w:rFonts w:ascii="Cambria" w:eastAsia="Cambria" w:hAnsi="Cambria" w:cs="Cambria"/>
          <w:b/>
          <w:bCs/>
          <w:color w:val="000000"/>
          <w:kern w:val="0"/>
          <w:sz w:val="26"/>
          <w:szCs w:val="26"/>
          <w14:ligatures w14:val="none"/>
        </w:rPr>
      </w:pPr>
      <w:bookmarkStart w:id="2" w:name="_Toc178673232"/>
      <w:r w:rsidRPr="00A97105">
        <w:rPr>
          <w:rFonts w:ascii="Cambria" w:eastAsia="Cambria" w:hAnsi="Cambria" w:cs="Cambria"/>
          <w:b/>
          <w:bCs/>
          <w:color w:val="000000"/>
          <w:kern w:val="0"/>
          <w:sz w:val="26"/>
          <w:szCs w:val="26"/>
          <w14:ligatures w14:val="none"/>
        </w:rPr>
        <w:t>11-9-2: DEFINITIONS:</w:t>
      </w:r>
      <w:bookmarkEnd w:id="2"/>
    </w:p>
    <w:p w14:paraId="773E5562" w14:textId="77777777" w:rsidR="00A97105" w:rsidRPr="00A97105" w:rsidRDefault="00A97105" w:rsidP="00A97105">
      <w:pPr>
        <w:pBdr>
          <w:top w:val="nil"/>
          <w:left w:val="nil"/>
          <w:bottom w:val="nil"/>
          <w:right w:val="nil"/>
          <w:between w:val="nil"/>
        </w:pBdr>
        <w:spacing w:after="180" w:line="240" w:lineRule="auto"/>
        <w:rPr>
          <w:rFonts w:ascii="Cambria" w:eastAsia="Cambria" w:hAnsi="Cambria" w:cs="Cambria"/>
          <w:color w:val="000000"/>
          <w:kern w:val="0"/>
          <w:sz w:val="24"/>
          <w14:ligatures w14:val="none"/>
        </w:rPr>
      </w:pPr>
      <w:r w:rsidRPr="00A97105">
        <w:rPr>
          <w:rFonts w:ascii="Cambria" w:eastAsia="Cambria" w:hAnsi="Cambria" w:cs="Cambria"/>
          <w:color w:val="000000"/>
          <w:kern w:val="0"/>
          <w:sz w:val="24"/>
          <w14:ligatures w14:val="none"/>
        </w:rPr>
        <w:t>MINOR SUBDIVISION:</w:t>
      </w:r>
    </w:p>
    <w:p w14:paraId="2D5E900E" w14:textId="77777777" w:rsidR="00A97105" w:rsidRPr="00A97105" w:rsidRDefault="00A97105" w:rsidP="00A97105">
      <w:pPr>
        <w:pBdr>
          <w:top w:val="nil"/>
          <w:left w:val="nil"/>
          <w:bottom w:val="nil"/>
          <w:right w:val="nil"/>
          <w:between w:val="nil"/>
        </w:pBdr>
        <w:spacing w:after="180" w:line="240" w:lineRule="auto"/>
        <w:rPr>
          <w:rFonts w:ascii="Cambria" w:eastAsia="Cambria" w:hAnsi="Cambria" w:cs="Cambria"/>
          <w:color w:val="000000"/>
          <w:kern w:val="0"/>
          <w:sz w:val="24"/>
          <w14:ligatures w14:val="none"/>
        </w:rPr>
      </w:pPr>
      <w:r w:rsidRPr="00A97105">
        <w:rPr>
          <w:rFonts w:ascii="Cambria" w:eastAsia="Cambria" w:hAnsi="Cambria" w:cs="Cambria"/>
          <w:color w:val="000000"/>
          <w:kern w:val="0"/>
          <w:sz w:val="24"/>
          <w14:ligatures w14:val="none"/>
        </w:rPr>
        <w:t>As used and further defined in Chapter 11-9, any subdivision creating not more than three (3) lots, fronting on an existing street, not involving any new street or road or the extension of municipal facilities or the creation of any public improvements, and not adversely affecting the remainder of the parcel or adjoining property, and not in conflict with any provision or portion of the General Plan, Official Map, and any regulations established in the Clarkston Town Code.</w:t>
      </w:r>
    </w:p>
    <w:p w14:paraId="1FC941E1" w14:textId="77777777" w:rsidR="00A97105" w:rsidRPr="00A97105" w:rsidRDefault="00A97105" w:rsidP="00A97105">
      <w:p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p>
    <w:p w14:paraId="06F11195" w14:textId="77777777" w:rsidR="00A97105" w:rsidRPr="00A97105" w:rsidRDefault="00A97105" w:rsidP="00A97105">
      <w:pPr>
        <w:pBdr>
          <w:top w:val="nil"/>
          <w:left w:val="nil"/>
          <w:bottom w:val="nil"/>
          <w:right w:val="nil"/>
          <w:between w:val="nil"/>
        </w:pBdr>
        <w:spacing w:after="180" w:line="240" w:lineRule="auto"/>
        <w:outlineLvl w:val="1"/>
        <w:rPr>
          <w:rFonts w:ascii="Cambria" w:eastAsia="Cambria" w:hAnsi="Cambria" w:cs="Cambria"/>
          <w:b/>
          <w:bCs/>
          <w:color w:val="000000"/>
          <w:kern w:val="0"/>
          <w:sz w:val="26"/>
          <w:szCs w:val="26"/>
          <w14:ligatures w14:val="none"/>
        </w:rPr>
      </w:pPr>
      <w:bookmarkStart w:id="3" w:name="_Toc178673233"/>
      <w:r w:rsidRPr="00A97105">
        <w:rPr>
          <w:rFonts w:ascii="Cambria" w:eastAsia="Cambria" w:hAnsi="Cambria" w:cs="Cambria"/>
          <w:b/>
          <w:bCs/>
          <w:color w:val="000000"/>
          <w:kern w:val="0"/>
          <w:sz w:val="26"/>
          <w:szCs w:val="26"/>
          <w14:ligatures w14:val="none"/>
        </w:rPr>
        <w:t>11-9-3 APPLICABILITY:</w:t>
      </w:r>
      <w:bookmarkEnd w:id="3"/>
    </w:p>
    <w:p w14:paraId="693C477C" w14:textId="77777777" w:rsidR="00A97105" w:rsidRPr="00A97105" w:rsidRDefault="00A97105" w:rsidP="00A97105">
      <w:p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The procedures set forth in this Chapter shall govern the processing of, and the requirements pertaining to, minor subdivisions, and shall take precedence over any other provisions of this Title to the contrary.</w:t>
      </w:r>
    </w:p>
    <w:p w14:paraId="488F4F64" w14:textId="77777777" w:rsidR="00A97105" w:rsidRPr="00A97105" w:rsidRDefault="00A97105" w:rsidP="00A97105">
      <w:p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p>
    <w:p w14:paraId="3CE58605" w14:textId="77777777" w:rsidR="00A97105" w:rsidRPr="00A97105" w:rsidRDefault="00A97105" w:rsidP="00A97105">
      <w:pPr>
        <w:pBdr>
          <w:top w:val="nil"/>
          <w:left w:val="nil"/>
          <w:bottom w:val="nil"/>
          <w:right w:val="nil"/>
          <w:between w:val="nil"/>
        </w:pBdr>
        <w:spacing w:after="180" w:line="240" w:lineRule="auto"/>
        <w:outlineLvl w:val="1"/>
        <w:rPr>
          <w:rFonts w:ascii="Cambria" w:eastAsia="Cambria" w:hAnsi="Cambria" w:cs="Cambria"/>
          <w:b/>
          <w:bCs/>
          <w:color w:val="000000"/>
          <w:kern w:val="0"/>
          <w:sz w:val="26"/>
          <w:szCs w:val="26"/>
          <w14:ligatures w14:val="none"/>
        </w:rPr>
      </w:pPr>
      <w:bookmarkStart w:id="4" w:name="_Toc178673234"/>
      <w:r w:rsidRPr="00A97105">
        <w:rPr>
          <w:rFonts w:ascii="Cambria" w:eastAsia="Cambria" w:hAnsi="Cambria" w:cs="Cambria"/>
          <w:b/>
          <w:bCs/>
          <w:color w:val="000000"/>
          <w:kern w:val="0"/>
          <w:sz w:val="26"/>
          <w:szCs w:val="26"/>
          <w14:ligatures w14:val="none"/>
        </w:rPr>
        <w:t>11-9-4 REQUIRED CONDITIONS AND IMPROVEMENTS:</w:t>
      </w:r>
      <w:bookmarkEnd w:id="4"/>
    </w:p>
    <w:p w14:paraId="4C534DB9" w14:textId="77777777" w:rsidR="00A97105" w:rsidRPr="00A97105" w:rsidRDefault="00A97105" w:rsidP="00A97105">
      <w:p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The following requirements shall be imposed as a condition of approval of a minor subdivision:</w:t>
      </w:r>
    </w:p>
    <w:p w14:paraId="32D99F3B" w14:textId="77777777" w:rsidR="00A97105" w:rsidRPr="00A97105" w:rsidRDefault="00A97105" w:rsidP="00A97105">
      <w:pPr>
        <w:numPr>
          <w:ilvl w:val="0"/>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Not more than three (3) parcels shall be created in the minor subdivision.</w:t>
      </w:r>
    </w:p>
    <w:p w14:paraId="61BE58EC" w14:textId="77777777" w:rsidR="00A97105" w:rsidRPr="00A97105" w:rsidRDefault="00A97105" w:rsidP="00A97105">
      <w:pPr>
        <w:numPr>
          <w:ilvl w:val="0"/>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The area to be subdivided should be immediately adjacent to existing streets and utilities, and there shall be no dedication of any land for street rights of way or other public purposes required by the needs of the subdivision or planned for in the Town’s General Plan or transportation plan or the applicant’s proposal.</w:t>
      </w:r>
    </w:p>
    <w:p w14:paraId="5E66424E" w14:textId="77777777" w:rsidR="00A97105" w:rsidRPr="00A97105" w:rsidRDefault="00A97105" w:rsidP="00A97105">
      <w:pPr>
        <w:numPr>
          <w:ilvl w:val="0"/>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The minor subdivision shall conform to the general character of the surrounding area. New lot lines shall conform to the general pattern of existing lot lines.</w:t>
      </w:r>
    </w:p>
    <w:p w14:paraId="140A8BBF" w14:textId="77777777" w:rsidR="00A97105" w:rsidRPr="00A97105" w:rsidRDefault="00A97105" w:rsidP="00A97105">
      <w:pPr>
        <w:numPr>
          <w:ilvl w:val="0"/>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lastRenderedPageBreak/>
        <w:t>Lots created shall not adversely affect the remainder of the parcel or adjoining property and shall conform to the applicable provisions of the land use ordinance.</w:t>
      </w:r>
    </w:p>
    <w:p w14:paraId="739FD6F4" w14:textId="77777777" w:rsidR="00A97105" w:rsidRPr="00A97105" w:rsidRDefault="00A97105" w:rsidP="00A97105">
      <w:pPr>
        <w:numPr>
          <w:ilvl w:val="0"/>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Utility easements shall be provided as needed.</w:t>
      </w:r>
    </w:p>
    <w:p w14:paraId="56065429" w14:textId="77777777" w:rsidR="00A97105" w:rsidRPr="00A97105" w:rsidRDefault="00A97105" w:rsidP="00A97105">
      <w:pPr>
        <w:numPr>
          <w:ilvl w:val="0"/>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 xml:space="preserve">The minor subdivision shall not require any changes to existing infrastructure. </w:t>
      </w:r>
    </w:p>
    <w:p w14:paraId="4BD79D1C" w14:textId="77777777" w:rsidR="00A97105" w:rsidRPr="00A97105" w:rsidRDefault="00A97105" w:rsidP="00A97105">
      <w:pPr>
        <w:numPr>
          <w:ilvl w:val="0"/>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 xml:space="preserve">A minor subdivision must </w:t>
      </w:r>
      <w:proofErr w:type="gramStart"/>
      <w:r w:rsidRPr="00A97105">
        <w:rPr>
          <w:rFonts w:ascii="Cambria" w:eastAsia="Times New Roman" w:hAnsi="Cambria" w:cs="Times New Roman"/>
          <w:color w:val="000000"/>
          <w:kern w:val="0"/>
          <w:sz w:val="24"/>
          <w14:ligatures w14:val="none"/>
        </w:rPr>
        <w:t>be in compliance with</w:t>
      </w:r>
      <w:proofErr w:type="gramEnd"/>
      <w:r w:rsidRPr="00A97105">
        <w:rPr>
          <w:rFonts w:ascii="Cambria" w:eastAsia="Times New Roman" w:hAnsi="Cambria" w:cs="Times New Roman"/>
          <w:color w:val="000000"/>
          <w:kern w:val="0"/>
          <w:sz w:val="24"/>
          <w14:ligatures w14:val="none"/>
        </w:rPr>
        <w:t xml:space="preserve"> the improvement standards outlined in chapters 11-6 and 11-7 of this Title.</w:t>
      </w:r>
    </w:p>
    <w:p w14:paraId="29B30A73" w14:textId="77777777" w:rsidR="00A97105" w:rsidRPr="00A97105" w:rsidRDefault="00A97105" w:rsidP="00A97105">
      <w:pPr>
        <w:numPr>
          <w:ilvl w:val="0"/>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The minor subdivision application must include all the elements of a complete application under 11-8-7, except that a minor subdivision application shall not require a plat.</w:t>
      </w:r>
    </w:p>
    <w:p w14:paraId="54A497FF" w14:textId="77777777" w:rsidR="00A97105" w:rsidRPr="00A97105" w:rsidRDefault="00A97105" w:rsidP="00A97105">
      <w:pPr>
        <w:numPr>
          <w:ilvl w:val="1"/>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An applicant shall submit to the Town—in place of a plat—both:</w:t>
      </w:r>
    </w:p>
    <w:p w14:paraId="4967F0A5" w14:textId="77777777" w:rsidR="00A97105" w:rsidRPr="00A97105" w:rsidRDefault="00A97105" w:rsidP="00A97105">
      <w:pPr>
        <w:numPr>
          <w:ilvl w:val="2"/>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A record of survey map that illustrates the boundaries of the parcels; and</w:t>
      </w:r>
    </w:p>
    <w:p w14:paraId="3387D012" w14:textId="77777777" w:rsidR="00A97105" w:rsidRPr="00A97105" w:rsidRDefault="00A97105" w:rsidP="00A97105">
      <w:pPr>
        <w:numPr>
          <w:ilvl w:val="2"/>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A legal metes-and-bounds description that describes the parcels illustrated by the survey map.</w:t>
      </w:r>
    </w:p>
    <w:p w14:paraId="7C460C1E" w14:textId="77777777" w:rsidR="00A97105" w:rsidRPr="00A97105" w:rsidRDefault="00A97105" w:rsidP="00A97105">
      <w:pPr>
        <w:numPr>
          <w:ilvl w:val="1"/>
          <w:numId w:val="1"/>
        </w:num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If the Town approves a subdivision application based on a record of survey map and metes-and-bounds description, the applicant shall record the map and description, signed by the Town, with the County Recorder’s Office. This shall be done in the same manner as is done for a plat under Section 11-4-8, except that the City shall also provide the notice required in Utah Code §10-9a-605(1).</w:t>
      </w:r>
    </w:p>
    <w:p w14:paraId="264BC2FA" w14:textId="77777777" w:rsidR="00A97105" w:rsidRPr="00A97105" w:rsidRDefault="00A97105" w:rsidP="00A97105">
      <w:p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p>
    <w:p w14:paraId="4383AFD6" w14:textId="77777777" w:rsidR="00A97105" w:rsidRPr="00A97105" w:rsidRDefault="00A97105" w:rsidP="00A97105">
      <w:pPr>
        <w:pBdr>
          <w:top w:val="nil"/>
          <w:left w:val="nil"/>
          <w:bottom w:val="nil"/>
          <w:right w:val="nil"/>
          <w:between w:val="nil"/>
        </w:pBdr>
        <w:spacing w:after="180" w:line="240" w:lineRule="auto"/>
        <w:outlineLvl w:val="1"/>
        <w:rPr>
          <w:rFonts w:ascii="Cambria" w:eastAsia="Cambria" w:hAnsi="Cambria" w:cs="Cambria"/>
          <w:b/>
          <w:bCs/>
          <w:color w:val="000000"/>
          <w:kern w:val="0"/>
          <w:sz w:val="26"/>
          <w:szCs w:val="26"/>
          <w14:ligatures w14:val="none"/>
        </w:rPr>
      </w:pPr>
      <w:bookmarkStart w:id="5" w:name="_Toc178673235"/>
      <w:r w:rsidRPr="00A97105">
        <w:rPr>
          <w:rFonts w:ascii="Cambria" w:eastAsia="Cambria" w:hAnsi="Cambria" w:cs="Cambria"/>
          <w:b/>
          <w:bCs/>
          <w:color w:val="000000"/>
          <w:kern w:val="0"/>
          <w:sz w:val="26"/>
          <w:szCs w:val="26"/>
          <w14:ligatures w14:val="none"/>
        </w:rPr>
        <w:t>11-9-5 PROCEDURE:</w:t>
      </w:r>
      <w:bookmarkEnd w:id="5"/>
    </w:p>
    <w:p w14:paraId="2DFD755E" w14:textId="77777777" w:rsidR="00A97105" w:rsidRPr="00A97105" w:rsidRDefault="00A97105" w:rsidP="00A97105">
      <w:p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Applications for a minor subdivision shall be reviewed and approved in the manner described in Chapter 11-8 of this Title.</w:t>
      </w:r>
    </w:p>
    <w:p w14:paraId="6F8C5BB5" w14:textId="77777777" w:rsidR="00A97105" w:rsidRPr="00A97105" w:rsidRDefault="00A97105" w:rsidP="00A97105">
      <w:p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p>
    <w:p w14:paraId="76A7104F" w14:textId="77777777" w:rsidR="00A97105" w:rsidRPr="00A97105" w:rsidRDefault="00A97105" w:rsidP="00A97105">
      <w:pPr>
        <w:pBdr>
          <w:top w:val="nil"/>
          <w:left w:val="nil"/>
          <w:bottom w:val="nil"/>
          <w:right w:val="nil"/>
          <w:between w:val="nil"/>
        </w:pBdr>
        <w:spacing w:after="180" w:line="240" w:lineRule="auto"/>
        <w:outlineLvl w:val="1"/>
        <w:rPr>
          <w:rFonts w:ascii="Cambria" w:eastAsia="Cambria" w:hAnsi="Cambria" w:cs="Cambria"/>
          <w:b/>
          <w:bCs/>
          <w:color w:val="000000"/>
          <w:kern w:val="0"/>
          <w:sz w:val="26"/>
          <w:szCs w:val="26"/>
          <w14:ligatures w14:val="none"/>
        </w:rPr>
      </w:pPr>
      <w:bookmarkStart w:id="6" w:name="_Toc178673236"/>
      <w:r w:rsidRPr="00A97105">
        <w:rPr>
          <w:rFonts w:ascii="Cambria" w:eastAsia="Cambria" w:hAnsi="Cambria" w:cs="Cambria"/>
          <w:b/>
          <w:bCs/>
          <w:color w:val="000000"/>
          <w:kern w:val="0"/>
          <w:sz w:val="26"/>
          <w:szCs w:val="26"/>
          <w14:ligatures w14:val="none"/>
        </w:rPr>
        <w:t>11-9-6 RESTRICTION ON FURTHER SUBDIVISION WITHOUT PLAT:</w:t>
      </w:r>
      <w:bookmarkEnd w:id="6"/>
    </w:p>
    <w:p w14:paraId="022993B9" w14:textId="77777777" w:rsidR="00A97105" w:rsidRPr="00A97105" w:rsidRDefault="00A97105" w:rsidP="00A97105">
      <w:pPr>
        <w:pBdr>
          <w:top w:val="nil"/>
          <w:left w:val="nil"/>
          <w:bottom w:val="nil"/>
          <w:right w:val="nil"/>
          <w:between w:val="nil"/>
        </w:pBdr>
        <w:spacing w:after="240" w:line="240" w:lineRule="auto"/>
        <w:rPr>
          <w:rFonts w:ascii="Cambria" w:eastAsia="Times New Roman" w:hAnsi="Cambria" w:cs="Times New Roman"/>
          <w:color w:val="000000"/>
          <w:kern w:val="0"/>
          <w:sz w:val="24"/>
          <w14:ligatures w14:val="none"/>
        </w:rPr>
      </w:pPr>
      <w:r w:rsidRPr="00A97105">
        <w:rPr>
          <w:rFonts w:ascii="Cambria" w:eastAsia="Times New Roman" w:hAnsi="Cambria" w:cs="Times New Roman"/>
          <w:color w:val="000000"/>
          <w:kern w:val="0"/>
          <w:sz w:val="24"/>
          <w14:ligatures w14:val="none"/>
        </w:rPr>
        <w:t xml:space="preserve">Real property that has been subdivided as a minor subdivision under this Section, both the parent parcel and the </w:t>
      </w:r>
      <w:proofErr w:type="gramStart"/>
      <w:r w:rsidRPr="00A97105">
        <w:rPr>
          <w:rFonts w:ascii="Cambria" w:eastAsia="Times New Roman" w:hAnsi="Cambria" w:cs="Times New Roman"/>
          <w:color w:val="000000"/>
          <w:kern w:val="0"/>
          <w:sz w:val="24"/>
          <w14:ligatures w14:val="none"/>
        </w:rPr>
        <w:t>parcel</w:t>
      </w:r>
      <w:proofErr w:type="gramEnd"/>
      <w:r w:rsidRPr="00A97105">
        <w:rPr>
          <w:rFonts w:ascii="Cambria" w:eastAsia="Times New Roman" w:hAnsi="Cambria" w:cs="Times New Roman"/>
          <w:color w:val="000000"/>
          <w:kern w:val="0"/>
          <w:sz w:val="24"/>
          <w14:ligatures w14:val="none"/>
        </w:rPr>
        <w:t xml:space="preserve"> which was subdivided from the parent parcel, may not be further subdivided pursuant to a minor subdivision for two years from the submission of the original application for minor subdivision. Any further subdivision of any property that has been subdivided pursuant to a minor subdivision must be completed in accordance with this Title, and all property that was part of the minor subdivision must be included in, and be made part of, the plat and application for any subsequent subdivision.  </w:t>
      </w:r>
    </w:p>
    <w:p w14:paraId="445AB2E0" w14:textId="77777777" w:rsidR="000908E6" w:rsidRDefault="000908E6"/>
    <w:sectPr w:rsidR="000908E6" w:rsidSect="00A97105">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C580F" w14:textId="77777777" w:rsidR="00D9245F" w:rsidRDefault="00D9245F">
      <w:pPr>
        <w:spacing w:after="0" w:line="240" w:lineRule="auto"/>
      </w:pPr>
      <w:r>
        <w:separator/>
      </w:r>
    </w:p>
  </w:endnote>
  <w:endnote w:type="continuationSeparator" w:id="0">
    <w:p w14:paraId="1A389F63" w14:textId="77777777" w:rsidR="00D9245F" w:rsidRDefault="00D92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8489427"/>
      <w:docPartObj>
        <w:docPartGallery w:val="Page Numbers (Bottom of Page)"/>
        <w:docPartUnique/>
      </w:docPartObj>
    </w:sdtPr>
    <w:sdtEndPr>
      <w:rPr>
        <w:noProof/>
      </w:rPr>
    </w:sdtEndPr>
    <w:sdtContent>
      <w:p w14:paraId="795B8221" w14:textId="77777777" w:rsidR="001A11FA"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9C1231" w14:textId="77777777" w:rsidR="001A11FA" w:rsidRDefault="001A11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B78DEF" w14:textId="77777777" w:rsidR="00D9245F" w:rsidRDefault="00D9245F">
      <w:pPr>
        <w:spacing w:after="0" w:line="240" w:lineRule="auto"/>
      </w:pPr>
      <w:r>
        <w:separator/>
      </w:r>
    </w:p>
  </w:footnote>
  <w:footnote w:type="continuationSeparator" w:id="0">
    <w:p w14:paraId="2B4D04B4" w14:textId="77777777" w:rsidR="00D9245F" w:rsidRDefault="00D924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CAB85" w14:textId="77777777" w:rsidR="001A11FA" w:rsidRPr="00576DFF" w:rsidRDefault="001A11FA" w:rsidP="00576DFF">
    <w:pPr>
      <w:pStyle w:val="Header"/>
      <w:jc w:val="center"/>
      <w:rPr>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AE1122"/>
    <w:multiLevelType w:val="multilevel"/>
    <w:tmpl w:val="33E40BE4"/>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19691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105"/>
    <w:rsid w:val="000908E6"/>
    <w:rsid w:val="001A11FA"/>
    <w:rsid w:val="00596C05"/>
    <w:rsid w:val="00603B93"/>
    <w:rsid w:val="006F5767"/>
    <w:rsid w:val="00743775"/>
    <w:rsid w:val="00A77DD4"/>
    <w:rsid w:val="00A97105"/>
    <w:rsid w:val="00D9245F"/>
    <w:rsid w:val="00DC7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C6756"/>
  <w15:chartTrackingRefBased/>
  <w15:docId w15:val="{6F6AFA31-618D-4797-9715-DCB6E04E9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7105"/>
    <w:pPr>
      <w:keepNext/>
      <w:keepLines/>
      <w:spacing w:before="360" w:after="80"/>
      <w:outlineLvl w:val="0"/>
    </w:pPr>
    <w:rPr>
      <w:rFonts w:eastAsiaTheme="majorEastAsia"/>
      <w:color w:val="0F4761" w:themeColor="accent1" w:themeShade="BF"/>
      <w:sz w:val="40"/>
      <w:szCs w:val="40"/>
    </w:rPr>
  </w:style>
  <w:style w:type="paragraph" w:styleId="Heading2">
    <w:name w:val="heading 2"/>
    <w:basedOn w:val="Normal"/>
    <w:next w:val="Normal"/>
    <w:link w:val="Heading2Char"/>
    <w:uiPriority w:val="9"/>
    <w:semiHidden/>
    <w:unhideWhenUsed/>
    <w:qFormat/>
    <w:rsid w:val="00A97105"/>
    <w:pPr>
      <w:keepNext/>
      <w:keepLines/>
      <w:spacing w:before="160" w:after="80"/>
      <w:outlineLvl w:val="1"/>
    </w:pPr>
    <w:rPr>
      <w:rFonts w:eastAsiaTheme="majorEastAsia"/>
      <w:color w:val="0F4761" w:themeColor="accent1" w:themeShade="BF"/>
      <w:szCs w:val="32"/>
    </w:rPr>
  </w:style>
  <w:style w:type="paragraph" w:styleId="Heading3">
    <w:name w:val="heading 3"/>
    <w:basedOn w:val="Normal"/>
    <w:next w:val="Normal"/>
    <w:link w:val="Heading3Char"/>
    <w:uiPriority w:val="9"/>
    <w:semiHidden/>
    <w:unhideWhenUsed/>
    <w:qFormat/>
    <w:rsid w:val="00A97105"/>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A97105"/>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A97105"/>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A97105"/>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A97105"/>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A97105"/>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A97105"/>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105"/>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A97105"/>
    <w:rPr>
      <w:rFonts w:eastAsiaTheme="majorEastAsia"/>
      <w:color w:val="0F4761" w:themeColor="accent1" w:themeShade="BF"/>
      <w:szCs w:val="32"/>
    </w:rPr>
  </w:style>
  <w:style w:type="character" w:customStyle="1" w:styleId="Heading3Char">
    <w:name w:val="Heading 3 Char"/>
    <w:basedOn w:val="DefaultParagraphFont"/>
    <w:link w:val="Heading3"/>
    <w:uiPriority w:val="9"/>
    <w:semiHidden/>
    <w:rsid w:val="00A97105"/>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A97105"/>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A97105"/>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A97105"/>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A97105"/>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A97105"/>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A97105"/>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A97105"/>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A97105"/>
    <w:rPr>
      <w:rFonts w:eastAsiaTheme="majorEastAsia"/>
      <w:spacing w:val="-10"/>
      <w:kern w:val="28"/>
      <w:sz w:val="56"/>
      <w:szCs w:val="56"/>
    </w:rPr>
  </w:style>
  <w:style w:type="paragraph" w:styleId="Subtitle">
    <w:name w:val="Subtitle"/>
    <w:basedOn w:val="Normal"/>
    <w:next w:val="Normal"/>
    <w:link w:val="SubtitleChar"/>
    <w:uiPriority w:val="11"/>
    <w:qFormat/>
    <w:rsid w:val="00A97105"/>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A97105"/>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A97105"/>
    <w:pPr>
      <w:spacing w:before="160"/>
      <w:jc w:val="center"/>
    </w:pPr>
    <w:rPr>
      <w:i/>
      <w:iCs/>
      <w:color w:val="404040" w:themeColor="text1" w:themeTint="BF"/>
    </w:rPr>
  </w:style>
  <w:style w:type="character" w:customStyle="1" w:styleId="QuoteChar">
    <w:name w:val="Quote Char"/>
    <w:basedOn w:val="DefaultParagraphFont"/>
    <w:link w:val="Quote"/>
    <w:uiPriority w:val="29"/>
    <w:rsid w:val="00A97105"/>
    <w:rPr>
      <w:i/>
      <w:iCs/>
      <w:color w:val="404040" w:themeColor="text1" w:themeTint="BF"/>
    </w:rPr>
  </w:style>
  <w:style w:type="paragraph" w:styleId="ListParagraph">
    <w:name w:val="List Paragraph"/>
    <w:basedOn w:val="Normal"/>
    <w:uiPriority w:val="34"/>
    <w:qFormat/>
    <w:rsid w:val="00A97105"/>
    <w:pPr>
      <w:ind w:left="720"/>
      <w:contextualSpacing/>
    </w:pPr>
  </w:style>
  <w:style w:type="character" w:styleId="IntenseEmphasis">
    <w:name w:val="Intense Emphasis"/>
    <w:basedOn w:val="DefaultParagraphFont"/>
    <w:uiPriority w:val="21"/>
    <w:qFormat/>
    <w:rsid w:val="00A97105"/>
    <w:rPr>
      <w:i/>
      <w:iCs/>
      <w:color w:val="0F4761" w:themeColor="accent1" w:themeShade="BF"/>
    </w:rPr>
  </w:style>
  <w:style w:type="paragraph" w:styleId="IntenseQuote">
    <w:name w:val="Intense Quote"/>
    <w:basedOn w:val="Normal"/>
    <w:next w:val="Normal"/>
    <w:link w:val="IntenseQuoteChar"/>
    <w:uiPriority w:val="30"/>
    <w:qFormat/>
    <w:rsid w:val="00A97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105"/>
    <w:rPr>
      <w:i/>
      <w:iCs/>
      <w:color w:val="0F4761" w:themeColor="accent1" w:themeShade="BF"/>
    </w:rPr>
  </w:style>
  <w:style w:type="character" w:styleId="IntenseReference">
    <w:name w:val="Intense Reference"/>
    <w:basedOn w:val="DefaultParagraphFont"/>
    <w:uiPriority w:val="32"/>
    <w:qFormat/>
    <w:rsid w:val="00A97105"/>
    <w:rPr>
      <w:b/>
      <w:bCs/>
      <w:smallCaps/>
      <w:color w:val="0F4761" w:themeColor="accent1" w:themeShade="BF"/>
      <w:spacing w:val="5"/>
    </w:rPr>
  </w:style>
  <w:style w:type="character" w:styleId="CommentReference">
    <w:name w:val="annotation reference"/>
    <w:basedOn w:val="DefaultParagraphFont"/>
    <w:uiPriority w:val="99"/>
    <w:semiHidden/>
    <w:unhideWhenUsed/>
    <w:rsid w:val="00A97105"/>
    <w:rPr>
      <w:sz w:val="16"/>
      <w:szCs w:val="16"/>
    </w:rPr>
  </w:style>
  <w:style w:type="paragraph" w:styleId="CommentText">
    <w:name w:val="annotation text"/>
    <w:basedOn w:val="Normal"/>
    <w:link w:val="CommentTextChar"/>
    <w:uiPriority w:val="99"/>
    <w:unhideWhenUsed/>
    <w:rsid w:val="00A97105"/>
    <w:pPr>
      <w:spacing w:after="200" w:line="240" w:lineRule="auto"/>
    </w:pPr>
    <w:rPr>
      <w:rFonts w:ascii="Cambria" w:eastAsia="Cambria" w:hAnsi="Cambria" w:cs="Cambria"/>
      <w:kern w:val="0"/>
      <w:sz w:val="20"/>
      <w:szCs w:val="20"/>
      <w14:ligatures w14:val="none"/>
    </w:rPr>
  </w:style>
  <w:style w:type="character" w:customStyle="1" w:styleId="CommentTextChar">
    <w:name w:val="Comment Text Char"/>
    <w:basedOn w:val="DefaultParagraphFont"/>
    <w:link w:val="CommentText"/>
    <w:uiPriority w:val="99"/>
    <w:rsid w:val="00A97105"/>
    <w:rPr>
      <w:rFonts w:ascii="Cambria" w:eastAsia="Cambria" w:hAnsi="Cambria" w:cs="Cambria"/>
      <w:kern w:val="0"/>
      <w:sz w:val="20"/>
      <w:szCs w:val="20"/>
      <w14:ligatures w14:val="none"/>
    </w:rPr>
  </w:style>
  <w:style w:type="paragraph" w:styleId="Header">
    <w:name w:val="header"/>
    <w:basedOn w:val="Normal"/>
    <w:link w:val="HeaderChar"/>
    <w:uiPriority w:val="99"/>
    <w:unhideWhenUsed/>
    <w:rsid w:val="00A97105"/>
    <w:pPr>
      <w:tabs>
        <w:tab w:val="center" w:pos="4680"/>
        <w:tab w:val="right" w:pos="9360"/>
      </w:tabs>
      <w:spacing w:after="0" w:line="240" w:lineRule="auto"/>
    </w:pPr>
    <w:rPr>
      <w:rFonts w:ascii="Cambria" w:eastAsia="Cambria" w:hAnsi="Cambria" w:cs="Cambria"/>
      <w:kern w:val="0"/>
      <w:sz w:val="24"/>
      <w14:ligatures w14:val="none"/>
    </w:rPr>
  </w:style>
  <w:style w:type="character" w:customStyle="1" w:styleId="HeaderChar">
    <w:name w:val="Header Char"/>
    <w:basedOn w:val="DefaultParagraphFont"/>
    <w:link w:val="Header"/>
    <w:uiPriority w:val="99"/>
    <w:rsid w:val="00A97105"/>
    <w:rPr>
      <w:rFonts w:ascii="Cambria" w:eastAsia="Cambria" w:hAnsi="Cambria" w:cs="Cambria"/>
      <w:kern w:val="0"/>
      <w:sz w:val="24"/>
      <w14:ligatures w14:val="none"/>
    </w:rPr>
  </w:style>
  <w:style w:type="paragraph" w:styleId="Footer">
    <w:name w:val="footer"/>
    <w:basedOn w:val="Normal"/>
    <w:link w:val="FooterChar"/>
    <w:uiPriority w:val="99"/>
    <w:unhideWhenUsed/>
    <w:rsid w:val="00A97105"/>
    <w:pPr>
      <w:tabs>
        <w:tab w:val="center" w:pos="4680"/>
        <w:tab w:val="right" w:pos="9360"/>
      </w:tabs>
      <w:spacing w:after="0" w:line="240" w:lineRule="auto"/>
    </w:pPr>
    <w:rPr>
      <w:rFonts w:ascii="Cambria" w:eastAsia="Cambria" w:hAnsi="Cambria" w:cs="Cambria"/>
      <w:kern w:val="0"/>
      <w:sz w:val="24"/>
      <w14:ligatures w14:val="none"/>
    </w:rPr>
  </w:style>
  <w:style w:type="character" w:customStyle="1" w:styleId="FooterChar">
    <w:name w:val="Footer Char"/>
    <w:basedOn w:val="DefaultParagraphFont"/>
    <w:link w:val="Footer"/>
    <w:uiPriority w:val="99"/>
    <w:rsid w:val="00A97105"/>
    <w:rPr>
      <w:rFonts w:ascii="Cambria" w:eastAsia="Cambria" w:hAnsi="Cambria" w:cs="Cambria"/>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Jones</dc:creator>
  <cp:keywords/>
  <dc:description/>
  <cp:lastModifiedBy>Holly Jones</cp:lastModifiedBy>
  <cp:revision>3</cp:revision>
  <dcterms:created xsi:type="dcterms:W3CDTF">2024-12-10T20:29:00Z</dcterms:created>
  <dcterms:modified xsi:type="dcterms:W3CDTF">2024-12-10T20:30:00Z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2024-12-10T20:29:14Z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aa08b3bd-b139-40af-b8bb-6619b31498e9</vt:lpwstr>
  </property>
  <property fmtid="{D5CDD505-2E9C-101B-9397-08002B2CF9AE}" pid="7" name="MSIP_Label_defa4170-0d19-0005-0004-bc88714345d2_ActionId">
    <vt:lpwstr>00f6975b-2686-4a39-b080-4cf523e3ba57</vt:lpwstr>
  </property>
  <property fmtid="{D5CDD505-2E9C-101B-9397-08002B2CF9AE}" pid="8" name="MSIP_Label_defa4170-0d19-0005-0004-bc88714345d2_ContentBits">
    <vt:lpwstr>0</vt:lpwstr>
  </property>
</Properties>
</file>