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9360"/>
        <w:tblGridChange w:id="0">
          <w:tblGrid>
            <w:gridCol w:w="1728"/>
            <w:gridCol w:w="93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SENTENCING COMMISSION MINUTES – pending approval</w:t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Committee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Utah Sentencing Commission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Thursday, February 29th, 2024</w:t>
            </w:r>
          </w:p>
          <w:p w:rsidR="00000000" w:rsidDel="00000000" w:rsidP="00000000" w:rsidRDefault="00000000" w:rsidRPr="00000000" w14:paraId="0000000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12 PM – 2 PM</w:t>
            </w:r>
          </w:p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Hybrid Zoom Virtual meeting – CCJJ Large Conference Room, CCJJ Offices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Members Present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Virtual Attendance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Christina Zidow, Craig Barlow, Judge Ryan Tenney, Skye Lazaro, Rob VanDyke, Judge Sharon Sipes, Judge Vernice Trease</w:t>
            </w:r>
          </w:p>
          <w:p w:rsidR="00000000" w:rsidDel="00000000" w:rsidP="00000000" w:rsidRDefault="00000000" w:rsidRPr="00000000" w14:paraId="0000000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In-Person Attendance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Brett Peterson, Alex Garcia (for Brian Redd), Scott Stephenson, Beatriz Herrera, Pam Vickrey, Richard Mauro, Dennis Martinez, Jeff Buhman (for Ryan Robinson), Tom Ross, Sheriff Michael smith, John Mejia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Staff &amp; </w:t>
            </w:r>
          </w:p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Visitors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Staff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Danica Bodley, Tiffany Nguyen (virtual), Daniel Strong, Ken Matthews (virtual), Kayley Richards (virtual), Van Nguyen (virtual), Marlesse Jones, Michele Leslie, Rachelle Hill (virtual)</w:t>
            </w:r>
          </w:p>
          <w:p w:rsidR="00000000" w:rsidDel="00000000" w:rsidP="00000000" w:rsidRDefault="00000000" w:rsidRPr="00000000" w14:paraId="0000001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Visitors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Will Carlson, Kamilla Vaczi (virtual), Mark Moffat, Steve Burton</w:t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Agenda Item</w:t>
            </w:r>
          </w:p>
        </w:tc>
        <w:tc>
          <w:tcPr>
            <w:shd w:fill="b8cce4" w:val="clear"/>
            <w:vAlign w:val="bottom"/>
          </w:tcPr>
          <w:p w:rsidR="00000000" w:rsidDel="00000000" w:rsidP="00000000" w:rsidRDefault="00000000" w:rsidRPr="00000000" w14:paraId="00000017">
            <w:pPr>
              <w:pStyle w:val="Heading3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Welcome and Introductions –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Pam Vickrey, Chair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Notes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Chair Pam Vickrey brings the commission meeting into session.</w:t>
            </w:r>
          </w:p>
          <w:p w:rsidR="00000000" w:rsidDel="00000000" w:rsidP="00000000" w:rsidRDefault="00000000" w:rsidRPr="00000000" w14:paraId="0000001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The commission reviewed the previous meeting minutes from Thursday, February 22nd, 2024.</w:t>
            </w:r>
          </w:p>
          <w:p w:rsidR="00000000" w:rsidDel="00000000" w:rsidP="00000000" w:rsidRDefault="00000000" w:rsidRPr="00000000" w14:paraId="0000001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Motion: Richard Mauro motions for the commission to approve the minutes as presented. Tom Ross seconds the motion. The motion passes unanimously.</w:t>
            </w:r>
          </w:p>
          <w:p w:rsidR="00000000" w:rsidDel="00000000" w:rsidP="00000000" w:rsidRDefault="00000000" w:rsidRPr="00000000" w14:paraId="0000001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Agenda Item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Review, Discussion, and Vote on 2024 Legislative Session Bills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rtl w:val="0"/>
              </w:rPr>
              <w:t xml:space="preserve">Dan Strong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***ALL JUDGES ON THE COMMISSION WILL BE ABSTAINING FROM VOTING ON BILLS.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Judge Sharon Sipes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Judge Brody Keisel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Judge Ryan Tenney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Dan Strong presents the consent list for week seven to the commission. These bills are considered beyond the scope of the Sentencing Commission.</w:t>
            </w:r>
          </w:p>
          <w:p w:rsidR="00000000" w:rsidDel="00000000" w:rsidP="00000000" w:rsidRDefault="00000000" w:rsidRPr="00000000" w14:paraId="0000002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HB0051S1</w:t>
              <w:tab/>
              <w:t xml:space="preserve">Health and Human Services Funding Amendments</w:t>
            </w:r>
          </w:p>
          <w:p w:rsidR="00000000" w:rsidDel="00000000" w:rsidP="00000000" w:rsidRDefault="00000000" w:rsidRPr="00000000" w14:paraId="0000002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HB0069S3</w:t>
              <w:tab/>
              <w:t xml:space="preserve">DUI Testing Amendments</w:t>
            </w:r>
          </w:p>
          <w:p w:rsidR="00000000" w:rsidDel="00000000" w:rsidP="00000000" w:rsidRDefault="00000000" w:rsidRPr="00000000" w14:paraId="0000002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HB0069S4</w:t>
              <w:tab/>
              <w:t xml:space="preserve">DUI Testing Amendments</w:t>
            </w:r>
          </w:p>
          <w:p w:rsidR="00000000" w:rsidDel="00000000" w:rsidP="00000000" w:rsidRDefault="00000000" w:rsidRPr="00000000" w14:paraId="0000002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HB0069S5</w:t>
              <w:tab/>
              <w:t xml:space="preserve">DUI Testing Amendments</w:t>
            </w:r>
          </w:p>
          <w:p w:rsidR="00000000" w:rsidDel="00000000" w:rsidP="00000000" w:rsidRDefault="00000000" w:rsidRPr="00000000" w14:paraId="0000002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HB0127S3</w:t>
              <w:tab/>
              <w:t xml:space="preserve">Bias Incident Reporting</w:t>
            </w:r>
          </w:p>
          <w:p w:rsidR="00000000" w:rsidDel="00000000" w:rsidP="00000000" w:rsidRDefault="00000000" w:rsidRPr="00000000" w14:paraId="0000002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HB0182S5</w:t>
              <w:tab/>
              <w:t xml:space="preserve">Student Survey Amendments</w:t>
            </w:r>
          </w:p>
          <w:p w:rsidR="00000000" w:rsidDel="00000000" w:rsidP="00000000" w:rsidRDefault="00000000" w:rsidRPr="00000000" w14:paraId="0000002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HB0199</w:t>
              <w:tab/>
              <w:t xml:space="preserve">Child Welfare Revisions</w:t>
            </w:r>
          </w:p>
          <w:p w:rsidR="00000000" w:rsidDel="00000000" w:rsidP="00000000" w:rsidRDefault="00000000" w:rsidRPr="00000000" w14:paraId="0000003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HB0201S1</w:t>
              <w:tab/>
              <w:t xml:space="preserve">Traffic Enforcement Amendments</w:t>
            </w:r>
          </w:p>
          <w:p w:rsidR="00000000" w:rsidDel="00000000" w:rsidP="00000000" w:rsidRDefault="00000000" w:rsidRPr="00000000" w14:paraId="00000031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HB0209</w:t>
              <w:tab/>
              <w:t xml:space="preserve">Human Trafficking Civil Action Amendments</w:t>
            </w:r>
          </w:p>
          <w:p w:rsidR="00000000" w:rsidDel="00000000" w:rsidP="00000000" w:rsidRDefault="00000000" w:rsidRPr="00000000" w14:paraId="0000003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HB0213S2</w:t>
              <w:tab/>
              <w:t xml:space="preserve">Crime Victim Records Amendments</w:t>
            </w:r>
          </w:p>
          <w:p w:rsidR="00000000" w:rsidDel="00000000" w:rsidP="00000000" w:rsidRDefault="00000000" w:rsidRPr="00000000" w14:paraId="00000033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HB0244S4</w:t>
              <w:tab/>
              <w:t xml:space="preserve">State Agency Audit Compliance Requirements</w:t>
            </w:r>
          </w:p>
          <w:p w:rsidR="00000000" w:rsidDel="00000000" w:rsidP="00000000" w:rsidRDefault="00000000" w:rsidRPr="00000000" w14:paraId="0000003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HB0272S3</w:t>
              <w:tab/>
              <w:t xml:space="preserve">Child Custody Proceedings Amendments</w:t>
            </w:r>
          </w:p>
          <w:p w:rsidR="00000000" w:rsidDel="00000000" w:rsidP="00000000" w:rsidRDefault="00000000" w:rsidRPr="00000000" w14:paraId="0000003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HB0272S4</w:t>
              <w:tab/>
              <w:t xml:space="preserve">Child Custody Proceedings Amendments</w:t>
            </w:r>
          </w:p>
          <w:p w:rsidR="00000000" w:rsidDel="00000000" w:rsidP="00000000" w:rsidRDefault="00000000" w:rsidRPr="00000000" w14:paraId="0000003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HB0272S5</w:t>
              <w:tab/>
              <w:t xml:space="preserve">Child Custody Proceedings Amendments</w:t>
            </w:r>
          </w:p>
          <w:p w:rsidR="00000000" w:rsidDel="00000000" w:rsidP="00000000" w:rsidRDefault="00000000" w:rsidRPr="00000000" w14:paraId="0000003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HB0298S3</w:t>
              <w:tab/>
              <w:t xml:space="preserve">Homelessness Services Amendments</w:t>
            </w:r>
          </w:p>
          <w:p w:rsidR="00000000" w:rsidDel="00000000" w:rsidP="00000000" w:rsidRDefault="00000000" w:rsidRPr="00000000" w14:paraId="0000003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HB0300S2</w:t>
              <w:tab/>
              <w:t xml:space="preserve">Court Amendments</w:t>
            </w:r>
          </w:p>
          <w:p w:rsidR="00000000" w:rsidDel="00000000" w:rsidP="00000000" w:rsidRDefault="00000000" w:rsidRPr="00000000" w14:paraId="0000003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HB0300S3</w:t>
              <w:tab/>
              <w:t xml:space="preserve">Court Amendments</w:t>
            </w:r>
          </w:p>
          <w:p w:rsidR="00000000" w:rsidDel="00000000" w:rsidP="00000000" w:rsidRDefault="00000000" w:rsidRPr="00000000" w14:paraId="0000003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HB0328S3</w:t>
              <w:tab/>
              <w:t xml:space="preserve">Victims of Sexual Offenses Amendments</w:t>
            </w:r>
          </w:p>
          <w:p w:rsidR="00000000" w:rsidDel="00000000" w:rsidP="00000000" w:rsidRDefault="00000000" w:rsidRPr="00000000" w14:paraId="0000003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HB0335S2</w:t>
              <w:tab/>
              <w:t xml:space="preserve">State Grant Process Amendments</w:t>
            </w:r>
          </w:p>
          <w:p w:rsidR="00000000" w:rsidDel="00000000" w:rsidP="00000000" w:rsidRDefault="00000000" w:rsidRPr="00000000" w14:paraId="0000003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HB0335S3</w:t>
              <w:tab/>
              <w:t xml:space="preserve">State Grant Process Amendments</w:t>
            </w:r>
          </w:p>
          <w:p w:rsidR="00000000" w:rsidDel="00000000" w:rsidP="00000000" w:rsidRDefault="00000000" w:rsidRPr="00000000" w14:paraId="0000003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HB0335S4</w:t>
              <w:tab/>
              <w:t xml:space="preserve">State Grant Process Amendments</w:t>
            </w:r>
          </w:p>
          <w:p w:rsidR="00000000" w:rsidDel="00000000" w:rsidP="00000000" w:rsidRDefault="00000000" w:rsidRPr="00000000" w14:paraId="0000003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HB0340</w:t>
              <w:tab/>
              <w:t xml:space="preserve">Health Care Reform Amendments</w:t>
            </w:r>
          </w:p>
          <w:p w:rsidR="00000000" w:rsidDel="00000000" w:rsidP="00000000" w:rsidRDefault="00000000" w:rsidRPr="00000000" w14:paraId="0000003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HB0347S3</w:t>
              <w:tab/>
              <w:t xml:space="preserve">Educational Rights Amendments</w:t>
            </w:r>
          </w:p>
          <w:p w:rsidR="00000000" w:rsidDel="00000000" w:rsidP="00000000" w:rsidRDefault="00000000" w:rsidRPr="00000000" w14:paraId="0000004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HB0352S6</w:t>
              <w:tab/>
              <w:t xml:space="preserve">Amendments to Expungement</w:t>
            </w:r>
          </w:p>
          <w:p w:rsidR="00000000" w:rsidDel="00000000" w:rsidP="00000000" w:rsidRDefault="00000000" w:rsidRPr="00000000" w14:paraId="00000041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HB0389S1</w:t>
              <w:tab/>
              <w:t xml:space="preserve">Medical Cannabis Pharmacy Modifications</w:t>
            </w:r>
          </w:p>
          <w:p w:rsidR="00000000" w:rsidDel="00000000" w:rsidP="00000000" w:rsidRDefault="00000000" w:rsidRPr="00000000" w14:paraId="0000004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HB0398</w:t>
              <w:tab/>
              <w:t xml:space="preserve">Child Abuse Reporting Amendments</w:t>
            </w:r>
          </w:p>
          <w:p w:rsidR="00000000" w:rsidDel="00000000" w:rsidP="00000000" w:rsidRDefault="00000000" w:rsidRPr="00000000" w14:paraId="00000043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HB0412</w:t>
              <w:tab/>
              <w:t xml:space="preserve">Legislative Auditor General Amendments</w:t>
            </w:r>
          </w:p>
          <w:p w:rsidR="00000000" w:rsidDel="00000000" w:rsidP="00000000" w:rsidRDefault="00000000" w:rsidRPr="00000000" w14:paraId="0000004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HB0413S1</w:t>
              <w:tab/>
              <w:t xml:space="preserve">Student Mental Health Amendments</w:t>
            </w:r>
          </w:p>
          <w:p w:rsidR="00000000" w:rsidDel="00000000" w:rsidP="00000000" w:rsidRDefault="00000000" w:rsidRPr="00000000" w14:paraId="0000004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HB0414</w:t>
              <w:tab/>
              <w:t xml:space="preserve">Student Right to Counsel</w:t>
            </w:r>
          </w:p>
          <w:p w:rsidR="00000000" w:rsidDel="00000000" w:rsidP="00000000" w:rsidRDefault="00000000" w:rsidRPr="00000000" w14:paraId="0000004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HB0414S1</w:t>
              <w:tab/>
              <w:t xml:space="preserve">Student Right to Counsel</w:t>
            </w:r>
          </w:p>
          <w:p w:rsidR="00000000" w:rsidDel="00000000" w:rsidP="00000000" w:rsidRDefault="00000000" w:rsidRPr="00000000" w14:paraId="0000004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HB0427S2</w:t>
              <w:tab/>
              <w:t xml:space="preserve">Access to Protected Health Information</w:t>
            </w:r>
          </w:p>
          <w:p w:rsidR="00000000" w:rsidDel="00000000" w:rsidP="00000000" w:rsidRDefault="00000000" w:rsidRPr="00000000" w14:paraId="0000004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HB0445</w:t>
              <w:tab/>
              <w:t xml:space="preserve">Indigent Defense Funding Amendments</w:t>
            </w:r>
          </w:p>
          <w:p w:rsidR="00000000" w:rsidDel="00000000" w:rsidP="00000000" w:rsidRDefault="00000000" w:rsidRPr="00000000" w14:paraId="0000004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HB0463S3</w:t>
              <w:tab/>
              <w:t xml:space="preserve">Medicaid Funding Amendments</w:t>
            </w:r>
          </w:p>
          <w:p w:rsidR="00000000" w:rsidDel="00000000" w:rsidP="00000000" w:rsidRDefault="00000000" w:rsidRPr="00000000" w14:paraId="0000004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HB0464S1</w:t>
              <w:tab/>
              <w:t xml:space="preserve">Social Media Regulation Act Amendments</w:t>
            </w:r>
          </w:p>
          <w:p w:rsidR="00000000" w:rsidDel="00000000" w:rsidP="00000000" w:rsidRDefault="00000000" w:rsidRPr="00000000" w14:paraId="0000004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HB0491S1</w:t>
              <w:tab/>
              <w:t xml:space="preserve">Data Privacy Amendments</w:t>
            </w:r>
          </w:p>
          <w:p w:rsidR="00000000" w:rsidDel="00000000" w:rsidP="00000000" w:rsidRDefault="00000000" w:rsidRPr="00000000" w14:paraId="0000004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HB0491S2</w:t>
              <w:tab/>
              <w:t xml:space="preserve">Data Privacy Amendments</w:t>
            </w:r>
          </w:p>
          <w:p w:rsidR="00000000" w:rsidDel="00000000" w:rsidP="00000000" w:rsidRDefault="00000000" w:rsidRPr="00000000" w14:paraId="0000004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HB0491S3</w:t>
              <w:tab/>
              <w:t xml:space="preserve">Data Privacy Amendments</w:t>
            </w:r>
          </w:p>
          <w:p w:rsidR="00000000" w:rsidDel="00000000" w:rsidP="00000000" w:rsidRDefault="00000000" w:rsidRPr="00000000" w14:paraId="0000004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HB0495S2</w:t>
              <w:tab/>
              <w:t xml:space="preserve">Vulnerable Population Amendments</w:t>
            </w:r>
          </w:p>
          <w:p w:rsidR="00000000" w:rsidDel="00000000" w:rsidP="00000000" w:rsidRDefault="00000000" w:rsidRPr="00000000" w14:paraId="0000004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HB0495S3</w:t>
              <w:tab/>
              <w:t xml:space="preserve">Vulnerable Population Amendments</w:t>
            </w:r>
          </w:p>
          <w:p w:rsidR="00000000" w:rsidDel="00000000" w:rsidP="00000000" w:rsidRDefault="00000000" w:rsidRPr="00000000" w14:paraId="0000005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HB0495S4</w:t>
              <w:tab/>
              <w:t xml:space="preserve">Vulnerable Population Amendments</w:t>
            </w:r>
          </w:p>
          <w:p w:rsidR="00000000" w:rsidDel="00000000" w:rsidP="00000000" w:rsidRDefault="00000000" w:rsidRPr="00000000" w14:paraId="00000051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HB0498</w:t>
              <w:tab/>
              <w:t xml:space="preserve">Firearm Safety in Schools</w:t>
            </w:r>
          </w:p>
          <w:p w:rsidR="00000000" w:rsidDel="00000000" w:rsidP="00000000" w:rsidRDefault="00000000" w:rsidRPr="00000000" w14:paraId="0000005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HB0501S1</w:t>
              <w:tab/>
              <w:t xml:space="preserve">Medicaid Modifications</w:t>
            </w:r>
          </w:p>
          <w:p w:rsidR="00000000" w:rsidDel="00000000" w:rsidP="00000000" w:rsidRDefault="00000000" w:rsidRPr="00000000" w14:paraId="00000053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HB0501S4</w:t>
              <w:tab/>
              <w:t xml:space="preserve">Medicaid Modifications</w:t>
            </w:r>
          </w:p>
          <w:p w:rsidR="00000000" w:rsidDel="00000000" w:rsidP="00000000" w:rsidRDefault="00000000" w:rsidRPr="00000000" w14:paraId="0000005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HB0506</w:t>
              <w:tab/>
              <w:t xml:space="preserve">Higher Education Residency Amendments</w:t>
            </w:r>
          </w:p>
          <w:p w:rsidR="00000000" w:rsidDel="00000000" w:rsidP="00000000" w:rsidRDefault="00000000" w:rsidRPr="00000000" w14:paraId="0000005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HB0528</w:t>
              <w:tab/>
              <w:t xml:space="preserve">Behavioral Health Amendments</w:t>
            </w:r>
          </w:p>
          <w:p w:rsidR="00000000" w:rsidDel="00000000" w:rsidP="00000000" w:rsidRDefault="00000000" w:rsidRPr="00000000" w14:paraId="0000005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HB0530</w:t>
              <w:tab/>
              <w:t xml:space="preserve">Licensed School Psychological Practitioner Amendments</w:t>
            </w:r>
          </w:p>
          <w:p w:rsidR="00000000" w:rsidDel="00000000" w:rsidP="00000000" w:rsidRDefault="00000000" w:rsidRPr="00000000" w14:paraId="0000005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HB0544</w:t>
              <w:tab/>
              <w:t xml:space="preserve">Mental Health Amendments</w:t>
            </w:r>
          </w:p>
          <w:p w:rsidR="00000000" w:rsidDel="00000000" w:rsidP="00000000" w:rsidRDefault="00000000" w:rsidRPr="00000000" w14:paraId="0000005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HB0561S2</w:t>
              <w:tab/>
              <w:t xml:space="preserve">Communication Awareness Pilot Program</w:t>
            </w:r>
          </w:p>
          <w:p w:rsidR="00000000" w:rsidDel="00000000" w:rsidP="00000000" w:rsidRDefault="00000000" w:rsidRPr="00000000" w14:paraId="0000005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HB0561S3</w:t>
              <w:tab/>
              <w:t xml:space="preserve">Communication Awareness Pilot Program</w:t>
            </w:r>
          </w:p>
          <w:p w:rsidR="00000000" w:rsidDel="00000000" w:rsidP="00000000" w:rsidRDefault="00000000" w:rsidRPr="00000000" w14:paraId="0000005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SB0026S2</w:t>
              <w:tab/>
              <w:t xml:space="preserve">Behavioral Health Licensing Amendments</w:t>
            </w:r>
          </w:p>
          <w:p w:rsidR="00000000" w:rsidDel="00000000" w:rsidP="00000000" w:rsidRDefault="00000000" w:rsidRPr="00000000" w14:paraId="0000005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SB0048S1</w:t>
              <w:tab/>
              <w:t xml:space="preserve">County Correctional Facility Reimbursement Amendments</w:t>
            </w:r>
          </w:p>
          <w:p w:rsidR="00000000" w:rsidDel="00000000" w:rsidP="00000000" w:rsidRDefault="00000000" w:rsidRPr="00000000" w14:paraId="0000005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SB0060S1</w:t>
              <w:tab/>
              <w:t xml:space="preserve">Drug Paraphernalia Amendments</w:t>
            </w:r>
          </w:p>
          <w:p w:rsidR="00000000" w:rsidDel="00000000" w:rsidP="00000000" w:rsidRDefault="00000000" w:rsidRPr="00000000" w14:paraId="0000005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SB0070S1</w:t>
              <w:tab/>
              <w:t xml:space="preserve">Judiciary Amendments</w:t>
            </w:r>
          </w:p>
          <w:p w:rsidR="00000000" w:rsidDel="00000000" w:rsidP="00000000" w:rsidRDefault="00000000" w:rsidRPr="00000000" w14:paraId="0000005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SB0128S2</w:t>
              <w:tab/>
              <w:t xml:space="preserve">Criminal Monetary Threshold Amendments</w:t>
            </w:r>
          </w:p>
          <w:p w:rsidR="00000000" w:rsidDel="00000000" w:rsidP="00000000" w:rsidRDefault="00000000" w:rsidRPr="00000000" w14:paraId="0000005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SB0159S3</w:t>
              <w:tab/>
              <w:t xml:space="preserve">Public School Discipline and Conduct Plans Amendments</w:t>
            </w:r>
          </w:p>
          <w:p w:rsidR="00000000" w:rsidDel="00000000" w:rsidP="00000000" w:rsidRDefault="00000000" w:rsidRPr="00000000" w14:paraId="0000006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SB0159S4</w:t>
              <w:tab/>
              <w:t xml:space="preserve">Public School Discipline and Conduct Plans Amendments</w:t>
            </w:r>
          </w:p>
          <w:p w:rsidR="00000000" w:rsidDel="00000000" w:rsidP="00000000" w:rsidRDefault="00000000" w:rsidRPr="00000000" w14:paraId="00000061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SB0163S1</w:t>
              <w:tab/>
              <w:t xml:space="preserve">Expungement Fee Waiver Amendments</w:t>
            </w:r>
          </w:p>
          <w:p w:rsidR="00000000" w:rsidDel="00000000" w:rsidP="00000000" w:rsidRDefault="00000000" w:rsidRPr="00000000" w14:paraId="0000006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SB0207S2</w:t>
              <w:tab/>
              <w:t xml:space="preserve">Pharmacy Practice Act Amendments</w:t>
            </w:r>
          </w:p>
          <w:p w:rsidR="00000000" w:rsidDel="00000000" w:rsidP="00000000" w:rsidRDefault="00000000" w:rsidRPr="00000000" w14:paraId="00000063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SB0213S3</w:t>
              <w:tab/>
              <w:t xml:space="preserve">Criminal Justice Modifications </w:t>
            </w:r>
          </w:p>
          <w:p w:rsidR="00000000" w:rsidDel="00000000" w:rsidP="00000000" w:rsidRDefault="00000000" w:rsidRPr="00000000" w14:paraId="0000006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SB0218</w:t>
              <w:tab/>
              <w:t xml:space="preserve">Genetic Genealogy Amendments</w:t>
            </w:r>
          </w:p>
          <w:p w:rsidR="00000000" w:rsidDel="00000000" w:rsidP="00000000" w:rsidRDefault="00000000" w:rsidRPr="00000000" w14:paraId="0000006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SB0227</w:t>
              <w:tab/>
              <w:t xml:space="preserve">Boards and Commissions Revisions</w:t>
            </w:r>
          </w:p>
          <w:p w:rsidR="00000000" w:rsidDel="00000000" w:rsidP="00000000" w:rsidRDefault="00000000" w:rsidRPr="00000000" w14:paraId="0000006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SB0231S1</w:t>
              <w:tab/>
              <w:t xml:space="preserve">Public Surveillance Prohibition Amendments</w:t>
            </w:r>
          </w:p>
          <w:p w:rsidR="00000000" w:rsidDel="00000000" w:rsidP="00000000" w:rsidRDefault="00000000" w:rsidRPr="00000000" w14:paraId="0000006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SB0233S1</w:t>
              <w:tab/>
              <w:t xml:space="preserve">Medical Cannabis Amendments </w:t>
            </w:r>
          </w:p>
          <w:p w:rsidR="00000000" w:rsidDel="00000000" w:rsidP="00000000" w:rsidRDefault="00000000" w:rsidRPr="00000000" w14:paraId="0000006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SB0233S2</w:t>
              <w:tab/>
              <w:t xml:space="preserve">Medical Cannabis Amendments </w:t>
            </w:r>
          </w:p>
          <w:p w:rsidR="00000000" w:rsidDel="00000000" w:rsidP="00000000" w:rsidRDefault="00000000" w:rsidRPr="00000000" w14:paraId="00000069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SB0233S3</w:t>
              <w:tab/>
              <w:t xml:space="preserve">Medical Cannabis Amendments </w:t>
            </w:r>
          </w:p>
          <w:p w:rsidR="00000000" w:rsidDel="00000000" w:rsidP="00000000" w:rsidRDefault="00000000" w:rsidRPr="00000000" w14:paraId="0000006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SB0246S1</w:t>
              <w:tab/>
              <w:t xml:space="preserve">Juvenile Justice Modifications</w:t>
            </w:r>
          </w:p>
          <w:p w:rsidR="00000000" w:rsidDel="00000000" w:rsidP="00000000" w:rsidRDefault="00000000" w:rsidRPr="00000000" w14:paraId="0000006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SB0251</w:t>
              <w:tab/>
              <w:t xml:space="preserve">Life Coaching Requirements</w:t>
            </w:r>
          </w:p>
          <w:p w:rsidR="00000000" w:rsidDel="00000000" w:rsidP="00000000" w:rsidRDefault="00000000" w:rsidRPr="00000000" w14:paraId="0000006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SB0261</w:t>
              <w:tab/>
              <w:t xml:space="preserve">Opioid Settlement Proceeds Amendments</w:t>
            </w:r>
          </w:p>
          <w:p w:rsidR="00000000" w:rsidDel="00000000" w:rsidP="00000000" w:rsidRDefault="00000000" w:rsidRPr="00000000" w14:paraId="0000006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SB0274S1</w:t>
              <w:tab/>
              <w:t xml:space="preserve">Administrative Law Judge Amendments</w:t>
            </w:r>
          </w:p>
          <w:p w:rsidR="00000000" w:rsidDel="00000000" w:rsidP="00000000" w:rsidRDefault="00000000" w:rsidRPr="00000000" w14:paraId="0000006E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Christina Zidow motions for the commission to adopt the consent list as presented. Brett Peterson seconds the motion. The motion passes unanimously.</w:t>
            </w:r>
          </w:p>
          <w:p w:rsidR="00000000" w:rsidDel="00000000" w:rsidP="00000000" w:rsidRDefault="00000000" w:rsidRPr="00000000" w14:paraId="00000070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HB273 Sentencing Modifications for Certain DUI Offenses S04</w:t>
            </w:r>
          </w:p>
          <w:p w:rsidR="00000000" w:rsidDel="00000000" w:rsidP="00000000" w:rsidRDefault="00000000" w:rsidRPr="00000000" w14:paraId="00000072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Tom Ross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HB273S04. Dennis Martinez seconds the motion. The motion passes unanimously.</w:t>
            </w:r>
          </w:p>
          <w:p w:rsidR="00000000" w:rsidDel="00000000" w:rsidP="00000000" w:rsidRDefault="00000000" w:rsidRPr="00000000" w14:paraId="00000073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SB200 State Commission on Criminal and Juvenile Justice Amendments S04</w:t>
            </w:r>
          </w:p>
          <w:p w:rsidR="00000000" w:rsidDel="00000000" w:rsidP="00000000" w:rsidRDefault="00000000" w:rsidRPr="00000000" w14:paraId="0000007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John Mejia motions for the commission to place a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oppose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on SB200S04. Richard Mauro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Abstentions: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Seven (7); Brett Peterson, Craig Barlow, Judge Ryan Tenney, Judge Sharon Sipes, Rob VanDyke, Ryan Robinson, Tom Ross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HB424 Lewdness Involving a Child Amendments S04</w:t>
            </w:r>
          </w:p>
          <w:p w:rsidR="00000000" w:rsidDel="00000000" w:rsidP="00000000" w:rsidRDefault="00000000" w:rsidRPr="00000000" w14:paraId="0000007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John Mejia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oppose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HB424S04. Richard Mauro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Oppositions: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Four (4); Rob VanDyke, Sheriff Michael Smith, Craig Barlow, Ryan Robinson</w:t>
            </w:r>
          </w:p>
          <w:p w:rsidR="00000000" w:rsidDel="00000000" w:rsidP="00000000" w:rsidRDefault="00000000" w:rsidRPr="00000000" w14:paraId="0000007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Abstentions: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Two (2); Judge Ryan Tenney, Judge Sharon Sipes</w:t>
            </w:r>
          </w:p>
          <w:p w:rsidR="00000000" w:rsidDel="00000000" w:rsidP="00000000" w:rsidRDefault="00000000" w:rsidRPr="00000000" w14:paraId="0000007E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SB104 Children’s Device Protection Act S05</w:t>
            </w:r>
          </w:p>
          <w:p w:rsidR="00000000" w:rsidDel="00000000" w:rsidP="00000000" w:rsidRDefault="00000000" w:rsidRPr="00000000" w14:paraId="00000080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Christina Zidow motions for the commission to place a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hold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on SB104S05. John Mejia seconds the motion. The motion passes unanimously.</w:t>
            </w:r>
          </w:p>
          <w:p w:rsidR="00000000" w:rsidDel="00000000" w:rsidP="00000000" w:rsidRDefault="00000000" w:rsidRPr="00000000" w14:paraId="00000081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HB467 Child Abandonment Amendments</w:t>
            </w:r>
          </w:p>
          <w:p w:rsidR="00000000" w:rsidDel="00000000" w:rsidP="00000000" w:rsidRDefault="00000000" w:rsidRPr="00000000" w14:paraId="00000083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Christina Zidow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HB467. Tom Ross seconds the motion. The motion passes unanimously.</w:t>
            </w:r>
          </w:p>
          <w:p w:rsidR="00000000" w:rsidDel="00000000" w:rsidP="00000000" w:rsidRDefault="00000000" w:rsidRPr="00000000" w14:paraId="00000084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SB180 Court Jurisdiction Modifications S01</w:t>
            </w:r>
          </w:p>
          <w:p w:rsidR="00000000" w:rsidDel="00000000" w:rsidP="00000000" w:rsidRDefault="00000000" w:rsidRPr="00000000" w14:paraId="0000008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Pam Vickrey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SB180S01. Christina Zidow seconds the motion. The motion passes unanimously.</w:t>
            </w:r>
          </w:p>
          <w:p w:rsidR="00000000" w:rsidDel="00000000" w:rsidP="00000000" w:rsidRDefault="00000000" w:rsidRPr="00000000" w14:paraId="00000087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HJR13 Joint Resolution Amending Court Rules of Procedure and Evidence Regarding Preliminary Hearings S01</w:t>
            </w:r>
          </w:p>
          <w:p w:rsidR="00000000" w:rsidDel="00000000" w:rsidP="00000000" w:rsidRDefault="00000000" w:rsidRPr="00000000" w14:paraId="00000089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Tom Ross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HJR13S01. Brett Peterson seconds the motion. The motion passes unanimously.</w:t>
            </w:r>
          </w:p>
          <w:p w:rsidR="00000000" w:rsidDel="00000000" w:rsidP="00000000" w:rsidRDefault="00000000" w:rsidRPr="00000000" w14:paraId="0000008A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6" w:lineRule="auto"/>
              <w:ind w:left="0" w:firstLine="0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HB537 Counterfeit Airbag Amendments</w:t>
            </w:r>
          </w:p>
          <w:p w:rsidR="00000000" w:rsidDel="00000000" w:rsidP="00000000" w:rsidRDefault="00000000" w:rsidRPr="00000000" w14:paraId="0000008C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Tom Ross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HB537. Brett Peterson seconds the motion. The motion passes unanimously.</w:t>
            </w:r>
          </w:p>
          <w:p w:rsidR="00000000" w:rsidDel="00000000" w:rsidP="00000000" w:rsidRDefault="00000000" w:rsidRPr="00000000" w14:paraId="0000008D">
            <w:pPr>
              <w:spacing w:after="16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HB532 State Boards and Commissions Modifications S02</w:t>
            </w:r>
          </w:p>
          <w:p w:rsidR="00000000" w:rsidDel="00000000" w:rsidP="00000000" w:rsidRDefault="00000000" w:rsidRPr="00000000" w14:paraId="0000008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Brett Peterson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oppose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HB532S02. Beatriz Herrera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Abstentions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One (1); Tom Ross</w:t>
            </w:r>
          </w:p>
          <w:p w:rsidR="00000000" w:rsidDel="00000000" w:rsidP="00000000" w:rsidRDefault="00000000" w:rsidRPr="00000000" w14:paraId="0000009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HB534 Boards and Commissions Modifications S01</w:t>
            </w:r>
          </w:p>
          <w:p w:rsidR="00000000" w:rsidDel="00000000" w:rsidP="00000000" w:rsidRDefault="00000000" w:rsidRPr="00000000" w14:paraId="0000009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Tom Ross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oppose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HB534S01. Beatriz Herrera seconds the motion. The motion passes unanimously.</w:t>
            </w:r>
          </w:p>
          <w:p w:rsidR="00000000" w:rsidDel="00000000" w:rsidP="00000000" w:rsidRDefault="00000000" w:rsidRPr="00000000" w14:paraId="0000009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HB531 Laser Pointer Amendments</w:t>
            </w:r>
          </w:p>
          <w:p w:rsidR="00000000" w:rsidDel="00000000" w:rsidP="00000000" w:rsidRDefault="00000000" w:rsidRPr="00000000" w14:paraId="0000009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Rob VanDyke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HB531. Tom Ross seconds the motion. The motion passes unanimously.</w:t>
            </w:r>
          </w:p>
          <w:p w:rsidR="00000000" w:rsidDel="00000000" w:rsidP="00000000" w:rsidRDefault="00000000" w:rsidRPr="00000000" w14:paraId="0000009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HB531 Laser Pointer Amendments</w:t>
            </w:r>
          </w:p>
          <w:p w:rsidR="00000000" w:rsidDel="00000000" w:rsidP="00000000" w:rsidRDefault="00000000" w:rsidRPr="00000000" w14:paraId="0000009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Rob VanDyke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HB531. Tom Ross seconds the motion. The motion passes unanimously.</w:t>
            </w:r>
          </w:p>
          <w:p w:rsidR="00000000" w:rsidDel="00000000" w:rsidP="00000000" w:rsidRDefault="00000000" w:rsidRPr="00000000" w14:paraId="0000009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HB478 Animal Care Amendments S01</w:t>
            </w:r>
          </w:p>
          <w:p w:rsidR="00000000" w:rsidDel="00000000" w:rsidP="00000000" w:rsidRDefault="00000000" w:rsidRPr="00000000" w14:paraId="0000009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Christina Zidow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HB478S01. Tom Ross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E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Oppositions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One (1); John Mejia</w:t>
            </w:r>
          </w:p>
          <w:p w:rsidR="00000000" w:rsidDel="00000000" w:rsidP="00000000" w:rsidRDefault="00000000" w:rsidRPr="00000000" w14:paraId="000000A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HB376 Jail Photo Amendments S01</w:t>
            </w:r>
          </w:p>
          <w:p w:rsidR="00000000" w:rsidDel="00000000" w:rsidP="00000000" w:rsidRDefault="00000000" w:rsidRPr="00000000" w14:paraId="000000A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Richard Mauro motions for the commission to find that HB376S01 is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beyond the scope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of the commission. Dennis Martinez seconds the motion. The motion passes unanimously.</w:t>
            </w:r>
          </w:p>
          <w:p w:rsidR="00000000" w:rsidDel="00000000" w:rsidP="00000000" w:rsidRDefault="00000000" w:rsidRPr="00000000" w14:paraId="000000A3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HB358 Pregnant and Postpartum Inmate Amendments S01</w:t>
            </w:r>
          </w:p>
          <w:p w:rsidR="00000000" w:rsidDel="00000000" w:rsidP="00000000" w:rsidRDefault="00000000" w:rsidRPr="00000000" w14:paraId="000000A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Tom Ross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HB358S01. Brett Peterson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Oppositions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One (1); Dennis Martinez</w:t>
            </w:r>
          </w:p>
          <w:p w:rsidR="00000000" w:rsidDel="00000000" w:rsidP="00000000" w:rsidRDefault="00000000" w:rsidRPr="00000000" w14:paraId="000000A8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HB356 Bail Amendments</w:t>
            </w:r>
          </w:p>
          <w:p w:rsidR="00000000" w:rsidDel="00000000" w:rsidP="00000000" w:rsidRDefault="00000000" w:rsidRPr="00000000" w14:paraId="000000AA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Tom Ross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oppose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HB356. Dennis Martinez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B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Oppositions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One (1); Rob VanDyke</w:t>
            </w:r>
          </w:p>
          <w:p w:rsidR="00000000" w:rsidDel="00000000" w:rsidP="00000000" w:rsidRDefault="00000000" w:rsidRPr="00000000" w14:paraId="000000AD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HB238 Sexual Exploitation of a Minor S01</w:t>
            </w:r>
          </w:p>
          <w:p w:rsidR="00000000" w:rsidDel="00000000" w:rsidP="00000000" w:rsidRDefault="00000000" w:rsidRPr="00000000" w14:paraId="000000AF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Sheriff Michael Smith motions for the commission to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support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HB238S01. Rob VanDyke seconds the motion. The motion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passes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0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Oppositions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Four (4); Skye Lazaro, Pam Vickrey, Richard Mauro, John Mejia</w:t>
            </w:r>
          </w:p>
          <w:p w:rsidR="00000000" w:rsidDel="00000000" w:rsidP="00000000" w:rsidRDefault="00000000" w:rsidRPr="00000000" w14:paraId="000000B2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6" w:lineRule="auto"/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u w:val="single"/>
                <w:rtl w:val="0"/>
              </w:rPr>
              <w:t xml:space="preserve">HB234 Vital Record Information Modifications S01</w:t>
            </w:r>
          </w:p>
          <w:p w:rsidR="00000000" w:rsidDel="00000000" w:rsidP="00000000" w:rsidRDefault="00000000" w:rsidRPr="00000000" w14:paraId="000000B4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Motion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 Rob VanDyke motions for the commission to find that HB234S01 is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beyond the scope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of the commission. Christinba Zidow seconds the motion. The motion passes unanimously.</w:t>
            </w:r>
          </w:p>
          <w:p w:rsidR="00000000" w:rsidDel="00000000" w:rsidP="00000000" w:rsidRDefault="00000000" w:rsidRPr="00000000" w14:paraId="000000B5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Vote totals and individual vote records for all of the above motions can be found on the</w:t>
            </w:r>
          </w:p>
          <w:p w:rsidR="00000000" w:rsidDel="00000000" w:rsidP="00000000" w:rsidRDefault="00000000" w:rsidRPr="00000000" w14:paraId="000000B7">
            <w:pPr>
              <w:spacing w:after="16" w:lineRule="auto"/>
              <w:rPr>
                <w:rFonts w:ascii="Cambria" w:cs="Cambria" w:eastAsia="Cambria" w:hAnsi="Cambria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2"/>
                  <w:szCs w:val="22"/>
                  <w:u w:val="single"/>
                  <w:rtl w:val="0"/>
                </w:rPr>
                <w:t xml:space="preserve">Sentencing Commission bill tracker.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B9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Scheduling of Commission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2"/>
                <w:szCs w:val="22"/>
                <w:rtl w:val="0"/>
              </w:rPr>
              <w:t xml:space="preserve">Dan Strong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The April 3rd meeting for the commission will be moved to April 25th.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Public Comment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 public comment was addressed at this time.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Adjourn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Motion: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Richard Mauro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 motions for the commission to adjourn.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Brett Peterson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 seconds the motion. The motion was unanimously agreed upon.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The commission adjourns.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Next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meeting is scheduled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 for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Thursday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April 25th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, 202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 from Noon-2 PM.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Location: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u w:val="single"/>
                <w:rtl w:val="0"/>
              </w:rPr>
              <w:t xml:space="preserve">Anchor Location: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CCJJ Offices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, East Senate Building</w:t>
            </w:r>
          </w:p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Zoom link: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https://us02web.zoom.us/j/82776537369?pwd=eTNoK2J4SjFVK2pudnpiZy8xblRZdz09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6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6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6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6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6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6" w:lineRule="auto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0d1ji7QEjXLo1IrpvYoU2Z6O3zolTsnitAxtQkrce-c/edit?usp=sharing" TargetMode="External"/><Relationship Id="rId8" Type="http://schemas.openxmlformats.org/officeDocument/2006/relationships/hyperlink" Target="https://us02web.zoom.us/j/82776537369?pwd=eTNoK2J4SjFVK2pudnpiZy8xblRZ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m+nB5wcZNPi94n8/irzWQmP7g==">CgMxLjAyCGguZ2pkZ3hzOAByITFidElTaTRpVnB1VUpPSEFVOExScTNUcEtLczdfamRXTA==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