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9360"/>
        <w:tblGridChange w:id="0">
          <w:tblGrid>
            <w:gridCol w:w="1728"/>
            <w:gridCol w:w="9360"/>
          </w:tblGrid>
        </w:tblGridChange>
      </w:tblGrid>
      <w:tr>
        <w:trPr>
          <w:cantSplit w:val="0"/>
          <w:tblHeader w:val="0"/>
        </w:trPr>
        <w:tc>
          <w:tcPr>
            <w:gridSpan w:val="2"/>
            <w:shd w:fill="b8cce4" w:val="clear"/>
          </w:tcPr>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VICTIM SERVICES COMMISSION MINUTES – pending approval</w:t>
            </w:r>
          </w:p>
        </w:tc>
      </w:tr>
      <w:tr>
        <w:trPr>
          <w:cantSplit w:val="0"/>
          <w:tblHeader w:val="0"/>
        </w:trPr>
        <w:tc>
          <w:tcPr>
            <w:shd w:fill="b8cce4" w:val="clear"/>
          </w:tcPr>
          <w:p w:rsidR="00000000" w:rsidDel="00000000" w:rsidP="00000000" w:rsidRDefault="00000000" w:rsidRPr="00000000" w14:paraId="00000004">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Committee</w:t>
            </w:r>
          </w:p>
        </w:tc>
        <w:tc>
          <w:tcPr>
            <w:shd w:fill="b8cce4" w:val="clear"/>
          </w:tcPr>
          <w:p w:rsidR="00000000" w:rsidDel="00000000" w:rsidP="00000000" w:rsidRDefault="00000000" w:rsidRPr="00000000" w14:paraId="00000005">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Utah Victim Services Commission (VSC)</w:t>
            </w:r>
          </w:p>
        </w:tc>
      </w:tr>
      <w:tr>
        <w:trPr>
          <w:cantSplit w:val="0"/>
          <w:tblHeader w:val="0"/>
        </w:trPr>
        <w:tc>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Date</w:t>
            </w:r>
          </w:p>
          <w:p w:rsidR="00000000" w:rsidDel="00000000" w:rsidP="00000000" w:rsidRDefault="00000000" w:rsidRPr="00000000" w14:paraId="00000007">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Time</w:t>
            </w:r>
          </w:p>
          <w:p w:rsidR="00000000" w:rsidDel="00000000" w:rsidP="00000000" w:rsidRDefault="00000000" w:rsidRPr="00000000" w14:paraId="00000008">
            <w:pPr>
              <w:rPr>
                <w:rFonts w:ascii="Cambria" w:cs="Cambria" w:eastAsia="Cambria" w:hAnsi="Cambria"/>
                <w:sz w:val="18"/>
                <w:szCs w:val="18"/>
              </w:rPr>
            </w:pPr>
            <w:r w:rsidDel="00000000" w:rsidR="00000000" w:rsidRPr="00000000">
              <w:rPr>
                <w:rFonts w:ascii="Cambria" w:cs="Cambria" w:eastAsia="Cambria" w:hAnsi="Cambria"/>
                <w:b w:val="1"/>
                <w:sz w:val="20"/>
                <w:szCs w:val="20"/>
                <w:rtl w:val="0"/>
              </w:rPr>
              <w:t xml:space="preserve">Location</w:t>
            </w:r>
            <w:r w:rsidDel="00000000" w:rsidR="00000000" w:rsidRPr="00000000">
              <w:rPr>
                <w:rtl w:val="0"/>
              </w:rPr>
            </w:r>
          </w:p>
        </w:tc>
        <w:tc>
          <w:tcPr>
            <w:vAlign w:val="center"/>
          </w:tcPr>
          <w:p w:rsidR="00000000" w:rsidDel="00000000" w:rsidP="00000000" w:rsidRDefault="00000000" w:rsidRPr="00000000" w14:paraId="00000009">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Wednesday, March 27th, 2024</w:t>
            </w:r>
          </w:p>
          <w:p w:rsidR="00000000" w:rsidDel="00000000" w:rsidP="00000000" w:rsidRDefault="00000000" w:rsidRPr="00000000" w14:paraId="0000000A">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12 PM - 2 PM</w:t>
            </w:r>
          </w:p>
          <w:p w:rsidR="00000000" w:rsidDel="00000000" w:rsidP="00000000" w:rsidRDefault="00000000" w:rsidRPr="00000000" w14:paraId="0000000B">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Hybrid Zoom Virtual meeting – Beehive Room, East Senate Building</w:t>
            </w:r>
          </w:p>
        </w:tc>
      </w:tr>
      <w:tr>
        <w:trPr>
          <w:cantSplit w:val="0"/>
          <w:trHeight w:val="395" w:hRule="atLeast"/>
          <w:tblHeader w:val="0"/>
        </w:trPr>
        <w:tc>
          <w:tcPr>
            <w:vAlign w:val="center"/>
          </w:tcPr>
          <w:p w:rsidR="00000000" w:rsidDel="00000000" w:rsidP="00000000" w:rsidRDefault="00000000" w:rsidRPr="00000000" w14:paraId="0000000C">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Members Present</w:t>
            </w:r>
            <w:r w:rsidDel="00000000" w:rsidR="00000000" w:rsidRPr="00000000">
              <w:rPr>
                <w:rtl w:val="0"/>
              </w:rPr>
            </w:r>
          </w:p>
        </w:tc>
        <w:tc>
          <w:tcPr/>
          <w:p w:rsidR="00000000" w:rsidDel="00000000" w:rsidP="00000000" w:rsidRDefault="00000000" w:rsidRPr="00000000" w14:paraId="0000000D">
            <w:pPr>
              <w:spacing w:line="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0E">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Virtual Attendance</w:t>
            </w:r>
            <w:r w:rsidDel="00000000" w:rsidR="00000000" w:rsidRPr="00000000">
              <w:rPr>
                <w:rFonts w:ascii="Cambria" w:cs="Cambria" w:eastAsia="Cambria" w:hAnsi="Cambria"/>
                <w:sz w:val="21"/>
                <w:szCs w:val="21"/>
                <w:rtl w:val="0"/>
              </w:rPr>
              <w:t xml:space="preserve">: Yolanda Francisco, David Litvack (for Tracy Gruber), Chief Sol Oberg, Sen. Jen Plumb, Gary Scheller, Nubia Pena, Greg Skordas, </w:t>
            </w:r>
          </w:p>
          <w:p w:rsidR="00000000" w:rsidDel="00000000" w:rsidP="00000000" w:rsidRDefault="00000000" w:rsidRPr="00000000" w14:paraId="0000000F">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0">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In-Person Attendance</w:t>
            </w:r>
            <w:r w:rsidDel="00000000" w:rsidR="00000000" w:rsidRPr="00000000">
              <w:rPr>
                <w:rFonts w:ascii="Cambria" w:cs="Cambria" w:eastAsia="Cambria" w:hAnsi="Cambria"/>
                <w:sz w:val="21"/>
                <w:szCs w:val="21"/>
                <w:rtl w:val="0"/>
              </w:rPr>
              <w:t xml:space="preserve">: Tracey Tabet, Ned Searle (for Tom Ross), Kristy Pike, Jennifer Campbell, Kaye Lynn Wooton (for Sean Reyes), Alissa Black, Jimmy Higgs (for Commissioner Jess Anderson)Matt Hansen, Jennifer Andrus</w:t>
            </w:r>
          </w:p>
        </w:tc>
      </w:tr>
      <w:tr>
        <w:trPr>
          <w:cantSplit w:val="0"/>
          <w:tblHeader w:val="0"/>
        </w:trPr>
        <w:tc>
          <w:tcPr>
            <w:vAlign w:val="center"/>
          </w:tcPr>
          <w:p w:rsidR="00000000" w:rsidDel="00000000" w:rsidP="00000000" w:rsidRDefault="00000000" w:rsidRPr="00000000" w14:paraId="00000011">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Staff &amp; </w:t>
            </w:r>
          </w:p>
          <w:p w:rsidR="00000000" w:rsidDel="00000000" w:rsidP="00000000" w:rsidRDefault="00000000" w:rsidRPr="00000000" w14:paraId="00000012">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Visitors</w:t>
            </w:r>
            <w:r w:rsidDel="00000000" w:rsidR="00000000" w:rsidRPr="00000000">
              <w:rPr>
                <w:rtl w:val="0"/>
              </w:rPr>
            </w:r>
          </w:p>
        </w:tc>
        <w:tc>
          <w:tcPr>
            <w:vAlign w:val="center"/>
          </w:tcPr>
          <w:p w:rsidR="00000000" w:rsidDel="00000000" w:rsidP="00000000" w:rsidRDefault="00000000" w:rsidRPr="00000000" w14:paraId="00000013">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Staff</w:t>
            </w:r>
            <w:r w:rsidDel="00000000" w:rsidR="00000000" w:rsidRPr="00000000">
              <w:rPr>
                <w:rFonts w:ascii="Cambria" w:cs="Cambria" w:eastAsia="Cambria" w:hAnsi="Cambria"/>
                <w:sz w:val="21"/>
                <w:szCs w:val="21"/>
                <w:rtl w:val="0"/>
              </w:rPr>
              <w:t xml:space="preserve">: Danica Bodley, Marlesse Jones, Rachelle Hill,  Michele Leslie (virtual), Elizabeth Klc (virtual), Ken Matthews (virtual)</w:t>
            </w:r>
          </w:p>
          <w:p w:rsidR="00000000" w:rsidDel="00000000" w:rsidP="00000000" w:rsidRDefault="00000000" w:rsidRPr="00000000" w14:paraId="00000014">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5">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Visitors</w:t>
            </w:r>
            <w:r w:rsidDel="00000000" w:rsidR="00000000" w:rsidRPr="00000000">
              <w:rPr>
                <w:rFonts w:ascii="Cambria" w:cs="Cambria" w:eastAsia="Cambria" w:hAnsi="Cambria"/>
                <w:sz w:val="21"/>
                <w:szCs w:val="21"/>
                <w:rtl w:val="0"/>
              </w:rPr>
              <w:t xml:space="preserve">:, Kimmi Wolf (virtual), Erin Jemison, Sam Candland (virtual), Mikaylee Sanchez Paz (virtual), Max Pierce (virtual), Brandon Merrill, Julia S., Missy Larson, Jennifer Yim (virtual), Jackson Fagen, Stephanie Lewis, Vickie Bushman (virtual), Madi Guthrie (virtual), Lana Taylor (virtual)</w:t>
            </w:r>
          </w:p>
        </w:tc>
      </w:tr>
      <w:tr>
        <w:trPr>
          <w:cantSplit w:val="0"/>
          <w:tblHeader w:val="0"/>
        </w:trPr>
        <w:tc>
          <w:tcPr>
            <w:shd w:fill="b8cce4" w:val="clear"/>
            <w:vAlign w:val="center"/>
          </w:tcPr>
          <w:p w:rsidR="00000000" w:rsidDel="00000000" w:rsidP="00000000" w:rsidRDefault="00000000" w:rsidRPr="00000000" w14:paraId="00000016">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vAlign w:val="bottom"/>
          </w:tcPr>
          <w:p w:rsidR="00000000" w:rsidDel="00000000" w:rsidP="00000000" w:rsidRDefault="00000000" w:rsidRPr="00000000" w14:paraId="00000017">
            <w:pPr>
              <w:pStyle w:val="Heading3"/>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Welcome &amp; Introductions/Establish Quorum – </w:t>
            </w:r>
            <w:r w:rsidDel="00000000" w:rsidR="00000000" w:rsidRPr="00000000">
              <w:rPr>
                <w:rFonts w:ascii="Cambria" w:cs="Cambria" w:eastAsia="Cambria" w:hAnsi="Cambria"/>
                <w:i w:val="1"/>
                <w:sz w:val="21"/>
                <w:szCs w:val="21"/>
                <w:rtl w:val="0"/>
              </w:rPr>
              <w:t xml:space="preserve">Tracey Tabet, Chair</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vAlign w:val="center"/>
          </w:tcPr>
          <w:p w:rsidR="00000000" w:rsidDel="00000000" w:rsidP="00000000" w:rsidRDefault="00000000" w:rsidRPr="00000000" w14:paraId="00000019">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Tracey Tabet welcomes everyone to the March Victim Services Commission (VSC) meeting.</w:t>
            </w:r>
          </w:p>
          <w:p w:rsidR="00000000" w:rsidDel="00000000" w:rsidP="00000000" w:rsidRDefault="00000000" w:rsidRPr="00000000" w14:paraId="0000001A">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B">
            <w:pPr>
              <w:spacing w:after="16" w:lineRule="auto"/>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Kristy Pike motions for the commission to approve the minutes from January 24th, 2024, as presented. Alissa Black seconds the motion. The motion passes unanimously with roll call vote.</w:t>
            </w:r>
          </w:p>
          <w:p w:rsidR="00000000" w:rsidDel="00000000" w:rsidP="00000000" w:rsidRDefault="00000000" w:rsidRPr="00000000" w14:paraId="0000001C">
            <w:pPr>
              <w:spacing w:after="16" w:lineRule="auto"/>
              <w:rPr>
                <w:rFonts w:ascii="Cambria" w:cs="Cambria" w:eastAsia="Cambria" w:hAnsi="Cambria"/>
                <w:sz w:val="21"/>
                <w:szCs w:val="21"/>
              </w:rPr>
            </w:pPr>
            <w:r w:rsidDel="00000000" w:rsidR="00000000" w:rsidRPr="00000000">
              <w:rPr>
                <w:rtl w:val="0"/>
              </w:rPr>
            </w:r>
          </w:p>
        </w:tc>
      </w:tr>
      <w:tr>
        <w:trPr>
          <w:cantSplit w:val="0"/>
          <w:trHeight w:val="180" w:hRule="atLeast"/>
          <w:tblHeader w:val="0"/>
        </w:trPr>
        <w:tc>
          <w:tcPr>
            <w:shd w:fill="b8cce4" w:val="clear"/>
          </w:tcPr>
          <w:p w:rsidR="00000000" w:rsidDel="00000000" w:rsidP="00000000" w:rsidRDefault="00000000" w:rsidRPr="00000000" w14:paraId="0000001D">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tcPr>
          <w:p w:rsidR="00000000" w:rsidDel="00000000" w:rsidP="00000000" w:rsidRDefault="00000000" w:rsidRPr="00000000" w14:paraId="0000001E">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Legislative Overview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Executive Director</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1F">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p w:rsidR="00000000" w:rsidDel="00000000" w:rsidP="00000000" w:rsidRDefault="00000000" w:rsidRPr="00000000" w14:paraId="00000020">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presents the statistics for the VSC’s work during the 2024 Legislative Session. The VSC had great involvement in the session. The VSC reviewed a total of 378 bills. Many members of the VSC and other organizations testified for bills impacting victims of crime.</w:t>
            </w:r>
          </w:p>
          <w:p w:rsidR="00000000" w:rsidDel="00000000" w:rsidP="00000000" w:rsidRDefault="00000000" w:rsidRPr="00000000" w14:paraId="00000021">
            <w:pPr>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22">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23">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CVC/VSC Transition  </w:t>
            </w:r>
            <w:r w:rsidDel="00000000" w:rsidR="00000000" w:rsidRPr="00000000">
              <w:rPr>
                <w:rFonts w:ascii="Cambria" w:cs="Cambria" w:eastAsia="Cambria" w:hAnsi="Cambria"/>
                <w:sz w:val="21"/>
                <w:szCs w:val="21"/>
                <w:rtl w:val="0"/>
              </w:rPr>
              <w:t xml:space="preserve">–</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Notes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discusses the transition process and period of the Crime Victims Council working with the Victim Services Commission.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Bills that will be reviewed and assessed for follow up by  subcommittees: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SB213 Criminal Justice Modifications - to child abuse subcommittee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HB308 Crime Victim Amendments - future victim rights group to review</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HB414 Due Process Amendments - to sexual assault/rape subcommittee</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HB322 Sexual Assault Investigations - to sexual assault/rape subcommittee</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HB327 Limitations on the Use of Polygraphs - to sexual assault/rape subcommittee</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HB272 Child Custody - to domestic violence  subcommittee; with overlap review by child abuse subcommittee and sexual assault/rape subcommittee</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1"/>
                <w:szCs w:val="21"/>
                <w:u w:val="none"/>
              </w:rPr>
            </w:pPr>
            <w:r w:rsidDel="00000000" w:rsidR="00000000" w:rsidRPr="00000000">
              <w:rPr>
                <w:rFonts w:ascii="Cambria" w:cs="Cambria" w:eastAsia="Cambria" w:hAnsi="Cambria"/>
                <w:sz w:val="21"/>
                <w:szCs w:val="21"/>
                <w:rtl w:val="0"/>
              </w:rPr>
              <w:t xml:space="preserve">HB218 Restitution Revisions - to domestic violence subcommittee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Jennifer Campbell motions for the commission to formally adopt the recommendations for assignments of committees and subcommittees under the proposed bills in legislation. Ned Searle (for Tom Ross) seconds the motion. The motion passes unanimously.</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mbria" w:cs="Cambria" w:eastAsia="Cambria" w:hAnsi="Cambria"/>
                <w:b w:val="1"/>
                <w:color w:val="000000"/>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32">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3">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Study Framework Discussion </w:t>
            </w:r>
            <w:r w:rsidDel="00000000" w:rsidR="00000000" w:rsidRPr="00000000">
              <w:rPr>
                <w:rFonts w:ascii="Cambria" w:cs="Cambria" w:eastAsia="Cambria" w:hAnsi="Cambria"/>
                <w:sz w:val="21"/>
                <w:szCs w:val="21"/>
                <w:rtl w:val="0"/>
              </w:rPr>
              <w:t xml:space="preserve">–</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Marlesse Jones, Director</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reviews and discusses the VSC assessment study framework progress. The framework includes the policies and recommendations proposed by the VSC members. The framework also includes a newly added landscape analysis. Analysis of the amount and combination of funding types for the VSC is needed to implement a comprehensive statewide system of victim services that meets current and estimated future needs. The framework includes identification of other issues that encircle victim’s experiences and how the VSC can better serve and assist victims.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Jennifer Andrus motions for the VSC to adopt the framework as proposed with upcoming modifications incorporating the input of commission members as appropriate. Kaye Lynn Wooton seconds the motion. The motion passes unanimously.</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39">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Other Business</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Notes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Marlesse Jones and Tracey Tabet speak of electing a new chair position for the Victim Services Commission. Three names must be selected and nominated by commission members before sending them to the governor for appointment.  Marlesse Jones will send out information for nomination/volunteering consideration.</w:t>
            </w:r>
          </w:p>
          <w:p w:rsidR="00000000" w:rsidDel="00000000" w:rsidP="00000000" w:rsidRDefault="00000000" w:rsidRPr="00000000" w14:paraId="0000003D">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A vote was not taken at this time due to there not being a quorum.</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0">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Public Comment</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Public comment was received during the meeting. No additional public comment was addressed.</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5">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sz w:val="21"/>
                <w:szCs w:val="21"/>
                <w:rtl w:val="0"/>
              </w:rPr>
              <w:t xml:space="preserve">Adjourn</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color w:val="000000"/>
                <w:sz w:val="21"/>
                <w:szCs w:val="21"/>
                <w:rtl w:val="0"/>
              </w:rPr>
              <w:t xml:space="preserve">Motion:</w:t>
            </w:r>
            <w:r w:rsidDel="00000000" w:rsidR="00000000" w:rsidRPr="00000000">
              <w:rPr>
                <w:rFonts w:ascii="Cambria" w:cs="Cambria" w:eastAsia="Cambria" w:hAnsi="Cambria"/>
                <w:color w:val="000000"/>
                <w:sz w:val="21"/>
                <w:szCs w:val="21"/>
                <w:rtl w:val="0"/>
              </w:rPr>
              <w:t xml:space="preserve"> </w:t>
            </w:r>
            <w:r w:rsidDel="00000000" w:rsidR="00000000" w:rsidRPr="00000000">
              <w:rPr>
                <w:rFonts w:ascii="Cambria" w:cs="Cambria" w:eastAsia="Cambria" w:hAnsi="Cambria"/>
                <w:sz w:val="21"/>
                <w:szCs w:val="21"/>
                <w:rtl w:val="0"/>
              </w:rPr>
              <w:t xml:space="preserve">Kristy Pike motions for the commission to adjourn. No opposition was made.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color w:val="000000"/>
                <w:sz w:val="21"/>
                <w:szCs w:val="21"/>
                <w:rtl w:val="0"/>
              </w:rPr>
              <w:t xml:space="preserve">The commission adjourns.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color w:val="000000"/>
                <w:sz w:val="21"/>
                <w:szCs w:val="21"/>
                <w:rtl w:val="0"/>
              </w:rPr>
              <w:t xml:space="preserve">Next </w:t>
            </w:r>
            <w:r w:rsidDel="00000000" w:rsidR="00000000" w:rsidRPr="00000000">
              <w:rPr>
                <w:rFonts w:ascii="Cambria" w:cs="Cambria" w:eastAsia="Cambria" w:hAnsi="Cambria"/>
                <w:sz w:val="21"/>
                <w:szCs w:val="21"/>
                <w:rtl w:val="0"/>
              </w:rPr>
              <w:t xml:space="preserve">meeting is scheduled</w:t>
            </w:r>
            <w:r w:rsidDel="00000000" w:rsidR="00000000" w:rsidRPr="00000000">
              <w:rPr>
                <w:rFonts w:ascii="Cambria" w:cs="Cambria" w:eastAsia="Cambria" w:hAnsi="Cambria"/>
                <w:color w:val="000000"/>
                <w:sz w:val="21"/>
                <w:szCs w:val="21"/>
                <w:rtl w:val="0"/>
              </w:rPr>
              <w:t xml:space="preserve"> for </w:t>
            </w:r>
            <w:r w:rsidDel="00000000" w:rsidR="00000000" w:rsidRPr="00000000">
              <w:rPr>
                <w:rFonts w:ascii="Cambria" w:cs="Cambria" w:eastAsia="Cambria" w:hAnsi="Cambria"/>
                <w:sz w:val="21"/>
                <w:szCs w:val="21"/>
                <w:rtl w:val="0"/>
              </w:rPr>
              <w:t xml:space="preserve">Wednesday, April 24th</w:t>
            </w:r>
            <w:r w:rsidDel="00000000" w:rsidR="00000000" w:rsidRPr="00000000">
              <w:rPr>
                <w:rFonts w:ascii="Cambria" w:cs="Cambria" w:eastAsia="Cambria" w:hAnsi="Cambria"/>
                <w:color w:val="000000"/>
                <w:sz w:val="21"/>
                <w:szCs w:val="21"/>
                <w:rtl w:val="0"/>
              </w:rPr>
              <w:t xml:space="preserve">, 202</w:t>
            </w:r>
            <w:r w:rsidDel="00000000" w:rsidR="00000000" w:rsidRPr="00000000">
              <w:rPr>
                <w:rFonts w:ascii="Cambria" w:cs="Cambria" w:eastAsia="Cambria" w:hAnsi="Cambria"/>
                <w:sz w:val="21"/>
                <w:szCs w:val="21"/>
                <w:rtl w:val="0"/>
              </w:rPr>
              <w:t xml:space="preserve">4</w:t>
            </w:r>
            <w:r w:rsidDel="00000000" w:rsidR="00000000" w:rsidRPr="00000000">
              <w:rPr>
                <w:rFonts w:ascii="Cambria" w:cs="Cambria" w:eastAsia="Cambria" w:hAnsi="Cambria"/>
                <w:color w:val="000000"/>
                <w:sz w:val="21"/>
                <w:szCs w:val="21"/>
                <w:rtl w:val="0"/>
              </w:rPr>
              <w:t xml:space="preserve"> from Noon-2 PM.</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bookmarkStart w:colFirst="0" w:colLast="0" w:name="_heading=h.gjdgxs" w:id="0"/>
            <w:bookmarkEnd w:id="0"/>
            <w:r w:rsidDel="00000000" w:rsidR="00000000" w:rsidRPr="00000000">
              <w:rPr>
                <w:rFonts w:ascii="Cambria" w:cs="Cambria" w:eastAsia="Cambria" w:hAnsi="Cambria"/>
                <w:color w:val="000000"/>
                <w:sz w:val="21"/>
                <w:szCs w:val="21"/>
                <w:rtl w:val="0"/>
              </w:rPr>
              <w:t xml:space="preserve">Location: </w:t>
            </w:r>
            <w:r w:rsidDel="00000000" w:rsidR="00000000" w:rsidRPr="00000000">
              <w:rPr>
                <w:rFonts w:ascii="Cambria" w:cs="Cambria" w:eastAsia="Cambria" w:hAnsi="Cambria"/>
                <w:color w:val="000000"/>
                <w:sz w:val="21"/>
                <w:szCs w:val="21"/>
                <w:u w:val="single"/>
                <w:rtl w:val="0"/>
              </w:rPr>
              <w:t xml:space="preserve">Anchor Location:</w:t>
            </w:r>
            <w:r w:rsidDel="00000000" w:rsidR="00000000" w:rsidRPr="00000000">
              <w:rPr>
                <w:rFonts w:ascii="Cambria" w:cs="Cambria" w:eastAsia="Cambria" w:hAnsi="Cambria"/>
                <w:color w:val="000000"/>
                <w:sz w:val="21"/>
                <w:szCs w:val="21"/>
                <w:rtl w:val="0"/>
              </w:rPr>
              <w:t xml:space="preserve"> </w:t>
            </w:r>
            <w:r w:rsidDel="00000000" w:rsidR="00000000" w:rsidRPr="00000000">
              <w:rPr>
                <w:rFonts w:ascii="Cambria" w:cs="Cambria" w:eastAsia="Cambria" w:hAnsi="Cambria"/>
                <w:sz w:val="21"/>
                <w:szCs w:val="21"/>
                <w:rtl w:val="0"/>
              </w:rPr>
              <w:t xml:space="preserve">Beehive Room, East Senate Bldg</w:t>
            </w:r>
            <w:r w:rsidDel="00000000" w:rsidR="00000000" w:rsidRPr="00000000">
              <w:rPr>
                <w:rtl w:val="0"/>
              </w:rPr>
            </w:r>
          </w:p>
          <w:p w:rsidR="00000000" w:rsidDel="00000000" w:rsidP="00000000" w:rsidRDefault="00000000" w:rsidRPr="00000000" w14:paraId="0000004D">
            <w:pPr>
              <w:rPr>
                <w:rFonts w:ascii="Cambria" w:cs="Cambria" w:eastAsia="Cambria" w:hAnsi="Cambria"/>
                <w:sz w:val="19"/>
                <w:szCs w:val="19"/>
              </w:rPr>
            </w:pPr>
            <w:r w:rsidDel="00000000" w:rsidR="00000000" w:rsidRPr="00000000">
              <w:rPr>
                <w:rFonts w:ascii="Cambria" w:cs="Cambria" w:eastAsia="Cambria" w:hAnsi="Cambria"/>
                <w:color w:val="000000"/>
                <w:sz w:val="21"/>
                <w:szCs w:val="21"/>
                <w:rtl w:val="0"/>
              </w:rPr>
              <w:t xml:space="preserve">Zoom link:</w:t>
            </w:r>
            <w:r w:rsidDel="00000000" w:rsidR="00000000" w:rsidRPr="00000000">
              <w:rPr>
                <w:rFonts w:ascii="Cambria" w:cs="Cambria" w:eastAsia="Cambria" w:hAnsi="Cambria"/>
                <w:sz w:val="21"/>
                <w:szCs w:val="21"/>
                <w:rtl w:val="0"/>
              </w:rPr>
              <w:t xml:space="preserve"> </w:t>
            </w:r>
            <w:hyperlink r:id="rId7">
              <w:r w:rsidDel="00000000" w:rsidR="00000000" w:rsidRPr="00000000">
                <w:rPr>
                  <w:rFonts w:ascii="Cambria" w:cs="Cambria" w:eastAsia="Cambria" w:hAnsi="Cambria"/>
                  <w:color w:val="1155cc"/>
                  <w:sz w:val="19"/>
                  <w:szCs w:val="19"/>
                  <w:u w:val="single"/>
                  <w:rtl w:val="0"/>
                </w:rPr>
                <w:t xml:space="preserve">https://utah-gov.zoom.us/j/83538749171?pwd=eFJwVTg3YW5mWEIzOFd0QUJXc2h6UT09</w:t>
              </w:r>
            </w:hyperlink>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sectPr>
      <w:footerReference r:id="rId8" w:type="default"/>
      <w:footerReference r:id="rId9"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017E"/>
    <w:rPr>
      <w:rFonts w:ascii="Times New Roman" w:cs="Times New Roman" w:eastAsia="Times New Roman" w:hAnsi="Times New Roman"/>
    </w:rPr>
  </w:style>
  <w:style w:type="paragraph" w:styleId="Heading3">
    <w:name w:val="heading 3"/>
    <w:basedOn w:val="Normal"/>
    <w:next w:val="Normal"/>
    <w:link w:val="Heading3Char"/>
    <w:uiPriority w:val="9"/>
    <w:unhideWhenUsed w:val="1"/>
    <w:qFormat w:val="1"/>
    <w:rsid w:val="00B5581C"/>
    <w:pPr>
      <w:keepNext w:val="1"/>
      <w:spacing w:after="16"/>
      <w:outlineLvl w:val="2"/>
    </w:pPr>
    <w:rPr>
      <w:b w:val="1"/>
      <w:snapToGrid w:val="0"/>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5581C"/>
    <w:rPr>
      <w:rFonts w:ascii="Times New Roman" w:cs="Times New Roman" w:eastAsia="Times New Roman" w:hAnsi="Times New Roman"/>
      <w:b w:val="1"/>
      <w:snapToGrid w:val="0"/>
      <w:sz w:val="22"/>
      <w:szCs w:val="20"/>
    </w:rPr>
  </w:style>
  <w:style w:type="character" w:styleId="Hyperlink">
    <w:name w:val="Hyperlink"/>
    <w:uiPriority w:val="99"/>
    <w:rsid w:val="00B5581C"/>
    <w:rPr>
      <w:color w:val="0000ff"/>
      <w:u w:val="single"/>
    </w:rPr>
  </w:style>
  <w:style w:type="paragraph" w:styleId="ListParagraph">
    <w:name w:val="List Paragraph"/>
    <w:basedOn w:val="Normal"/>
    <w:uiPriority w:val="34"/>
    <w:qFormat w:val="1"/>
    <w:rsid w:val="006870FF"/>
    <w:pPr>
      <w:ind w:left="720"/>
      <w:contextualSpacing w:val="1"/>
    </w:pPr>
    <w:rPr>
      <w:rFonts w:asciiTheme="minorHAnsi" w:cstheme="minorBidi" w:eastAsiaTheme="minorHAnsi" w:hAnsiTheme="minorHAnsi"/>
    </w:rPr>
  </w:style>
  <w:style w:type="paragraph" w:styleId="NormalWeb">
    <w:name w:val="Normal (Web)"/>
    <w:basedOn w:val="Normal"/>
    <w:uiPriority w:val="99"/>
    <w:unhideWhenUsed w:val="1"/>
    <w:rsid w:val="00D82803"/>
    <w:pPr>
      <w:spacing w:after="100" w:afterAutospacing="1" w:before="100" w:beforeAutospacing="1"/>
    </w:pPr>
  </w:style>
  <w:style w:type="character" w:styleId="FollowedHyperlink">
    <w:name w:val="FollowedHyperlink"/>
    <w:basedOn w:val="DefaultParagraphFont"/>
    <w:uiPriority w:val="99"/>
    <w:semiHidden w:val="1"/>
    <w:unhideWhenUsed w:val="1"/>
    <w:rsid w:val="00697EF3"/>
    <w:rPr>
      <w:color w:val="954f72" w:themeColor="followedHyperlink"/>
      <w:u w:val="single"/>
    </w:rPr>
  </w:style>
  <w:style w:type="character" w:styleId="UnresolvedMention1" w:customStyle="1">
    <w:name w:val="Unresolved Mention1"/>
    <w:basedOn w:val="DefaultParagraphFont"/>
    <w:uiPriority w:val="99"/>
    <w:semiHidden w:val="1"/>
    <w:unhideWhenUsed w:val="1"/>
    <w:rsid w:val="00A941A2"/>
    <w:rPr>
      <w:color w:val="605e5c"/>
      <w:shd w:color="auto" w:fill="e1dfdd" w:val="clear"/>
    </w:rPr>
  </w:style>
  <w:style w:type="paragraph" w:styleId="Header">
    <w:name w:val="header"/>
    <w:basedOn w:val="Normal"/>
    <w:link w:val="HeaderChar"/>
    <w:uiPriority w:val="99"/>
    <w:unhideWhenUsed w:val="1"/>
    <w:rsid w:val="000174D7"/>
    <w:pPr>
      <w:tabs>
        <w:tab w:val="center" w:pos="4680"/>
        <w:tab w:val="right" w:pos="9360"/>
      </w:tabs>
    </w:pPr>
  </w:style>
  <w:style w:type="character" w:styleId="HeaderChar" w:customStyle="1">
    <w:name w:val="Header Char"/>
    <w:basedOn w:val="DefaultParagraphFont"/>
    <w:link w:val="Header"/>
    <w:uiPriority w:val="99"/>
    <w:rsid w:val="000174D7"/>
    <w:rPr>
      <w:rFonts w:ascii="Times New Roman" w:cs="Times New Roman" w:eastAsia="Times New Roman" w:hAnsi="Times New Roman"/>
    </w:rPr>
  </w:style>
  <w:style w:type="paragraph" w:styleId="Footer">
    <w:name w:val="footer"/>
    <w:basedOn w:val="Normal"/>
    <w:link w:val="FooterChar"/>
    <w:uiPriority w:val="99"/>
    <w:unhideWhenUsed w:val="1"/>
    <w:rsid w:val="000174D7"/>
    <w:pPr>
      <w:tabs>
        <w:tab w:val="center" w:pos="4680"/>
        <w:tab w:val="right" w:pos="9360"/>
      </w:tabs>
    </w:pPr>
  </w:style>
  <w:style w:type="character" w:styleId="FooterChar" w:customStyle="1">
    <w:name w:val="Footer Char"/>
    <w:basedOn w:val="DefaultParagraphFont"/>
    <w:link w:val="Footer"/>
    <w:uiPriority w:val="99"/>
    <w:rsid w:val="000174D7"/>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3F0A6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tah-gov.zoom.us/j/83538749171?pwd=eFJwVTg3YW5mWEIzOFd0QUJXc2h6UT09"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8JOyMiFcU+xnw4/eLOqh6ZG5w==">CgMxLjAyCGguZ2pkZ3hzOAByITF3MHI4ejZfY2stM0ZXMEhnTTJ3aDZHVU1NQ0d2TmZZTQ==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2023-11-17T23:19:00Z</dcterms:created>
  <dc:creator>Danica Bodley</dc:creator>
</cp:coreProperties>
</file>