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D6AB1" w14:textId="3E78E575" w:rsidR="00EC3A45" w:rsidRPr="00870B7E" w:rsidRDefault="000856D8">
      <w:pPr>
        <w:spacing w:after="0" w:line="240" w:lineRule="auto"/>
        <w:jc w:val="center"/>
        <w:rPr>
          <w:rFonts w:ascii="Arial" w:eastAsia="Times New Roman" w:hAnsi="Arial" w:cs="Arial"/>
          <w:b/>
          <w:sz w:val="27"/>
          <w:szCs w:val="27"/>
          <w:u w:val="single"/>
        </w:rPr>
      </w:pPr>
      <w:r w:rsidRPr="00870B7E">
        <w:rPr>
          <w:rFonts w:ascii="Arial" w:eastAsia="Times New Roman" w:hAnsi="Arial" w:cs="Arial"/>
          <w:b/>
          <w:sz w:val="27"/>
          <w:szCs w:val="27"/>
          <w:u w:val="single"/>
        </w:rPr>
        <w:t>GO</w:t>
      </w:r>
      <w:r w:rsidR="00AB54C1" w:rsidRPr="00870B7E">
        <w:rPr>
          <w:rFonts w:ascii="Arial" w:eastAsia="Times New Roman" w:hAnsi="Arial" w:cs="Arial"/>
          <w:b/>
          <w:sz w:val="27"/>
          <w:szCs w:val="27"/>
          <w:u w:val="single"/>
        </w:rPr>
        <w:t>EO</w:t>
      </w:r>
      <w:r w:rsidR="00F24FCD" w:rsidRPr="00870B7E">
        <w:rPr>
          <w:rFonts w:ascii="Arial" w:eastAsia="Times New Roman" w:hAnsi="Arial" w:cs="Arial"/>
          <w:b/>
          <w:sz w:val="27"/>
          <w:szCs w:val="27"/>
          <w:u w:val="single"/>
        </w:rPr>
        <w:t xml:space="preserve"> BOARD EXECUTIVE SUMMARY</w:t>
      </w:r>
    </w:p>
    <w:p w14:paraId="4FB3038F" w14:textId="2DD2AD97" w:rsidR="00EC3A45" w:rsidRPr="00870B7E" w:rsidRDefault="00CD651E">
      <w:pPr>
        <w:spacing w:after="0" w:line="240" w:lineRule="auto"/>
        <w:jc w:val="center"/>
        <w:rPr>
          <w:rFonts w:ascii="Arial" w:hAnsi="Arial" w:cs="Arial"/>
          <w:b/>
          <w:sz w:val="24"/>
          <w:szCs w:val="24"/>
        </w:rPr>
      </w:pPr>
      <w:r>
        <w:rPr>
          <w:rFonts w:ascii="Arial" w:hAnsi="Arial" w:cs="Arial"/>
          <w:b/>
          <w:color w:val="222222"/>
        </w:rPr>
        <w:t>Torus, Inc.</w:t>
      </w:r>
    </w:p>
    <w:p w14:paraId="219C5726" w14:textId="6B9C0974" w:rsidR="00EC3A45" w:rsidRPr="00870B7E" w:rsidRDefault="00D24039">
      <w:pPr>
        <w:pBdr>
          <w:bottom w:val="single" w:sz="4" w:space="1" w:color="000000"/>
        </w:pBdr>
        <w:spacing w:after="0" w:line="240" w:lineRule="auto"/>
        <w:jc w:val="center"/>
        <w:rPr>
          <w:rFonts w:ascii="Arial" w:eastAsia="Times New Roman" w:hAnsi="Arial" w:cs="Arial"/>
          <w:b/>
          <w:sz w:val="24"/>
          <w:szCs w:val="24"/>
        </w:rPr>
      </w:pPr>
      <w:r w:rsidRPr="00870B7E">
        <w:rPr>
          <w:rFonts w:ascii="Arial" w:eastAsia="Times New Roman" w:hAnsi="Arial" w:cs="Arial"/>
          <w:b/>
          <w:sz w:val="24"/>
          <w:szCs w:val="24"/>
        </w:rPr>
        <w:t>September 12, 2024</w:t>
      </w:r>
    </w:p>
    <w:p w14:paraId="05C80A40" w14:textId="77777777" w:rsidR="00EC3A45" w:rsidRPr="00870B7E" w:rsidRDefault="00EC3A45" w:rsidP="00C83A17">
      <w:pPr>
        <w:ind w:left="720"/>
        <w:rPr>
          <w:rFonts w:ascii="Arial" w:eastAsia="Times New Roman" w:hAnsi="Arial" w:cs="Arial"/>
          <w:b/>
          <w:u w:val="single"/>
        </w:rPr>
      </w:pPr>
    </w:p>
    <w:p w14:paraId="663DEAA0" w14:textId="77777777" w:rsidR="00EC3A45" w:rsidRPr="00870B7E" w:rsidRDefault="00F24FCD" w:rsidP="00C83A17">
      <w:pPr>
        <w:ind w:left="720"/>
        <w:rPr>
          <w:rFonts w:ascii="Arial" w:eastAsia="Times New Roman" w:hAnsi="Arial" w:cs="Arial"/>
          <w:u w:val="single"/>
        </w:rPr>
      </w:pPr>
      <w:r w:rsidRPr="00870B7E">
        <w:rPr>
          <w:rFonts w:ascii="Arial" w:eastAsia="Times New Roman" w:hAnsi="Arial" w:cs="Arial"/>
          <w:b/>
          <w:u w:val="single"/>
        </w:rPr>
        <w:t>Project Highlights</w:t>
      </w:r>
    </w:p>
    <w:p w14:paraId="705EF0DC" w14:textId="54F94693"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 xml:space="preserve">Timeline: </w:t>
      </w:r>
      <w:r w:rsidRPr="00870B7E">
        <w:rPr>
          <w:rFonts w:ascii="Arial" w:eastAsia="Times New Roman" w:hAnsi="Arial" w:cs="Arial"/>
        </w:rPr>
        <w:tab/>
      </w:r>
      <w:r w:rsidRPr="00870B7E">
        <w:rPr>
          <w:rFonts w:ascii="Arial" w:eastAsia="Times New Roman" w:hAnsi="Arial" w:cs="Arial"/>
        </w:rPr>
        <w:tab/>
      </w:r>
      <w:r w:rsidRPr="00870B7E">
        <w:rPr>
          <w:rFonts w:ascii="Arial" w:eastAsia="Times New Roman" w:hAnsi="Arial" w:cs="Arial"/>
        </w:rPr>
        <w:tab/>
      </w:r>
      <w:r w:rsidR="00870B7E" w:rsidRPr="00870B7E">
        <w:rPr>
          <w:rFonts w:ascii="Arial" w:eastAsia="Times New Roman" w:hAnsi="Arial" w:cs="Arial"/>
        </w:rPr>
        <w:t>2024</w:t>
      </w:r>
      <w:r w:rsidRPr="00870B7E">
        <w:rPr>
          <w:rFonts w:ascii="Arial" w:eastAsia="Times New Roman" w:hAnsi="Arial" w:cs="Arial"/>
        </w:rPr>
        <w:tab/>
      </w:r>
    </w:p>
    <w:p w14:paraId="2F4965A2" w14:textId="0DFEF91C" w:rsidR="008C0121" w:rsidRPr="00870B7E" w:rsidRDefault="00F24FCD" w:rsidP="00870B7E">
      <w:pPr>
        <w:spacing w:after="0" w:line="240" w:lineRule="auto"/>
        <w:ind w:left="720"/>
        <w:rPr>
          <w:rFonts w:ascii="Arial" w:eastAsia="Times New Roman" w:hAnsi="Arial" w:cs="Arial"/>
        </w:rPr>
      </w:pPr>
      <w:r w:rsidRPr="00870B7E">
        <w:rPr>
          <w:rFonts w:ascii="Arial" w:eastAsia="Times New Roman" w:hAnsi="Arial" w:cs="Arial"/>
        </w:rPr>
        <w:tab/>
        <w:t>Target Industry:</w:t>
      </w:r>
      <w:r w:rsidRPr="00870B7E">
        <w:rPr>
          <w:rFonts w:ascii="Arial" w:eastAsia="Times New Roman" w:hAnsi="Arial" w:cs="Arial"/>
        </w:rPr>
        <w:tab/>
      </w:r>
      <w:r w:rsidRPr="00870B7E">
        <w:rPr>
          <w:rFonts w:ascii="Arial" w:eastAsia="Times New Roman" w:hAnsi="Arial" w:cs="Arial"/>
        </w:rPr>
        <w:tab/>
      </w:r>
      <w:r w:rsidR="007376F8">
        <w:rPr>
          <w:rFonts w:ascii="Arial" w:eastAsia="Times New Roman" w:hAnsi="Arial" w:cs="Arial"/>
        </w:rPr>
        <w:t xml:space="preserve">Advanced </w:t>
      </w:r>
      <w:r w:rsidR="00CD651E">
        <w:rPr>
          <w:rFonts w:ascii="Arial" w:eastAsia="Times New Roman" w:hAnsi="Arial" w:cs="Arial"/>
        </w:rPr>
        <w:t>Manufacturing</w:t>
      </w:r>
      <w:r w:rsidR="004F4A6A" w:rsidRPr="00870B7E">
        <w:rPr>
          <w:rFonts w:ascii="Arial" w:eastAsia="Times New Roman" w:hAnsi="Arial" w:cs="Arial"/>
          <w:strike/>
        </w:rPr>
        <w:br/>
      </w:r>
      <w:r w:rsidR="004F4A6A" w:rsidRPr="00870B7E">
        <w:rPr>
          <w:rFonts w:ascii="Arial" w:eastAsia="Times New Roman" w:hAnsi="Arial" w:cs="Arial"/>
        </w:rPr>
        <w:tab/>
        <w:t>County:</w:t>
      </w:r>
      <w:r w:rsidR="004F4A6A" w:rsidRPr="00870B7E">
        <w:rPr>
          <w:rFonts w:ascii="Arial" w:eastAsia="Times New Roman" w:hAnsi="Arial" w:cs="Arial"/>
        </w:rPr>
        <w:tab/>
      </w:r>
      <w:r w:rsidR="004F4A6A" w:rsidRPr="00870B7E">
        <w:rPr>
          <w:rFonts w:ascii="Arial" w:eastAsia="Times New Roman" w:hAnsi="Arial" w:cs="Arial"/>
        </w:rPr>
        <w:tab/>
      </w:r>
      <w:r w:rsidR="00870B7E">
        <w:rPr>
          <w:rFonts w:ascii="Arial" w:eastAsia="Times New Roman" w:hAnsi="Arial" w:cs="Arial"/>
        </w:rPr>
        <w:tab/>
      </w:r>
      <w:r w:rsidR="00870B7E" w:rsidRPr="00870B7E">
        <w:rPr>
          <w:rFonts w:ascii="Arial" w:eastAsia="Times New Roman" w:hAnsi="Arial" w:cs="Arial"/>
        </w:rPr>
        <w:t>Salt Lake County</w:t>
      </w:r>
      <w:r w:rsidR="004F4A6A" w:rsidRPr="00870B7E">
        <w:rPr>
          <w:rFonts w:ascii="Arial" w:eastAsia="Times New Roman" w:hAnsi="Arial" w:cs="Arial"/>
        </w:rPr>
        <w:br/>
      </w:r>
      <w:r w:rsidR="004F4A6A" w:rsidRPr="00870B7E">
        <w:rPr>
          <w:rFonts w:ascii="Arial" w:eastAsia="Times New Roman" w:hAnsi="Arial" w:cs="Arial"/>
        </w:rPr>
        <w:tab/>
      </w:r>
      <w:proofErr w:type="spellStart"/>
      <w:r w:rsidR="004F4A6A" w:rsidRPr="00870B7E">
        <w:rPr>
          <w:rFonts w:ascii="Arial" w:eastAsia="Times New Roman" w:hAnsi="Arial" w:cs="Arial"/>
        </w:rPr>
        <w:t>County</w:t>
      </w:r>
      <w:proofErr w:type="spellEnd"/>
      <w:r w:rsidR="004F4A6A" w:rsidRPr="00870B7E">
        <w:rPr>
          <w:rFonts w:ascii="Arial" w:eastAsia="Times New Roman" w:hAnsi="Arial" w:cs="Arial"/>
        </w:rPr>
        <w:t xml:space="preserve"> Class:</w:t>
      </w:r>
      <w:r w:rsidR="004F4A6A" w:rsidRPr="00870B7E">
        <w:rPr>
          <w:rFonts w:ascii="Arial" w:eastAsia="Times New Roman" w:hAnsi="Arial" w:cs="Arial"/>
        </w:rPr>
        <w:tab/>
      </w:r>
      <w:r w:rsidR="004F4A6A" w:rsidRPr="00870B7E">
        <w:rPr>
          <w:rFonts w:ascii="Arial" w:eastAsia="Times New Roman" w:hAnsi="Arial" w:cs="Arial"/>
        </w:rPr>
        <w:tab/>
      </w:r>
      <w:r w:rsidR="004F4A6A" w:rsidRPr="00870B7E">
        <w:rPr>
          <w:rFonts w:ascii="Arial" w:eastAsia="Times New Roman" w:hAnsi="Arial" w:cs="Arial"/>
        </w:rPr>
        <w:tab/>
      </w:r>
      <w:r w:rsidR="00870B7E" w:rsidRPr="00870B7E">
        <w:rPr>
          <w:rFonts w:ascii="Arial" w:eastAsia="Times New Roman" w:hAnsi="Arial" w:cs="Arial"/>
        </w:rPr>
        <w:t>1</w:t>
      </w:r>
    </w:p>
    <w:p w14:paraId="2DCCBA17" w14:textId="600EADD1"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 xml:space="preserve">Capital Investment: </w:t>
      </w:r>
      <w:r w:rsidRPr="00870B7E">
        <w:rPr>
          <w:rFonts w:ascii="Arial" w:eastAsia="Times New Roman" w:hAnsi="Arial" w:cs="Arial"/>
        </w:rPr>
        <w:tab/>
      </w:r>
      <w:r w:rsidRPr="00870B7E">
        <w:rPr>
          <w:rFonts w:ascii="Arial" w:eastAsia="Times New Roman" w:hAnsi="Arial" w:cs="Arial"/>
        </w:rPr>
        <w:tab/>
        <w:t>$</w:t>
      </w:r>
      <w:r w:rsidR="00CD651E">
        <w:rPr>
          <w:rFonts w:ascii="Arial" w:eastAsia="Times New Roman" w:hAnsi="Arial" w:cs="Arial"/>
        </w:rPr>
        <w:t>10,000,000</w:t>
      </w:r>
    </w:p>
    <w:p w14:paraId="220BCDB6" w14:textId="5E7A68FF"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Jobs:</w:t>
      </w:r>
      <w:r w:rsidRPr="00870B7E">
        <w:rPr>
          <w:rFonts w:ascii="Arial" w:eastAsia="Times New Roman" w:hAnsi="Arial" w:cs="Arial"/>
        </w:rPr>
        <w:tab/>
      </w:r>
      <w:r w:rsidRPr="00870B7E">
        <w:rPr>
          <w:rFonts w:ascii="Arial" w:eastAsia="Times New Roman" w:hAnsi="Arial" w:cs="Arial"/>
        </w:rPr>
        <w:tab/>
      </w:r>
      <w:r w:rsidRPr="00870B7E">
        <w:rPr>
          <w:rFonts w:ascii="Arial" w:eastAsia="Times New Roman" w:hAnsi="Arial" w:cs="Arial"/>
        </w:rPr>
        <w:tab/>
      </w:r>
      <w:r w:rsidRPr="00870B7E">
        <w:rPr>
          <w:rFonts w:ascii="Arial" w:eastAsia="Times New Roman" w:hAnsi="Arial" w:cs="Arial"/>
        </w:rPr>
        <w:tab/>
      </w:r>
      <w:r w:rsidR="00870B7E" w:rsidRPr="00870B7E">
        <w:rPr>
          <w:rFonts w:ascii="Arial" w:eastAsia="Times New Roman" w:hAnsi="Arial" w:cs="Arial"/>
        </w:rPr>
        <w:t>1</w:t>
      </w:r>
      <w:r w:rsidR="00CD651E">
        <w:rPr>
          <w:rFonts w:ascii="Arial" w:eastAsia="Times New Roman" w:hAnsi="Arial" w:cs="Arial"/>
        </w:rPr>
        <w:t>7</w:t>
      </w:r>
      <w:r w:rsidR="00870B7E" w:rsidRPr="00870B7E">
        <w:rPr>
          <w:rFonts w:ascii="Arial" w:eastAsia="Times New Roman" w:hAnsi="Arial" w:cs="Arial"/>
        </w:rPr>
        <w:t>2</w:t>
      </w:r>
    </w:p>
    <w:p w14:paraId="39DF924A" w14:textId="3C1639B9"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Average Wage:</w:t>
      </w:r>
      <w:r w:rsidRPr="00870B7E">
        <w:rPr>
          <w:rFonts w:ascii="Arial" w:eastAsia="Times New Roman" w:hAnsi="Arial" w:cs="Arial"/>
        </w:rPr>
        <w:tab/>
      </w:r>
      <w:r w:rsidRPr="00870B7E">
        <w:rPr>
          <w:rFonts w:ascii="Arial" w:eastAsia="Times New Roman" w:hAnsi="Arial" w:cs="Arial"/>
        </w:rPr>
        <w:tab/>
        <w:t>$</w:t>
      </w:r>
      <w:r w:rsidR="00CD651E">
        <w:rPr>
          <w:rFonts w:ascii="Arial" w:eastAsia="Times New Roman" w:hAnsi="Arial" w:cs="Arial"/>
        </w:rPr>
        <w:t>122,933</w:t>
      </w:r>
    </w:p>
    <w:p w14:paraId="50FBEC2F" w14:textId="77777777" w:rsidR="00EC3A45" w:rsidRPr="00870B7E" w:rsidRDefault="00EC3A45" w:rsidP="00C83A17">
      <w:pPr>
        <w:spacing w:after="0" w:line="240" w:lineRule="auto"/>
        <w:ind w:left="720"/>
        <w:rPr>
          <w:rFonts w:ascii="Arial" w:eastAsia="Times New Roman" w:hAnsi="Arial" w:cs="Arial"/>
          <w:b/>
          <w:u w:val="single"/>
        </w:rPr>
      </w:pPr>
    </w:p>
    <w:p w14:paraId="4766903F" w14:textId="77777777" w:rsidR="001E3EB1" w:rsidRPr="00870B7E" w:rsidRDefault="00F24FCD" w:rsidP="00870B7E">
      <w:pPr>
        <w:spacing w:after="0" w:line="240" w:lineRule="auto"/>
        <w:ind w:left="720" w:right="864"/>
        <w:rPr>
          <w:rFonts w:ascii="Arial" w:hAnsi="Arial" w:cs="Arial"/>
          <w:iCs/>
        </w:rPr>
      </w:pPr>
      <w:r w:rsidRPr="00870B7E">
        <w:rPr>
          <w:rFonts w:ascii="Arial" w:eastAsia="Times New Roman" w:hAnsi="Arial" w:cs="Arial"/>
          <w:b/>
          <w:u w:val="single"/>
        </w:rPr>
        <w:t>Company Overview</w:t>
      </w:r>
      <w:r w:rsidRPr="00870B7E">
        <w:rPr>
          <w:rFonts w:ascii="Arial" w:eastAsia="Times New Roman" w:hAnsi="Arial" w:cs="Arial"/>
        </w:rPr>
        <w:br/>
      </w:r>
    </w:p>
    <w:p w14:paraId="5A161B49" w14:textId="56B91F5B" w:rsidR="00C573C4" w:rsidRPr="00870B7E" w:rsidRDefault="00CD651E" w:rsidP="00870B7E">
      <w:pPr>
        <w:spacing w:after="0" w:line="240" w:lineRule="auto"/>
        <w:ind w:left="720" w:right="864"/>
        <w:rPr>
          <w:rFonts w:ascii="Arial" w:hAnsi="Arial" w:cs="Arial"/>
          <w:iCs/>
        </w:rPr>
      </w:pPr>
      <w:r w:rsidRPr="00CD651E">
        <w:rPr>
          <w:rFonts w:ascii="Arial" w:hAnsi="Arial" w:cs="Arial"/>
          <w:iCs/>
        </w:rPr>
        <w:t>Torus is a global energy solutions company that designs, engineers, and manufactures energy storage and management products for the residential, commercial, and large-scale utility sectors. The company's mission is to empower communities and individuals to become their own renewable energy providers, thereby making clean, renewable energy storage and management products accessible to all. Torus recently opened a manufacturing facility in South Salt Lake City, UT and has a team of ~70 people, the majority of which are engineers. Torus is committed to American-made manufacturing and solely uses US-made steel in the fabrication of its products.</w:t>
      </w:r>
    </w:p>
    <w:p w14:paraId="21F910FF" w14:textId="77777777" w:rsidR="00870B7E" w:rsidRPr="0016048E" w:rsidRDefault="00870B7E" w:rsidP="00870B7E">
      <w:pPr>
        <w:spacing w:after="0" w:line="240" w:lineRule="auto"/>
        <w:ind w:left="720" w:right="864"/>
        <w:rPr>
          <w:rFonts w:ascii="Times New Roman" w:hAnsi="Times New Roman" w:cs="Times New Roman"/>
          <w:iCs/>
        </w:rPr>
      </w:pPr>
    </w:p>
    <w:tbl>
      <w:tblPr>
        <w:tblStyle w:val="a"/>
        <w:tblW w:w="957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7488"/>
        <w:gridCol w:w="2088"/>
      </w:tblGrid>
      <w:tr w:rsidR="00EC3A45" w:rsidRPr="00870B7E" w14:paraId="3BD4868D" w14:textId="77777777">
        <w:tc>
          <w:tcPr>
            <w:tcW w:w="7488" w:type="dxa"/>
          </w:tcPr>
          <w:p w14:paraId="08C39B0C" w14:textId="77777777" w:rsidR="00870B7E" w:rsidRPr="00870B7E" w:rsidRDefault="00870B7E" w:rsidP="00870B7E">
            <w:pPr>
              <w:spacing w:after="0" w:line="240" w:lineRule="auto"/>
              <w:rPr>
                <w:rFonts w:ascii="Arial" w:eastAsia="Times New Roman" w:hAnsi="Arial" w:cs="Arial"/>
                <w:b/>
                <w:u w:val="single"/>
              </w:rPr>
            </w:pPr>
          </w:p>
          <w:p w14:paraId="199FE1F4" w14:textId="6B0DBAC9" w:rsidR="00EC3A45" w:rsidRPr="00870B7E" w:rsidRDefault="00F24FCD" w:rsidP="00870B7E">
            <w:pPr>
              <w:spacing w:after="0" w:line="240" w:lineRule="auto"/>
              <w:rPr>
                <w:rFonts w:ascii="Arial" w:eastAsia="Times New Roman" w:hAnsi="Arial" w:cs="Arial"/>
              </w:rPr>
            </w:pPr>
            <w:r w:rsidRPr="00870B7E">
              <w:rPr>
                <w:rFonts w:ascii="Arial" w:eastAsia="Times New Roman" w:hAnsi="Arial" w:cs="Arial"/>
                <w:b/>
                <w:u w:val="single"/>
              </w:rPr>
              <w:t xml:space="preserve">Incentives Committee Recommendation </w:t>
            </w:r>
          </w:p>
          <w:p w14:paraId="25AC1905" w14:textId="77777777" w:rsidR="00EC3A45" w:rsidRPr="00870B7E" w:rsidRDefault="00F24FCD" w:rsidP="00870B7E">
            <w:pPr>
              <w:spacing w:after="0" w:line="240" w:lineRule="auto"/>
              <w:rPr>
                <w:rFonts w:ascii="Arial" w:eastAsia="Times New Roman" w:hAnsi="Arial" w:cs="Arial"/>
                <w:b/>
                <w:u w:val="single"/>
              </w:rPr>
            </w:pPr>
            <w:r w:rsidRPr="00870B7E">
              <w:rPr>
                <w:rFonts w:ascii="Arial" w:eastAsia="Times New Roman" w:hAnsi="Arial" w:cs="Arial"/>
              </w:rPr>
              <w:t>Total amount of EDTIF, post-performance refundable tax credit:</w:t>
            </w:r>
          </w:p>
        </w:tc>
        <w:tc>
          <w:tcPr>
            <w:tcW w:w="2088" w:type="dxa"/>
            <w:vAlign w:val="bottom"/>
          </w:tcPr>
          <w:p w14:paraId="5648A450" w14:textId="06E1F41E" w:rsidR="00EC3A45" w:rsidRPr="00870B7E" w:rsidRDefault="0016048E" w:rsidP="0016048E">
            <w:pPr>
              <w:spacing w:after="0" w:line="240" w:lineRule="auto"/>
              <w:rPr>
                <w:rFonts w:ascii="Arial" w:eastAsia="Times New Roman" w:hAnsi="Arial" w:cs="Arial"/>
                <w:b/>
              </w:rPr>
            </w:pPr>
            <w:r w:rsidRPr="00870B7E">
              <w:rPr>
                <w:rFonts w:ascii="Arial" w:hAnsi="Arial" w:cs="Arial"/>
                <w:b/>
              </w:rPr>
              <w:t xml:space="preserve">           $</w:t>
            </w:r>
            <w:r w:rsidR="00CD651E">
              <w:rPr>
                <w:rFonts w:ascii="Arial" w:hAnsi="Arial" w:cs="Arial"/>
                <w:b/>
              </w:rPr>
              <w:t>1,943,145</w:t>
            </w:r>
          </w:p>
        </w:tc>
      </w:tr>
      <w:tr w:rsidR="00185106" w:rsidRPr="00870B7E" w14:paraId="263C64EF" w14:textId="77777777">
        <w:tc>
          <w:tcPr>
            <w:tcW w:w="7488" w:type="dxa"/>
          </w:tcPr>
          <w:p w14:paraId="633AA1DE" w14:textId="77777777" w:rsidR="00185106" w:rsidRPr="00870B7E" w:rsidRDefault="00185106" w:rsidP="00870B7E">
            <w:pPr>
              <w:spacing w:after="0" w:line="240" w:lineRule="auto"/>
              <w:rPr>
                <w:rFonts w:ascii="Arial" w:eastAsia="Times New Roman" w:hAnsi="Arial" w:cs="Arial"/>
              </w:rPr>
            </w:pPr>
            <w:r w:rsidRPr="00870B7E">
              <w:rPr>
                <w:rFonts w:ascii="Arial" w:eastAsia="Times New Roman" w:hAnsi="Arial" w:cs="Arial"/>
              </w:rPr>
              <w:t>The amount represents the following percentage of new state revenues:</w:t>
            </w:r>
          </w:p>
        </w:tc>
        <w:tc>
          <w:tcPr>
            <w:tcW w:w="2088" w:type="dxa"/>
          </w:tcPr>
          <w:p w14:paraId="5B60A8E6" w14:textId="43360855" w:rsidR="00185106" w:rsidRPr="00870B7E" w:rsidRDefault="0016048E" w:rsidP="0016048E">
            <w:pPr>
              <w:spacing w:after="0" w:line="240" w:lineRule="auto"/>
              <w:rPr>
                <w:rFonts w:ascii="Arial" w:eastAsia="Times New Roman" w:hAnsi="Arial" w:cs="Arial"/>
                <w:b/>
              </w:rPr>
            </w:pPr>
            <w:r w:rsidRPr="00870B7E">
              <w:rPr>
                <w:rFonts w:ascii="Arial" w:eastAsia="Times New Roman" w:hAnsi="Arial" w:cs="Arial"/>
                <w:b/>
              </w:rPr>
              <w:t xml:space="preserve">           </w:t>
            </w:r>
            <w:r w:rsidR="00CD651E">
              <w:rPr>
                <w:rFonts w:ascii="Arial" w:eastAsia="Times New Roman" w:hAnsi="Arial" w:cs="Arial"/>
                <w:b/>
              </w:rPr>
              <w:t>3</w:t>
            </w:r>
            <w:r w:rsidR="00870B7E">
              <w:rPr>
                <w:rFonts w:ascii="Arial" w:eastAsia="Times New Roman" w:hAnsi="Arial" w:cs="Arial"/>
                <w:b/>
              </w:rPr>
              <w:t>0</w:t>
            </w:r>
            <w:r w:rsidR="00185106" w:rsidRPr="00870B7E">
              <w:rPr>
                <w:rFonts w:ascii="Arial" w:eastAsia="Times New Roman" w:hAnsi="Arial" w:cs="Arial"/>
                <w:b/>
              </w:rPr>
              <w:t>%</w:t>
            </w:r>
          </w:p>
        </w:tc>
      </w:tr>
      <w:tr w:rsidR="00185106" w:rsidRPr="00870B7E" w14:paraId="215921E0" w14:textId="77777777">
        <w:tc>
          <w:tcPr>
            <w:tcW w:w="7488" w:type="dxa"/>
          </w:tcPr>
          <w:p w14:paraId="75F8F572" w14:textId="77777777" w:rsidR="00185106" w:rsidRPr="00870B7E" w:rsidRDefault="00185106" w:rsidP="00870B7E">
            <w:pPr>
              <w:spacing w:after="0" w:line="240" w:lineRule="auto"/>
              <w:rPr>
                <w:rFonts w:ascii="Arial" w:eastAsia="Times New Roman" w:hAnsi="Arial" w:cs="Arial"/>
              </w:rPr>
            </w:pPr>
            <w:r w:rsidRPr="00870B7E">
              <w:rPr>
                <w:rFonts w:ascii="Arial" w:eastAsia="Times New Roman" w:hAnsi="Arial" w:cs="Arial"/>
              </w:rPr>
              <w:t>Number of years that incentive is approved for:</w:t>
            </w:r>
          </w:p>
        </w:tc>
        <w:tc>
          <w:tcPr>
            <w:tcW w:w="2088" w:type="dxa"/>
          </w:tcPr>
          <w:p w14:paraId="6AED0156" w14:textId="52A46939" w:rsidR="00185106" w:rsidRPr="00870B7E" w:rsidRDefault="0016048E" w:rsidP="0016048E">
            <w:pPr>
              <w:spacing w:after="0" w:line="240" w:lineRule="auto"/>
              <w:rPr>
                <w:rFonts w:ascii="Arial" w:eastAsia="Times New Roman" w:hAnsi="Arial" w:cs="Arial"/>
                <w:b/>
              </w:rPr>
            </w:pPr>
            <w:r w:rsidRPr="00870B7E">
              <w:rPr>
                <w:rFonts w:ascii="Arial" w:eastAsia="Times New Roman" w:hAnsi="Arial" w:cs="Arial"/>
                <w:b/>
              </w:rPr>
              <w:t xml:space="preserve">           </w:t>
            </w:r>
            <w:r w:rsidR="00CD651E">
              <w:rPr>
                <w:rFonts w:ascii="Arial" w:eastAsia="Times New Roman" w:hAnsi="Arial" w:cs="Arial"/>
                <w:b/>
              </w:rPr>
              <w:t>10</w:t>
            </w:r>
            <w:r w:rsidR="00185106" w:rsidRPr="00870B7E">
              <w:rPr>
                <w:rFonts w:ascii="Arial" w:eastAsia="Times New Roman" w:hAnsi="Arial" w:cs="Arial"/>
                <w:b/>
              </w:rPr>
              <w:t xml:space="preserve"> Years</w:t>
            </w:r>
          </w:p>
        </w:tc>
      </w:tr>
      <w:tr w:rsidR="00185106" w:rsidRPr="00870B7E" w14:paraId="59E12523" w14:textId="77777777">
        <w:tc>
          <w:tcPr>
            <w:tcW w:w="7488" w:type="dxa"/>
          </w:tcPr>
          <w:p w14:paraId="73755BEC" w14:textId="77777777" w:rsidR="00185106" w:rsidRPr="00870B7E" w:rsidRDefault="00185106" w:rsidP="00C83A17">
            <w:pPr>
              <w:spacing w:after="0" w:line="240" w:lineRule="auto"/>
              <w:ind w:left="720" w:firstLine="205"/>
              <w:rPr>
                <w:rFonts w:ascii="Arial" w:eastAsia="Times New Roman" w:hAnsi="Arial" w:cs="Arial"/>
                <w:b/>
                <w:u w:val="single"/>
              </w:rPr>
            </w:pPr>
          </w:p>
        </w:tc>
        <w:tc>
          <w:tcPr>
            <w:tcW w:w="2088" w:type="dxa"/>
          </w:tcPr>
          <w:p w14:paraId="78546CDC" w14:textId="77777777" w:rsidR="00185106" w:rsidRPr="00870B7E" w:rsidRDefault="00185106" w:rsidP="00C83A17">
            <w:pPr>
              <w:spacing w:after="0" w:line="240" w:lineRule="auto"/>
              <w:ind w:left="720" w:firstLine="205"/>
              <w:rPr>
                <w:rFonts w:ascii="Arial" w:eastAsia="Times New Roman" w:hAnsi="Arial" w:cs="Arial"/>
                <w:b/>
                <w:u w:val="single"/>
              </w:rPr>
            </w:pPr>
          </w:p>
        </w:tc>
      </w:tr>
    </w:tbl>
    <w:p w14:paraId="2D5A9B3D" w14:textId="77777777" w:rsidR="00EC3A45" w:rsidRPr="00870B7E" w:rsidRDefault="00EC3A45" w:rsidP="00C83A17">
      <w:pPr>
        <w:spacing w:after="0" w:line="240" w:lineRule="auto"/>
        <w:ind w:left="720"/>
        <w:rPr>
          <w:rFonts w:ascii="Arial" w:eastAsia="Times New Roman" w:hAnsi="Arial" w:cs="Arial"/>
        </w:rPr>
      </w:pPr>
    </w:p>
    <w:p w14:paraId="08023FBE" w14:textId="77777777" w:rsidR="00EC3A45" w:rsidRPr="00870B7E" w:rsidRDefault="00F24FCD" w:rsidP="00870B7E">
      <w:pPr>
        <w:spacing w:after="0" w:line="240" w:lineRule="auto"/>
        <w:rPr>
          <w:rFonts w:ascii="Arial" w:eastAsia="Times New Roman" w:hAnsi="Arial" w:cs="Arial"/>
          <w:b/>
          <w:u w:val="single"/>
        </w:rPr>
      </w:pPr>
      <w:r w:rsidRPr="00870B7E">
        <w:rPr>
          <w:rFonts w:ascii="Arial" w:eastAsia="Times New Roman" w:hAnsi="Arial" w:cs="Arial"/>
          <w:b/>
          <w:u w:val="single"/>
        </w:rPr>
        <w:t>Jobs &amp; Revenue</w:t>
      </w:r>
    </w:p>
    <w:p w14:paraId="59540190" w14:textId="3B8B43D3" w:rsidR="00EC3A45" w:rsidRPr="00870B7E" w:rsidRDefault="00F24FCD" w:rsidP="00870B7E">
      <w:pPr>
        <w:spacing w:after="0" w:line="240" w:lineRule="auto"/>
        <w:rPr>
          <w:rFonts w:ascii="Arial" w:eastAsia="Times New Roman" w:hAnsi="Arial" w:cs="Arial"/>
        </w:rPr>
      </w:pPr>
      <w:r w:rsidRPr="00870B7E">
        <w:rPr>
          <w:rFonts w:ascii="Arial" w:eastAsia="Times New Roman" w:hAnsi="Arial" w:cs="Arial"/>
        </w:rPr>
        <w:t>Full time jobs over project lifetime:</w:t>
      </w:r>
      <w:r w:rsidRPr="00870B7E">
        <w:rPr>
          <w:rFonts w:ascii="Arial" w:eastAsia="Times New Roman" w:hAnsi="Arial" w:cs="Arial"/>
        </w:rPr>
        <w:tab/>
      </w:r>
      <w:r w:rsidR="00870B7E">
        <w:rPr>
          <w:rFonts w:ascii="Arial" w:eastAsia="Times New Roman" w:hAnsi="Arial" w:cs="Arial"/>
        </w:rPr>
        <w:tab/>
        <w:t>1</w:t>
      </w:r>
      <w:r w:rsidR="00CD651E">
        <w:rPr>
          <w:rFonts w:ascii="Arial" w:eastAsia="Times New Roman" w:hAnsi="Arial" w:cs="Arial"/>
        </w:rPr>
        <w:t>7</w:t>
      </w:r>
      <w:r w:rsidR="00870B7E">
        <w:rPr>
          <w:rFonts w:ascii="Arial" w:eastAsia="Times New Roman" w:hAnsi="Arial" w:cs="Arial"/>
        </w:rPr>
        <w:t>2</w:t>
      </w:r>
    </w:p>
    <w:p w14:paraId="5FB04DDF" w14:textId="77777777" w:rsidR="005652E1" w:rsidRPr="00870B7E" w:rsidRDefault="005652E1" w:rsidP="00C83A17">
      <w:pPr>
        <w:spacing w:after="0" w:line="240" w:lineRule="auto"/>
        <w:ind w:left="720"/>
        <w:rPr>
          <w:rFonts w:ascii="Arial" w:eastAsia="Times New Roman" w:hAnsi="Arial" w:cs="Arial"/>
        </w:rPr>
      </w:pPr>
    </w:p>
    <w:p w14:paraId="06CCCB3B" w14:textId="77777777" w:rsidR="00EC3A45" w:rsidRPr="00870B7E" w:rsidRDefault="00F24FCD" w:rsidP="00870B7E">
      <w:pPr>
        <w:spacing w:before="240" w:after="0"/>
        <w:rPr>
          <w:rFonts w:ascii="Arial" w:eastAsia="Times New Roman" w:hAnsi="Arial" w:cs="Arial"/>
          <w:b/>
          <w:bCs/>
          <w:u w:val="single"/>
        </w:rPr>
      </w:pPr>
      <w:r w:rsidRPr="00870B7E">
        <w:rPr>
          <w:rFonts w:ascii="Arial" w:eastAsia="Times New Roman" w:hAnsi="Arial" w:cs="Arial"/>
          <w:b/>
          <w:bCs/>
          <w:u w:val="single"/>
        </w:rPr>
        <w:t>New State Wages &amp; Revenue:</w:t>
      </w:r>
    </w:p>
    <w:tbl>
      <w:tblPr>
        <w:tblStyle w:val="a0"/>
        <w:tblW w:w="9834" w:type="dxa"/>
        <w:tblBorders>
          <w:top w:val="nil"/>
          <w:left w:val="nil"/>
          <w:bottom w:val="nil"/>
          <w:right w:val="nil"/>
          <w:insideH w:val="nil"/>
          <w:insideV w:val="nil"/>
        </w:tblBorders>
        <w:tblLayout w:type="fixed"/>
        <w:tblLook w:val="0400" w:firstRow="0" w:lastRow="0" w:firstColumn="0" w:lastColumn="0" w:noHBand="0" w:noVBand="1"/>
      </w:tblPr>
      <w:tblGrid>
        <w:gridCol w:w="4492"/>
        <w:gridCol w:w="5342"/>
      </w:tblGrid>
      <w:tr w:rsidR="00EC3A45" w:rsidRPr="00870B7E" w14:paraId="3F54FBB7" w14:textId="77777777" w:rsidTr="00C83A17">
        <w:trPr>
          <w:trHeight w:val="287"/>
        </w:trPr>
        <w:tc>
          <w:tcPr>
            <w:tcW w:w="4492" w:type="dxa"/>
          </w:tcPr>
          <w:p w14:paraId="799D48B5" w14:textId="2BAA1B1C" w:rsidR="00EC3A45" w:rsidRPr="00870B7E" w:rsidRDefault="00F24FCD" w:rsidP="00870B7E">
            <w:pPr>
              <w:rPr>
                <w:rFonts w:ascii="Arial" w:eastAsia="Times New Roman" w:hAnsi="Arial" w:cs="Arial"/>
              </w:rPr>
            </w:pPr>
            <w:r w:rsidRPr="00870B7E">
              <w:rPr>
                <w:rFonts w:ascii="Arial" w:eastAsia="Times New Roman" w:hAnsi="Arial" w:cs="Arial"/>
              </w:rPr>
              <w:t xml:space="preserve">New State Wages over </w:t>
            </w:r>
            <w:r w:rsidR="00CD651E">
              <w:rPr>
                <w:rFonts w:ascii="Arial" w:eastAsia="Times New Roman" w:hAnsi="Arial" w:cs="Arial"/>
              </w:rPr>
              <w:t>10</w:t>
            </w:r>
            <w:r w:rsidR="00C83A17" w:rsidRPr="00870B7E">
              <w:rPr>
                <w:rFonts w:ascii="Arial" w:eastAsia="Times New Roman" w:hAnsi="Arial" w:cs="Arial"/>
              </w:rPr>
              <w:t xml:space="preserve"> </w:t>
            </w:r>
            <w:r w:rsidRPr="00870B7E">
              <w:rPr>
                <w:rFonts w:ascii="Arial" w:eastAsia="Times New Roman" w:hAnsi="Arial" w:cs="Arial"/>
              </w:rPr>
              <w:t xml:space="preserve">years:   </w:t>
            </w:r>
          </w:p>
        </w:tc>
        <w:tc>
          <w:tcPr>
            <w:tcW w:w="5342" w:type="dxa"/>
          </w:tcPr>
          <w:p w14:paraId="21FB4363" w14:textId="61B87B90" w:rsidR="00EC3A45" w:rsidRPr="00870B7E" w:rsidRDefault="00F24FCD" w:rsidP="00C83A17">
            <w:pPr>
              <w:ind w:left="720"/>
              <w:rPr>
                <w:rFonts w:ascii="Arial" w:eastAsia="Times New Roman" w:hAnsi="Arial" w:cs="Arial"/>
              </w:rPr>
            </w:pPr>
            <w:r w:rsidRPr="00870B7E">
              <w:rPr>
                <w:rFonts w:ascii="Arial" w:hAnsi="Arial" w:cs="Arial"/>
              </w:rPr>
              <w:t>$</w:t>
            </w:r>
            <w:r w:rsidR="00CD651E">
              <w:rPr>
                <w:rFonts w:ascii="Arial" w:hAnsi="Arial" w:cs="Arial"/>
              </w:rPr>
              <w:t>169,277,127</w:t>
            </w:r>
          </w:p>
        </w:tc>
      </w:tr>
      <w:tr w:rsidR="00EC3A45" w:rsidRPr="00870B7E" w14:paraId="5BD2EF9D" w14:textId="77777777" w:rsidTr="00C83A17">
        <w:trPr>
          <w:trHeight w:val="556"/>
        </w:trPr>
        <w:tc>
          <w:tcPr>
            <w:tcW w:w="4492" w:type="dxa"/>
          </w:tcPr>
          <w:p w14:paraId="4C5383A2" w14:textId="263443BE" w:rsidR="00EC3A45" w:rsidRPr="00870B7E" w:rsidRDefault="00F24FCD" w:rsidP="00870B7E">
            <w:pPr>
              <w:rPr>
                <w:rFonts w:ascii="Arial" w:eastAsia="Times New Roman" w:hAnsi="Arial" w:cs="Arial"/>
              </w:rPr>
            </w:pPr>
            <w:r w:rsidRPr="00870B7E">
              <w:rPr>
                <w:rFonts w:ascii="Arial" w:eastAsia="Times New Roman" w:hAnsi="Arial" w:cs="Arial"/>
              </w:rPr>
              <w:t xml:space="preserve">New State Revenue over </w:t>
            </w:r>
            <w:r w:rsidR="00CD651E">
              <w:rPr>
                <w:rFonts w:ascii="Arial" w:eastAsia="Times New Roman" w:hAnsi="Arial" w:cs="Arial"/>
              </w:rPr>
              <w:t>10</w:t>
            </w:r>
            <w:r w:rsidRPr="00870B7E">
              <w:rPr>
                <w:rFonts w:ascii="Arial" w:eastAsia="Times New Roman" w:hAnsi="Arial" w:cs="Arial"/>
              </w:rPr>
              <w:t xml:space="preserve"> years:</w:t>
            </w:r>
          </w:p>
          <w:p w14:paraId="3A4971A6" w14:textId="06C847B2" w:rsidR="00AB54C1" w:rsidRPr="00870B7E" w:rsidRDefault="00AB54C1" w:rsidP="00870B7E">
            <w:pPr>
              <w:rPr>
                <w:rFonts w:ascii="Arial" w:eastAsia="Times New Roman" w:hAnsi="Arial" w:cs="Arial"/>
              </w:rPr>
            </w:pPr>
            <w:r w:rsidRPr="00870B7E">
              <w:rPr>
                <w:rFonts w:ascii="Arial" w:hAnsi="Arial" w:cs="Arial"/>
              </w:rPr>
              <w:t>Withholding</w:t>
            </w:r>
            <w:r w:rsidR="00C573C4" w:rsidRPr="00870B7E">
              <w:rPr>
                <w:rFonts w:ascii="Arial" w:hAnsi="Arial" w:cs="Arial"/>
              </w:rPr>
              <w:t xml:space="preserve"> </w:t>
            </w:r>
            <w:r w:rsidR="00C573C4" w:rsidRPr="00870B7E">
              <w:rPr>
                <w:rFonts w:ascii="Arial" w:eastAsia="Times New Roman" w:hAnsi="Arial" w:cs="Arial"/>
              </w:rPr>
              <w:t xml:space="preserve">over </w:t>
            </w:r>
            <w:r w:rsidR="00CD651E">
              <w:rPr>
                <w:rFonts w:ascii="Arial" w:eastAsia="Times New Roman" w:hAnsi="Arial" w:cs="Arial"/>
              </w:rPr>
              <w:t>10</w:t>
            </w:r>
            <w:r w:rsidR="00C573C4" w:rsidRPr="00870B7E">
              <w:rPr>
                <w:rFonts w:ascii="Arial" w:eastAsia="Times New Roman" w:hAnsi="Arial" w:cs="Arial"/>
              </w:rPr>
              <w:t xml:space="preserve"> years</w:t>
            </w:r>
            <w:r w:rsidRPr="00870B7E">
              <w:rPr>
                <w:rFonts w:ascii="Arial" w:hAnsi="Arial" w:cs="Arial"/>
              </w:rPr>
              <w:t>:</w:t>
            </w:r>
          </w:p>
        </w:tc>
        <w:tc>
          <w:tcPr>
            <w:tcW w:w="5342" w:type="dxa"/>
          </w:tcPr>
          <w:p w14:paraId="4A841E72" w14:textId="69727F81" w:rsidR="00EC3A45" w:rsidRPr="00870B7E" w:rsidRDefault="00F24FCD" w:rsidP="00C83A17">
            <w:pPr>
              <w:ind w:left="720"/>
              <w:rPr>
                <w:rFonts w:ascii="Arial" w:hAnsi="Arial" w:cs="Arial"/>
              </w:rPr>
            </w:pPr>
            <w:r w:rsidRPr="00870B7E">
              <w:rPr>
                <w:rFonts w:ascii="Arial" w:hAnsi="Arial" w:cs="Arial"/>
              </w:rPr>
              <w:t>$</w:t>
            </w:r>
            <w:r w:rsidR="00CD651E">
              <w:rPr>
                <w:rFonts w:ascii="Arial" w:hAnsi="Arial" w:cs="Arial"/>
              </w:rPr>
              <w:t>6,477,150</w:t>
            </w:r>
          </w:p>
          <w:p w14:paraId="2E99C2CD" w14:textId="5E3433AD" w:rsidR="00AB54C1" w:rsidRPr="00870B7E" w:rsidRDefault="00AB54C1" w:rsidP="00C83A17">
            <w:pPr>
              <w:ind w:left="720"/>
              <w:rPr>
                <w:rFonts w:ascii="Arial" w:eastAsia="Times New Roman" w:hAnsi="Arial" w:cs="Arial"/>
              </w:rPr>
            </w:pPr>
            <w:r w:rsidRPr="00870B7E">
              <w:rPr>
                <w:rFonts w:ascii="Arial" w:eastAsia="Times New Roman" w:hAnsi="Arial" w:cs="Arial"/>
              </w:rPr>
              <w:t>$</w:t>
            </w:r>
            <w:r w:rsidR="00CD651E">
              <w:rPr>
                <w:rFonts w:ascii="Arial" w:eastAsia="Times New Roman" w:hAnsi="Arial" w:cs="Arial"/>
              </w:rPr>
              <w:t>6,153,984</w:t>
            </w:r>
          </w:p>
        </w:tc>
      </w:tr>
    </w:tbl>
    <w:p w14:paraId="5200E5B1" w14:textId="77777777" w:rsidR="00E47F94" w:rsidRPr="00870B7E" w:rsidRDefault="00E47F94" w:rsidP="00524FBA">
      <w:pPr>
        <w:spacing w:before="158"/>
        <w:ind w:right="1483"/>
        <w:rPr>
          <w:rFonts w:ascii="Arial" w:hAnsi="Arial" w:cs="Arial"/>
        </w:rPr>
      </w:pPr>
      <w:bookmarkStart w:id="0" w:name="_heading=h.gjdgxs" w:colFirst="0" w:colLast="0"/>
      <w:bookmarkEnd w:id="0"/>
    </w:p>
    <w:p w14:paraId="5A9B6401" w14:textId="1886080C" w:rsidR="00C83A17" w:rsidRPr="00870B7E" w:rsidRDefault="00AB54C1" w:rsidP="00524FBA">
      <w:pPr>
        <w:spacing w:before="158"/>
        <w:ind w:right="1483"/>
        <w:rPr>
          <w:rFonts w:ascii="Arial" w:eastAsia="Arial" w:hAnsi="Arial" w:cs="Arial"/>
          <w:b/>
        </w:rPr>
      </w:pPr>
      <w:r w:rsidRPr="00870B7E">
        <w:rPr>
          <w:rFonts w:ascii="Arial" w:eastAsia="Arial" w:hAnsi="Arial" w:cs="Arial"/>
          <w:b/>
          <w:u w:val="single"/>
        </w:rPr>
        <w:t>Proposed</w:t>
      </w:r>
      <w:r w:rsidRPr="00870B7E">
        <w:rPr>
          <w:rFonts w:ascii="Arial" w:eastAsia="Arial" w:hAnsi="Arial" w:cs="Arial"/>
          <w:b/>
          <w:spacing w:val="-8"/>
          <w:u w:val="single"/>
        </w:rPr>
        <w:t xml:space="preserve"> </w:t>
      </w:r>
      <w:r w:rsidRPr="00870B7E">
        <w:rPr>
          <w:rFonts w:ascii="Arial" w:eastAsia="Arial" w:hAnsi="Arial" w:cs="Arial"/>
          <w:b/>
          <w:spacing w:val="-2"/>
          <w:u w:val="single"/>
        </w:rPr>
        <w:t>Motion</w:t>
      </w:r>
    </w:p>
    <w:p w14:paraId="7E154C23" w14:textId="2753771A" w:rsidR="00A90391" w:rsidRPr="00870B7E" w:rsidRDefault="00A90391" w:rsidP="00A90391">
      <w:pPr>
        <w:tabs>
          <w:tab w:val="left" w:pos="4221"/>
        </w:tabs>
        <w:ind w:right="1440"/>
        <w:jc w:val="both"/>
        <w:rPr>
          <w:rFonts w:ascii="Arial" w:hAnsi="Arial" w:cs="Arial"/>
          <w:b/>
          <w:u w:val="single"/>
        </w:rPr>
      </w:pPr>
      <w:r w:rsidRPr="00870B7E">
        <w:rPr>
          <w:rFonts w:ascii="Arial" w:hAnsi="Arial" w:cs="Arial"/>
          <w:b/>
        </w:rPr>
        <w:t>The Governor's Office of Economic Opportunity Board recommends</w:t>
      </w:r>
      <w:r w:rsidR="00C800A8" w:rsidRPr="00870B7E">
        <w:rPr>
          <w:rFonts w:ascii="Arial" w:hAnsi="Arial" w:cs="Arial"/>
          <w:b/>
        </w:rPr>
        <w:t xml:space="preserve"> </w:t>
      </w:r>
      <w:r w:rsidR="00CD651E" w:rsidRPr="00CD651E">
        <w:rPr>
          <w:rFonts w:ascii="Arial" w:hAnsi="Arial" w:cs="Arial"/>
          <w:b/>
          <w:color w:val="222222"/>
        </w:rPr>
        <w:t>Torus, Inc.,</w:t>
      </w:r>
      <w:r w:rsidR="00C800A8" w:rsidRPr="00870B7E">
        <w:rPr>
          <w:rFonts w:ascii="Arial" w:hAnsi="Arial" w:cs="Arial"/>
          <w:b/>
        </w:rPr>
        <w:t xml:space="preserve"> </w:t>
      </w:r>
      <w:r w:rsidRPr="00870B7E">
        <w:rPr>
          <w:rFonts w:ascii="Arial" w:hAnsi="Arial" w:cs="Arial"/>
          <w:b/>
        </w:rPr>
        <w:t xml:space="preserve">for an EDTIF post-performance refundable tax incentive. This incentive is not to exceed a </w:t>
      </w:r>
      <w:r w:rsidR="00CD651E">
        <w:rPr>
          <w:rFonts w:ascii="Arial" w:hAnsi="Arial" w:cs="Arial"/>
          <w:b/>
        </w:rPr>
        <w:t>3</w:t>
      </w:r>
      <w:r w:rsidR="00870B7E">
        <w:rPr>
          <w:rFonts w:ascii="Arial" w:hAnsi="Arial" w:cs="Arial"/>
          <w:b/>
        </w:rPr>
        <w:t>0</w:t>
      </w:r>
      <w:r w:rsidRPr="00870B7E">
        <w:rPr>
          <w:rFonts w:ascii="Arial" w:hAnsi="Arial" w:cs="Arial"/>
          <w:b/>
        </w:rPr>
        <w:t xml:space="preserve">% reduction in state tax paid </w:t>
      </w:r>
      <w:r w:rsidR="00A06890" w:rsidRPr="00870B7E">
        <w:rPr>
          <w:rFonts w:ascii="Arial" w:hAnsi="Arial" w:cs="Arial"/>
          <w:b/>
        </w:rPr>
        <w:t xml:space="preserve">for </w:t>
      </w:r>
      <w:r w:rsidR="00CD651E">
        <w:rPr>
          <w:rFonts w:ascii="Arial" w:hAnsi="Arial" w:cs="Arial"/>
          <w:b/>
        </w:rPr>
        <w:t>10</w:t>
      </w:r>
      <w:r w:rsidR="00A06890" w:rsidRPr="00870B7E">
        <w:rPr>
          <w:rFonts w:ascii="Arial" w:hAnsi="Arial" w:cs="Arial"/>
          <w:b/>
        </w:rPr>
        <w:t xml:space="preserve"> years </w:t>
      </w:r>
      <w:r w:rsidRPr="00870B7E">
        <w:rPr>
          <w:rFonts w:ascii="Arial" w:hAnsi="Arial" w:cs="Arial"/>
          <w:b/>
        </w:rPr>
        <w:t xml:space="preserve">on new state </w:t>
      </w:r>
      <w:r w:rsidRPr="00870B7E">
        <w:rPr>
          <w:rFonts w:ascii="Arial" w:hAnsi="Arial" w:cs="Arial"/>
          <w:b/>
        </w:rPr>
        <w:lastRenderedPageBreak/>
        <w:t>tax revenue above the baseline established for the preceding 12 months. New state revenue is projected to be $</w:t>
      </w:r>
      <w:r w:rsidR="00CD651E">
        <w:rPr>
          <w:rFonts w:ascii="Arial" w:hAnsi="Arial" w:cs="Arial"/>
          <w:b/>
        </w:rPr>
        <w:t>6,477,150</w:t>
      </w:r>
      <w:r w:rsidR="00C44C00">
        <w:rPr>
          <w:rFonts w:ascii="Arial" w:hAnsi="Arial" w:cs="Arial"/>
          <w:b/>
        </w:rPr>
        <w:t xml:space="preserve"> </w:t>
      </w:r>
      <w:r w:rsidR="00A06890" w:rsidRPr="00870B7E">
        <w:rPr>
          <w:rFonts w:ascii="Arial" w:hAnsi="Arial" w:cs="Arial"/>
          <w:b/>
        </w:rPr>
        <w:t xml:space="preserve">over </w:t>
      </w:r>
      <w:r w:rsidR="00CD651E">
        <w:rPr>
          <w:rFonts w:ascii="Arial" w:hAnsi="Arial" w:cs="Arial"/>
          <w:b/>
        </w:rPr>
        <w:t>10</w:t>
      </w:r>
      <w:r w:rsidR="00A06890" w:rsidRPr="00870B7E">
        <w:rPr>
          <w:rFonts w:ascii="Arial" w:hAnsi="Arial" w:cs="Arial"/>
          <w:b/>
        </w:rPr>
        <w:t xml:space="preserve"> years.</w:t>
      </w:r>
    </w:p>
    <w:p w14:paraId="0D51DA26" w14:textId="7DEC8AB9"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Total EDTIF incentive not to exceed $</w:t>
      </w:r>
      <w:r w:rsidR="00CD651E">
        <w:rPr>
          <w:rFonts w:ascii="Arial" w:hAnsi="Arial" w:cs="Arial"/>
        </w:rPr>
        <w:t>1,943,145</w:t>
      </w:r>
      <w:r w:rsidR="00C44C00">
        <w:rPr>
          <w:rFonts w:ascii="Arial" w:hAnsi="Arial" w:cs="Arial"/>
        </w:rPr>
        <w:t xml:space="preserve"> </w:t>
      </w:r>
      <w:r w:rsidRPr="00870B7E">
        <w:rPr>
          <w:rFonts w:ascii="Arial" w:hAnsi="Arial" w:cs="Arial"/>
        </w:rPr>
        <w:t>EDTIF post-performance refundable tax credit.</w:t>
      </w:r>
    </w:p>
    <w:p w14:paraId="28FB8A59" w14:textId="7CFAA5D0"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Annual EDTIF incentive amount based on </w:t>
      </w:r>
      <w:r w:rsidR="00CD651E">
        <w:rPr>
          <w:rFonts w:ascii="Arial" w:hAnsi="Arial" w:cs="Arial"/>
        </w:rPr>
        <w:t>3</w:t>
      </w:r>
      <w:r w:rsidR="00C44C00">
        <w:rPr>
          <w:rFonts w:ascii="Arial" w:hAnsi="Arial" w:cs="Arial"/>
        </w:rPr>
        <w:t>0</w:t>
      </w:r>
      <w:r w:rsidRPr="00870B7E">
        <w:rPr>
          <w:rFonts w:ascii="Arial" w:hAnsi="Arial" w:cs="Arial"/>
        </w:rPr>
        <w:t>% of qualified new incremental state tax revenues generated and receipted in the previous calendar year.</w:t>
      </w:r>
    </w:p>
    <w:p w14:paraId="2392EE0E" w14:textId="6638CE88"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Total incentive not to exceed </w:t>
      </w:r>
      <w:r w:rsidR="00CD651E">
        <w:rPr>
          <w:rFonts w:ascii="Arial" w:hAnsi="Arial" w:cs="Arial"/>
        </w:rPr>
        <w:t>3</w:t>
      </w:r>
      <w:r w:rsidR="00C44C00">
        <w:rPr>
          <w:rFonts w:ascii="Arial" w:hAnsi="Arial" w:cs="Arial"/>
        </w:rPr>
        <w:t>0</w:t>
      </w:r>
      <w:r w:rsidRPr="00870B7E">
        <w:rPr>
          <w:rFonts w:ascii="Arial" w:hAnsi="Arial" w:cs="Arial"/>
        </w:rPr>
        <w:t xml:space="preserve">% of qualified new incremental state tax revenues over </w:t>
      </w:r>
      <w:r w:rsidR="00CD651E">
        <w:rPr>
          <w:rFonts w:ascii="Arial" w:hAnsi="Arial" w:cs="Arial"/>
        </w:rPr>
        <w:t>10</w:t>
      </w:r>
      <w:r w:rsidRPr="00870B7E">
        <w:rPr>
          <w:rFonts w:ascii="Arial" w:hAnsi="Arial" w:cs="Arial"/>
        </w:rPr>
        <w:t xml:space="preserve"> years with a contractual recapture provision for any excess funds paid to the company.</w:t>
      </w:r>
    </w:p>
    <w:p w14:paraId="21E33E1C" w14:textId="470E6A7A"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Must meet new qualified employment projections, employee headcount at the stated </w:t>
      </w:r>
      <w:r w:rsidR="00C44C00">
        <w:rPr>
          <w:rFonts w:ascii="Arial" w:hAnsi="Arial" w:cs="Arial"/>
        </w:rPr>
        <w:t>110</w:t>
      </w:r>
      <w:r w:rsidRPr="00870B7E">
        <w:rPr>
          <w:rFonts w:ascii="Arial" w:hAnsi="Arial" w:cs="Arial"/>
        </w:rPr>
        <w:t>% wage criteria at 50% for each project year.</w:t>
      </w:r>
    </w:p>
    <w:p w14:paraId="79D53DBF" w14:textId="2AAF0D7E"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Annual total project average salary of new employees (not each new position, this is an aggregate annual number) to be at least </w:t>
      </w:r>
      <w:r w:rsidR="00C44C00">
        <w:rPr>
          <w:rFonts w:ascii="Arial" w:hAnsi="Arial" w:cs="Arial"/>
        </w:rPr>
        <w:t>110</w:t>
      </w:r>
      <w:r w:rsidRPr="00870B7E">
        <w:rPr>
          <w:rFonts w:ascii="Arial" w:hAnsi="Arial" w:cs="Arial"/>
        </w:rPr>
        <w:t>% the county average wage each excluding company contributed health insurance.</w:t>
      </w:r>
    </w:p>
    <w:p w14:paraId="409FB730" w14:textId="2CEB00B8"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Must commit to keep operation in Utah for the length of the incentive period, </w:t>
      </w:r>
      <w:r w:rsidR="00CD651E">
        <w:rPr>
          <w:rFonts w:ascii="Arial" w:hAnsi="Arial" w:cs="Arial"/>
        </w:rPr>
        <w:t>10</w:t>
      </w:r>
      <w:r w:rsidRPr="00870B7E">
        <w:rPr>
          <w:rFonts w:ascii="Arial" w:hAnsi="Arial" w:cs="Arial"/>
        </w:rPr>
        <w:t xml:space="preserve"> years.</w:t>
      </w:r>
    </w:p>
    <w:p w14:paraId="4A437139" w14:textId="210C94FC"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Incentives are site specific and subject to local incentive participation.</w:t>
      </w:r>
    </w:p>
    <w:p w14:paraId="6C274A02" w14:textId="1B0CF724"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Local incentive proposal must be presented and approved by the GOEO Incentives Committee in order for the company to be eligible for the incentive.</w:t>
      </w:r>
    </w:p>
    <w:p w14:paraId="09C7D9E4" w14:textId="17F205AE" w:rsidR="00E47F94"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Only new state revenue and new jobs created after the GOEO Board final approval date are eligible for this incentive.</w:t>
      </w:r>
    </w:p>
    <w:sectPr w:rsidR="00E47F94" w:rsidRPr="00870B7E">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FB592" w14:textId="77777777" w:rsidR="00C83A17" w:rsidRDefault="00C83A17">
      <w:pPr>
        <w:spacing w:after="0" w:line="240" w:lineRule="auto"/>
      </w:pPr>
      <w:r>
        <w:separator/>
      </w:r>
    </w:p>
  </w:endnote>
  <w:endnote w:type="continuationSeparator" w:id="0">
    <w:p w14:paraId="70B865B8" w14:textId="77777777" w:rsidR="00C83A17" w:rsidRDefault="00C8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8585D" w14:textId="267DE9E0" w:rsidR="00AB54C1" w:rsidRDefault="00AB54C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D45A9C3" wp14:editId="048E6E04">
              <wp:simplePos x="0" y="0"/>
              <wp:positionH relativeFrom="page">
                <wp:posOffset>7499350</wp:posOffset>
              </wp:positionH>
              <wp:positionV relativeFrom="page">
                <wp:posOffset>9461500</wp:posOffset>
              </wp:positionV>
              <wp:extent cx="153035" cy="152400"/>
              <wp:effectExtent l="0" t="0" r="0" b="0"/>
              <wp:wrapNone/>
              <wp:docPr id="71988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BFAE" w14:textId="77777777" w:rsidR="00AB54C1" w:rsidRDefault="00AB54C1">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5A9C3" id="_x0000_t202" coordsize="21600,21600" o:spt="202" path="m,l,21600r21600,l21600,xe">
              <v:stroke joinstyle="miter"/>
              <v:path gradientshapeok="t" o:connecttype="rect"/>
            </v:shapetype>
            <v:shape id="Text Box 2" o:spid="_x0000_s1026" type="#_x0000_t202" style="position:absolute;margin-left:590.5pt;margin-top:745pt;width:12.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" filled="f" stroked="f">
              <v:textbox inset="0,0,0,0">
                <w:txbxContent>
                  <w:p w14:paraId="6E7ABFAE" w14:textId="77777777" w:rsidR="00AB54C1" w:rsidRDefault="00AB54C1">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A00F7" w14:textId="77777777" w:rsidR="00C83A17" w:rsidRDefault="00C83A17">
      <w:pPr>
        <w:spacing w:after="0" w:line="240" w:lineRule="auto"/>
      </w:pPr>
      <w:r>
        <w:separator/>
      </w:r>
    </w:p>
  </w:footnote>
  <w:footnote w:type="continuationSeparator" w:id="0">
    <w:p w14:paraId="0B776C19" w14:textId="77777777" w:rsidR="00C83A17" w:rsidRDefault="00C83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79FF"/>
    <w:multiLevelType w:val="hybridMultilevel"/>
    <w:tmpl w:val="F14475D6"/>
    <w:lvl w:ilvl="0" w:tplc="CBAC3DA6">
      <w:start w:val="1"/>
      <w:numFmt w:val="bullet"/>
      <w:lvlText w:val=""/>
      <w:lvlJc w:val="left"/>
      <w:pPr>
        <w:ind w:left="-1440" w:hanging="360"/>
      </w:pPr>
      <w:rPr>
        <w:rFonts w:ascii="Symbol" w:hAnsi="Symbol" w:hint="default"/>
      </w:rPr>
    </w:lvl>
    <w:lvl w:ilvl="1" w:tplc="9D5C5F28" w:tentative="1">
      <w:start w:val="1"/>
      <w:numFmt w:val="bullet"/>
      <w:lvlText w:val="o"/>
      <w:lvlJc w:val="left"/>
      <w:pPr>
        <w:ind w:left="-720" w:hanging="360"/>
      </w:pPr>
      <w:rPr>
        <w:rFonts w:ascii="Courier New" w:hAnsi="Courier New" w:cs="Courier New" w:hint="default"/>
      </w:rPr>
    </w:lvl>
    <w:lvl w:ilvl="2" w:tplc="DBA257F8" w:tentative="1">
      <w:start w:val="1"/>
      <w:numFmt w:val="bullet"/>
      <w:lvlText w:val=""/>
      <w:lvlJc w:val="left"/>
      <w:pPr>
        <w:ind w:left="0" w:hanging="360"/>
      </w:pPr>
      <w:rPr>
        <w:rFonts w:ascii="Wingdings" w:hAnsi="Wingdings" w:hint="default"/>
      </w:rPr>
    </w:lvl>
    <w:lvl w:ilvl="3" w:tplc="3F9477FE" w:tentative="1">
      <w:start w:val="1"/>
      <w:numFmt w:val="bullet"/>
      <w:lvlText w:val=""/>
      <w:lvlJc w:val="left"/>
      <w:pPr>
        <w:ind w:left="720" w:hanging="360"/>
      </w:pPr>
      <w:rPr>
        <w:rFonts w:ascii="Symbol" w:hAnsi="Symbol" w:hint="default"/>
      </w:rPr>
    </w:lvl>
    <w:lvl w:ilvl="4" w:tplc="C42A35FE" w:tentative="1">
      <w:start w:val="1"/>
      <w:numFmt w:val="bullet"/>
      <w:lvlText w:val="o"/>
      <w:lvlJc w:val="left"/>
      <w:pPr>
        <w:ind w:left="1440" w:hanging="360"/>
      </w:pPr>
      <w:rPr>
        <w:rFonts w:ascii="Courier New" w:hAnsi="Courier New" w:cs="Courier New" w:hint="default"/>
      </w:rPr>
    </w:lvl>
    <w:lvl w:ilvl="5" w:tplc="CF1E2A0E" w:tentative="1">
      <w:start w:val="1"/>
      <w:numFmt w:val="bullet"/>
      <w:lvlText w:val=""/>
      <w:lvlJc w:val="left"/>
      <w:pPr>
        <w:ind w:left="2160" w:hanging="360"/>
      </w:pPr>
      <w:rPr>
        <w:rFonts w:ascii="Wingdings" w:hAnsi="Wingdings" w:hint="default"/>
      </w:rPr>
    </w:lvl>
    <w:lvl w:ilvl="6" w:tplc="CF78B4F6" w:tentative="1">
      <w:start w:val="1"/>
      <w:numFmt w:val="bullet"/>
      <w:lvlText w:val=""/>
      <w:lvlJc w:val="left"/>
      <w:pPr>
        <w:ind w:left="2880" w:hanging="360"/>
      </w:pPr>
      <w:rPr>
        <w:rFonts w:ascii="Symbol" w:hAnsi="Symbol" w:hint="default"/>
      </w:rPr>
    </w:lvl>
    <w:lvl w:ilvl="7" w:tplc="E4982A16" w:tentative="1">
      <w:start w:val="1"/>
      <w:numFmt w:val="bullet"/>
      <w:lvlText w:val="o"/>
      <w:lvlJc w:val="left"/>
      <w:pPr>
        <w:ind w:left="3600" w:hanging="360"/>
      </w:pPr>
      <w:rPr>
        <w:rFonts w:ascii="Courier New" w:hAnsi="Courier New" w:cs="Courier New" w:hint="default"/>
      </w:rPr>
    </w:lvl>
    <w:lvl w:ilvl="8" w:tplc="0A2A68A8" w:tentative="1">
      <w:start w:val="1"/>
      <w:numFmt w:val="bullet"/>
      <w:lvlText w:val=""/>
      <w:lvlJc w:val="left"/>
      <w:pPr>
        <w:ind w:left="4320" w:hanging="360"/>
      </w:pPr>
      <w:rPr>
        <w:rFonts w:ascii="Wingdings" w:hAnsi="Wingdings" w:hint="default"/>
      </w:rPr>
    </w:lvl>
  </w:abstractNum>
  <w:abstractNum w:abstractNumId="1" w15:restartNumberingAfterBreak="0">
    <w:nsid w:val="0ABE3FED"/>
    <w:multiLevelType w:val="hybridMultilevel"/>
    <w:tmpl w:val="48C0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BC9"/>
    <w:multiLevelType w:val="hybridMultilevel"/>
    <w:tmpl w:val="751C36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CCF5E9F"/>
    <w:multiLevelType w:val="hybridMultilevel"/>
    <w:tmpl w:val="A4C6D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2C6F6BC8"/>
    <w:multiLevelType w:val="hybridMultilevel"/>
    <w:tmpl w:val="39921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1">
    <w:nsid w:val="4F9C5457"/>
    <w:multiLevelType w:val="hybridMultilevel"/>
    <w:tmpl w:val="8AA45DDA"/>
    <w:lvl w:ilvl="0" w:tplc="E8E09674">
      <w:numFmt w:val="bullet"/>
      <w:lvlText w:val=""/>
      <w:lvlJc w:val="left"/>
      <w:pPr>
        <w:ind w:left="1161" w:hanging="361"/>
      </w:pPr>
      <w:rPr>
        <w:rFonts w:ascii="Symbol" w:eastAsia="Symbol" w:hAnsi="Symbol" w:cs="Symbol" w:hint="default"/>
        <w:b w:val="0"/>
        <w:bCs w:val="0"/>
        <w:i w:val="0"/>
        <w:iCs w:val="0"/>
        <w:w w:val="100"/>
        <w:sz w:val="21"/>
        <w:szCs w:val="21"/>
        <w:lang w:val="en-US" w:eastAsia="en-US" w:bidi="ar-SA"/>
      </w:rPr>
    </w:lvl>
    <w:lvl w:ilvl="1" w:tplc="748692EC">
      <w:numFmt w:val="bullet"/>
      <w:lvlText w:val="•"/>
      <w:lvlJc w:val="left"/>
      <w:pPr>
        <w:ind w:left="1952" w:hanging="361"/>
      </w:pPr>
      <w:rPr>
        <w:rFonts w:hint="default"/>
        <w:lang w:val="en-US" w:eastAsia="en-US" w:bidi="ar-SA"/>
      </w:rPr>
    </w:lvl>
    <w:lvl w:ilvl="2" w:tplc="E9A63476">
      <w:numFmt w:val="bullet"/>
      <w:lvlText w:val="•"/>
      <w:lvlJc w:val="left"/>
      <w:pPr>
        <w:ind w:left="2744" w:hanging="361"/>
      </w:pPr>
      <w:rPr>
        <w:rFonts w:hint="default"/>
        <w:lang w:val="en-US" w:eastAsia="en-US" w:bidi="ar-SA"/>
      </w:rPr>
    </w:lvl>
    <w:lvl w:ilvl="3" w:tplc="1BE8E24A">
      <w:numFmt w:val="bullet"/>
      <w:lvlText w:val="•"/>
      <w:lvlJc w:val="left"/>
      <w:pPr>
        <w:ind w:left="3536" w:hanging="361"/>
      </w:pPr>
      <w:rPr>
        <w:rFonts w:hint="default"/>
        <w:lang w:val="en-US" w:eastAsia="en-US" w:bidi="ar-SA"/>
      </w:rPr>
    </w:lvl>
    <w:lvl w:ilvl="4" w:tplc="AAF880F8">
      <w:numFmt w:val="bullet"/>
      <w:lvlText w:val="•"/>
      <w:lvlJc w:val="left"/>
      <w:pPr>
        <w:ind w:left="4328" w:hanging="361"/>
      </w:pPr>
      <w:rPr>
        <w:rFonts w:hint="default"/>
        <w:lang w:val="en-US" w:eastAsia="en-US" w:bidi="ar-SA"/>
      </w:rPr>
    </w:lvl>
    <w:lvl w:ilvl="5" w:tplc="0FC0A7EA">
      <w:numFmt w:val="bullet"/>
      <w:lvlText w:val="•"/>
      <w:lvlJc w:val="left"/>
      <w:pPr>
        <w:ind w:left="5120" w:hanging="361"/>
      </w:pPr>
      <w:rPr>
        <w:rFonts w:hint="default"/>
        <w:lang w:val="en-US" w:eastAsia="en-US" w:bidi="ar-SA"/>
      </w:rPr>
    </w:lvl>
    <w:lvl w:ilvl="6" w:tplc="443E88A8">
      <w:numFmt w:val="bullet"/>
      <w:lvlText w:val="•"/>
      <w:lvlJc w:val="left"/>
      <w:pPr>
        <w:ind w:left="5912" w:hanging="361"/>
      </w:pPr>
      <w:rPr>
        <w:rFonts w:hint="default"/>
        <w:lang w:val="en-US" w:eastAsia="en-US" w:bidi="ar-SA"/>
      </w:rPr>
    </w:lvl>
    <w:lvl w:ilvl="7" w:tplc="14AED290">
      <w:numFmt w:val="bullet"/>
      <w:lvlText w:val="•"/>
      <w:lvlJc w:val="left"/>
      <w:pPr>
        <w:ind w:left="6704" w:hanging="361"/>
      </w:pPr>
      <w:rPr>
        <w:rFonts w:hint="default"/>
        <w:lang w:val="en-US" w:eastAsia="en-US" w:bidi="ar-SA"/>
      </w:rPr>
    </w:lvl>
    <w:lvl w:ilvl="8" w:tplc="5A3AFE6A">
      <w:numFmt w:val="bullet"/>
      <w:lvlText w:val="•"/>
      <w:lvlJc w:val="left"/>
      <w:pPr>
        <w:ind w:left="7496" w:hanging="361"/>
      </w:pPr>
      <w:rPr>
        <w:rFonts w:hint="default"/>
        <w:lang w:val="en-US" w:eastAsia="en-US" w:bidi="ar-SA"/>
      </w:rPr>
    </w:lvl>
  </w:abstractNum>
  <w:abstractNum w:abstractNumId="6" w15:restartNumberingAfterBreak="0">
    <w:nsid w:val="779F63F6"/>
    <w:multiLevelType w:val="multilevel"/>
    <w:tmpl w:val="44389E4A"/>
    <w:lvl w:ilvl="0">
      <w:start w:val="1"/>
      <w:numFmt w:val="bullet"/>
      <w:lvlText w:val="●"/>
      <w:lvlJc w:val="left"/>
      <w:pPr>
        <w:ind w:left="-7560" w:hanging="360"/>
      </w:pPr>
      <w:rPr>
        <w:rFonts w:ascii="Noto Sans Symbols" w:eastAsia="Noto Sans Symbols" w:hAnsi="Noto Sans Symbols" w:cs="Noto Sans Symbols"/>
      </w:rPr>
    </w:lvl>
    <w:lvl w:ilvl="1">
      <w:start w:val="1"/>
      <w:numFmt w:val="bullet"/>
      <w:lvlText w:val="o"/>
      <w:lvlJc w:val="left"/>
      <w:pPr>
        <w:ind w:left="-6840" w:hanging="360"/>
      </w:pPr>
      <w:rPr>
        <w:rFonts w:ascii="Courier New" w:eastAsia="Courier New" w:hAnsi="Courier New" w:cs="Courier New"/>
      </w:rPr>
    </w:lvl>
    <w:lvl w:ilvl="2">
      <w:start w:val="1"/>
      <w:numFmt w:val="bullet"/>
      <w:lvlText w:val="▪"/>
      <w:lvlJc w:val="left"/>
      <w:pPr>
        <w:ind w:left="-612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2520" w:hanging="360"/>
      </w:pPr>
      <w:rPr>
        <w:rFonts w:ascii="Courier New" w:eastAsia="Courier New" w:hAnsi="Courier New" w:cs="Courier New"/>
      </w:rPr>
    </w:lvl>
    <w:lvl w:ilvl="8">
      <w:start w:val="1"/>
      <w:numFmt w:val="bullet"/>
      <w:lvlText w:val="▪"/>
      <w:lvlJc w:val="left"/>
      <w:pPr>
        <w:ind w:left="-1800" w:hanging="360"/>
      </w:pPr>
      <w:rPr>
        <w:rFonts w:ascii="Noto Sans Symbols" w:eastAsia="Noto Sans Symbols" w:hAnsi="Noto Sans Symbols" w:cs="Noto Sans Symbols"/>
      </w:rPr>
    </w:lvl>
  </w:abstractNum>
  <w:num w:numId="1" w16cid:durableId="1538395695">
    <w:abstractNumId w:val="6"/>
  </w:num>
  <w:num w:numId="2" w16cid:durableId="503130836">
    <w:abstractNumId w:val="0"/>
  </w:num>
  <w:num w:numId="3" w16cid:durableId="446697795">
    <w:abstractNumId w:val="4"/>
  </w:num>
  <w:num w:numId="4" w16cid:durableId="1568034166">
    <w:abstractNumId w:val="5"/>
  </w:num>
  <w:num w:numId="5" w16cid:durableId="1456363046">
    <w:abstractNumId w:val="2"/>
  </w:num>
  <w:num w:numId="6" w16cid:durableId="169411456">
    <w:abstractNumId w:val="3"/>
  </w:num>
  <w:num w:numId="7" w16cid:durableId="83345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45"/>
    <w:rsid w:val="00014D58"/>
    <w:rsid w:val="000856D8"/>
    <w:rsid w:val="001438C4"/>
    <w:rsid w:val="0016048E"/>
    <w:rsid w:val="00185106"/>
    <w:rsid w:val="001B7851"/>
    <w:rsid w:val="001E3EB1"/>
    <w:rsid w:val="0021329B"/>
    <w:rsid w:val="002733A0"/>
    <w:rsid w:val="002C5379"/>
    <w:rsid w:val="002F1081"/>
    <w:rsid w:val="0030237D"/>
    <w:rsid w:val="003731DB"/>
    <w:rsid w:val="003B21A7"/>
    <w:rsid w:val="003D5812"/>
    <w:rsid w:val="004125D4"/>
    <w:rsid w:val="004309D4"/>
    <w:rsid w:val="0044698A"/>
    <w:rsid w:val="004B2FC6"/>
    <w:rsid w:val="004F4A6A"/>
    <w:rsid w:val="00506E86"/>
    <w:rsid w:val="00524FBA"/>
    <w:rsid w:val="00550E87"/>
    <w:rsid w:val="005652E1"/>
    <w:rsid w:val="005B5C5B"/>
    <w:rsid w:val="005E1BC7"/>
    <w:rsid w:val="005E2CFA"/>
    <w:rsid w:val="00641C9F"/>
    <w:rsid w:val="00685DD5"/>
    <w:rsid w:val="007376F8"/>
    <w:rsid w:val="007439FC"/>
    <w:rsid w:val="007A141B"/>
    <w:rsid w:val="007D0DE4"/>
    <w:rsid w:val="008177CE"/>
    <w:rsid w:val="00861EC3"/>
    <w:rsid w:val="00870B7E"/>
    <w:rsid w:val="0087328A"/>
    <w:rsid w:val="00883C3E"/>
    <w:rsid w:val="008875CC"/>
    <w:rsid w:val="008C0121"/>
    <w:rsid w:val="00905113"/>
    <w:rsid w:val="00962C9A"/>
    <w:rsid w:val="00A06890"/>
    <w:rsid w:val="00A37244"/>
    <w:rsid w:val="00A8389B"/>
    <w:rsid w:val="00A90391"/>
    <w:rsid w:val="00AB54C1"/>
    <w:rsid w:val="00AE71C2"/>
    <w:rsid w:val="00B0700E"/>
    <w:rsid w:val="00B14BE8"/>
    <w:rsid w:val="00B16D19"/>
    <w:rsid w:val="00C27FB4"/>
    <w:rsid w:val="00C44C00"/>
    <w:rsid w:val="00C573C4"/>
    <w:rsid w:val="00C800A8"/>
    <w:rsid w:val="00C83A17"/>
    <w:rsid w:val="00CD651E"/>
    <w:rsid w:val="00D24039"/>
    <w:rsid w:val="00D6762B"/>
    <w:rsid w:val="00D7347F"/>
    <w:rsid w:val="00DB63A6"/>
    <w:rsid w:val="00DD4647"/>
    <w:rsid w:val="00E2388A"/>
    <w:rsid w:val="00E440E9"/>
    <w:rsid w:val="00E47F94"/>
    <w:rsid w:val="00E672FF"/>
    <w:rsid w:val="00EC3A45"/>
    <w:rsid w:val="00F24FCD"/>
    <w:rsid w:val="00F60305"/>
    <w:rsid w:val="00F76BD5"/>
    <w:rsid w:val="00FB4C8B"/>
    <w:rsid w:val="00FC6FDA"/>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13D350"/>
  <w15:docId w15:val="{FA986AFF-37F5-42DB-96C2-4487E87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A7"/>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413B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13BA7"/>
    <w:pPr>
      <w:ind w:left="720"/>
      <w:contextualSpacing/>
    </w:pPr>
  </w:style>
  <w:style w:type="character" w:styleId="CommentReference">
    <w:name w:val="annotation reference"/>
    <w:basedOn w:val="DefaultParagraphFont"/>
    <w:uiPriority w:val="99"/>
    <w:semiHidden/>
    <w:unhideWhenUsed/>
    <w:rsid w:val="00413BA7"/>
    <w:rPr>
      <w:sz w:val="16"/>
      <w:szCs w:val="16"/>
    </w:rPr>
  </w:style>
  <w:style w:type="paragraph" w:styleId="CommentText">
    <w:name w:val="annotation text"/>
    <w:basedOn w:val="Normal"/>
    <w:link w:val="CommentTextChar"/>
    <w:uiPriority w:val="99"/>
    <w:semiHidden/>
    <w:unhideWhenUsed/>
    <w:rsid w:val="00413BA7"/>
    <w:pPr>
      <w:spacing w:line="240" w:lineRule="auto"/>
    </w:pPr>
    <w:rPr>
      <w:sz w:val="20"/>
      <w:szCs w:val="20"/>
    </w:rPr>
  </w:style>
  <w:style w:type="character" w:customStyle="1" w:styleId="CommentTextChar">
    <w:name w:val="Comment Text Char"/>
    <w:basedOn w:val="DefaultParagraphFont"/>
    <w:link w:val="CommentText"/>
    <w:uiPriority w:val="99"/>
    <w:semiHidden/>
    <w:rsid w:val="00413BA7"/>
    <w:rPr>
      <w:rFonts w:eastAsiaTheme="minorEastAsia"/>
      <w:sz w:val="20"/>
      <w:szCs w:val="20"/>
    </w:rPr>
  </w:style>
  <w:style w:type="paragraph" w:styleId="BalloonText">
    <w:name w:val="Balloon Text"/>
    <w:basedOn w:val="Normal"/>
    <w:link w:val="BalloonTextChar"/>
    <w:uiPriority w:val="99"/>
    <w:semiHidden/>
    <w:unhideWhenUsed/>
    <w:rsid w:val="00413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A7"/>
    <w:rPr>
      <w:rFonts w:ascii="Tahoma" w:eastAsiaTheme="minorEastAsi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BodyText">
    <w:name w:val="Body Text"/>
    <w:basedOn w:val="Normal"/>
    <w:link w:val="BodyTextChar"/>
    <w:uiPriority w:val="99"/>
    <w:semiHidden/>
    <w:unhideWhenUsed/>
    <w:rsid w:val="00AB54C1"/>
    <w:pPr>
      <w:spacing w:after="120"/>
    </w:pPr>
  </w:style>
  <w:style w:type="character" w:customStyle="1" w:styleId="BodyTextChar">
    <w:name w:val="Body Text Char"/>
    <w:basedOn w:val="DefaultParagraphFont"/>
    <w:link w:val="BodyText"/>
    <w:uiPriority w:val="99"/>
    <w:semiHidden/>
    <w:rsid w:val="00AB54C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54158">
      <w:bodyDiv w:val="1"/>
      <w:marLeft w:val="0"/>
      <w:marRight w:val="0"/>
      <w:marTop w:val="0"/>
      <w:marBottom w:val="0"/>
      <w:divBdr>
        <w:top w:val="none" w:sz="0" w:space="0" w:color="auto"/>
        <w:left w:val="none" w:sz="0" w:space="0" w:color="auto"/>
        <w:bottom w:val="none" w:sz="0" w:space="0" w:color="auto"/>
        <w:right w:val="none" w:sz="0" w:space="0" w:color="auto"/>
      </w:divBdr>
    </w:div>
    <w:div w:id="194957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e1KUA1kbP3CEQm54sqDJNYqlHQ==">AMUW2mVK4omSgzEjxZSi3ce/nKIZZGw2EgnSjMnRrX59b/yC/mHUBn3K3qrT7aIgeRVwYC8HySVUg+xKs/i77FeBOKsb8Byhf3kmvtWhkyp9hUV4BeLWwIZRsvwPfREpKo0jU96h59b2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7A8F7CC-88A8-4899-9E13-08C6137E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Barrott</dc:creator>
  <cp:lastModifiedBy>Kelly Akins</cp:lastModifiedBy>
  <cp:revision>4</cp:revision>
  <dcterms:created xsi:type="dcterms:W3CDTF">2024-09-06T14:42:00Z</dcterms:created>
  <dcterms:modified xsi:type="dcterms:W3CDTF">2024-09-09T15:40:00Z</dcterms:modified>
</cp:coreProperties>
</file>