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officeDocument" Target="word/document.xml" Id="prId0" /><Relationship Type="http://schemas.openxmlformats.org/package/2006/relationships/metadata/core-properties" Target="docProps/core.xml" Id="prId1"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779" w:after="0" w:line="223" w:lineRule="exact"/>
        <w:ind w:right="0" w:left="0" w:firstLine="0"/>
        <w:jc w:val="center"/>
        <w:textAlignment w:val="baseline"/>
        <w:rPr>
          <w:rFonts w:ascii="Ebrima" w:hAnsi="Ebrima" w:eastAsia="Ebrima"/>
          <w:strike w:val="false"/>
          <w:color w:val="000000"/>
          <w:spacing w:val="-4"/>
          <w:w w:val="100"/>
          <w:sz w:val="17"/>
          <w:vertAlign w:val="baseline"/>
          <w:lang w:val="en-US"/>
        </w:rPr>
      </w:pPr>
      <w:r>
        <w:pict>
          <v:shapetype id="_x0000_t1" coordsize="21600,21600" o:spt="202" path="m,l,21600r21600,l21600,xe">
            <v:stroke joinstyle="miter"/>
            <v:path gradientshapeok="t" o:connecttype="rect"/>
          </v:shapetype>
          <v:shape id="_x0000_s0" type="#_x0000_t1" fillcolor="#F1F1F1" stroked="f" style="position:absolute;width:193.9pt;height:596.6pt;z-index:-1000;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
        </w:numPr>
        <w:tabs>
          <w:tab w:val="clear" w:pos="432"/>
          <w:tab w:val="left" w:pos="1368"/>
        </w:tabs>
        <w:spacing w:before="406"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Active transportation facilities must be on at least one side of every local street. Active transportation facility options for local streets include shared use paths with standard buffers, neighborhood shared-use paths, and standard sidewalks.</w:t>
      </w:r>
    </w:p>
    <w:p>
      <w:pPr>
        <w:pageBreakBefore w:val="false"/>
        <w:numPr>
          <w:ilvl w:val="0"/>
          <w:numId w:val="2"/>
        </w:numPr>
        <w:tabs>
          <w:tab w:val="clear" w:pos="432"/>
          <w:tab w:val="left" w:pos="1368"/>
        </w:tabs>
        <w:spacing w:before="0"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there is no adjacent development, the applicant must provide path “stubs” to create connections to future adjacent developments.</w:t>
      </w:r>
    </w:p>
    <w:p>
      <w:pPr>
        <w:pageBreakBefore w:val="false"/>
        <w:numPr>
          <w:ilvl w:val="0"/>
          <w:numId w:val="2"/>
        </w:numPr>
        <w:tabs>
          <w:tab w:val="clear" w:pos="432"/>
          <w:tab w:val="left" w:pos="1368"/>
        </w:tabs>
        <w:spacing w:before="5"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Higher-level streets (connector, community spine, and highway/freeway street types and collector/arterial functional class), either existing or new and within the development or bordering it, must implement the active transportation facility requirements for the Street Type in the Active Transportation Implementation Plan Section 2.2.</w:t>
      </w:r>
    </w:p>
    <w:p>
      <w:pPr>
        <w:pageBreakBefore w:val="false"/>
        <w:numPr>
          <w:ilvl w:val="0"/>
          <w:numId w:val="2"/>
        </w:numPr>
        <w:tabs>
          <w:tab w:val="clear" w:pos="432"/>
          <w:tab w:val="left" w:pos="1368"/>
        </w:tabs>
        <w:spacing w:before="0" w:after="0" w:line="204" w:lineRule="exact"/>
        <w:ind w:right="144" w:left="936"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applicant must provide appropriate active transportation crossings of major streets. See design guidelines, Section 2.4 of the Active Transportation Implementation Plan.</w:t>
      </w:r>
    </w:p>
    <w:p>
      <w:pPr>
        <w:pageBreakBefore w:val="false"/>
        <w:numPr>
          <w:ilvl w:val="0"/>
          <w:numId w:val="2"/>
        </w:numPr>
        <w:tabs>
          <w:tab w:val="clear" w:pos="432"/>
          <w:tab w:val="left" w:pos="1368"/>
        </w:tabs>
        <w:spacing w:before="5"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must ensure that any connections shown in the Vision Network (Figure 2</w:t>
        <w:softHyphen/>
      </w:r>
      <w:r>
        <w:rPr>
          <w:rFonts w:ascii="Ebrima" w:hAnsi="Ebrima" w:eastAsia="Ebrima"/>
          <w:strike w:val="false"/>
          <w:color w:val="000000"/>
          <w:spacing w:val="0"/>
          <w:w w:val="100"/>
          <w:sz w:val="15"/>
          <w:vertAlign w:val="baseline"/>
          <w:lang w:val="en-US"/>
        </w:rPr>
        <w:t xml:space="preserve">1 of the Active Transportation Implementation Plan) running through the subdivision are implemented with active transportation facilities with existing or future connections to adjoining areas.</w:t>
      </w:r>
    </w:p>
    <w:p>
      <w:pPr>
        <w:pageBreakBefore w:val="false"/>
        <w:numPr>
          <w:ilvl w:val="0"/>
          <w:numId w:val="2"/>
        </w:numPr>
        <w:tabs>
          <w:tab w:val="clear" w:pos="432"/>
          <w:tab w:val="left" w:pos="1368"/>
        </w:tabs>
        <w:spacing w:before="0"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must prepare an Active Transportation Circulation Plan showing how the above five requirements are being met and any other active transportation infrastructure and amenities. See the examples in Figures 2-3 and 2-4 of the Active Transportation Implementation Plan.</w:t>
      </w:r>
    </w:p>
    <w:p>
      <w:pPr>
        <w:pageBreakBefore w:val="false"/>
        <w:tabs>
          <w:tab w:val="left" w:leader="none" w:pos="504"/>
        </w:tabs>
        <w:spacing w:before="0" w:after="0" w:line="201" w:lineRule="exact"/>
        <w:ind w:right="0" w:left="14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Active Transportation Facilities Requirements on Major Streets.</w:t>
      </w:r>
    </w:p>
    <w:p>
      <w:pPr>
        <w:pageBreakBefore w:val="false"/>
        <w:tabs>
          <w:tab w:val="left" w:leader="none" w:pos="936"/>
        </w:tabs>
        <w:spacing w:before="10" w:after="0" w:line="204" w:lineRule="exact"/>
        <w:ind w:right="144" w:left="360"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w:t>
      </w:r>
      <w:r>
        <w:rPr>
          <w:rFonts w:ascii="Ebrima" w:hAnsi="Ebrima" w:eastAsia="Ebrima"/>
          <w:strike w:val="false"/>
          <w:color w:val="000000"/>
          <w:spacing w:val="0"/>
          <w:w w:val="100"/>
          <w:sz w:val="15"/>
          <w:vertAlign w:val="baseline"/>
          <w:lang w:val="en-US"/>
        </w:rPr>
        <w:t xml:space="preserve">To provide more flexibility to infrastructure builders along existing and future streets, a range of options for active transportation facilities is provided. The type of facility built on what street is guided by the Street Types system in the Active Transportation Implementation Plan. Street Types provide a vision and guidance for the various aspects of streets in the county, including active transportation facilities. A range of appropriate active transportation treatments is allowed for each street type.</w:t>
      </w:r>
    </w:p>
    <w:p>
      <w:pPr>
        <w:pageBreakBefore w:val="false"/>
        <w:tabs>
          <w:tab w:val="left" w:leader="none" w:pos="936"/>
        </w:tabs>
        <w:spacing w:before="0" w:after="0" w:line="203" w:lineRule="exact"/>
        <w:ind w:right="144" w:left="360"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	</w:t>
      </w:r>
      <w:r>
        <w:rPr>
          <w:rFonts w:ascii="Ebrima" w:hAnsi="Ebrima" w:eastAsia="Ebrima"/>
          <w:strike w:val="false"/>
          <w:color w:val="000000"/>
          <w:spacing w:val="0"/>
          <w:w w:val="100"/>
          <w:sz w:val="15"/>
          <w:vertAlign w:val="baseline"/>
          <w:lang w:val="en-US"/>
        </w:rPr>
        <w:t xml:space="preserve">This Section identifies the types of facilities that are appropriate for various street types. Section 2.4 of the Active Transportation Implementation Plan provides specific design guidance for each facility.</w:t>
      </w:r>
    </w:p>
    <w:p>
      <w:pPr>
        <w:pageBreakBefore w:val="false"/>
        <w:tabs>
          <w:tab w:val="left" w:leader="none" w:pos="936"/>
        </w:tabs>
        <w:spacing w:before="3" w:after="0" w:line="204" w:lineRule="exact"/>
        <w:ind w:right="0" w:left="50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(c)	</w:t>
      </w:r>
      <w:r>
        <w:rPr>
          <w:rFonts w:ascii="Ebrima" w:hAnsi="Ebrima" w:eastAsia="Ebrima"/>
          <w:strike w:val="false"/>
          <w:color w:val="000000"/>
          <w:spacing w:val="-1"/>
          <w:w w:val="100"/>
          <w:sz w:val="15"/>
          <w:vertAlign w:val="baseline"/>
          <w:lang w:val="en-US"/>
        </w:rPr>
        <w:t xml:space="preserve">Street Types in Tooele County:</w:t>
      </w:r>
    </w:p>
    <w:p>
      <w:pPr>
        <w:pageBreakBefore w:val="false"/>
        <w:numPr>
          <w:ilvl w:val="0"/>
          <w:numId w:val="3"/>
        </w:numPr>
        <w:tabs>
          <w:tab w:val="clear" w:pos="432"/>
          <w:tab w:val="left" w:pos="1368"/>
        </w:tabs>
        <w:spacing w:before="0" w:after="0" w:line="201" w:lineRule="exact"/>
        <w:ind w:right="0" w:left="93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Freeway/Highway;</w:t>
      </w:r>
    </w:p>
    <w:p>
      <w:pPr>
        <w:pageBreakBefore w:val="false"/>
        <w:numPr>
          <w:ilvl w:val="0"/>
          <w:numId w:val="3"/>
        </w:numPr>
        <w:tabs>
          <w:tab w:val="clear" w:pos="432"/>
          <w:tab w:val="left" w:pos="1368"/>
        </w:tabs>
        <w:spacing w:before="3" w:after="0" w:line="204" w:lineRule="exact"/>
        <w:ind w:right="0" w:left="93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Community Spine;</w:t>
      </w:r>
    </w:p>
    <w:p>
      <w:pPr>
        <w:pageBreakBefore w:val="false"/>
        <w:numPr>
          <w:ilvl w:val="0"/>
          <w:numId w:val="3"/>
        </w:numPr>
        <w:tabs>
          <w:tab w:val="clear" w:pos="432"/>
          <w:tab w:val="left" w:pos="1368"/>
        </w:tabs>
        <w:spacing w:before="0" w:after="0" w:line="201" w:lineRule="exact"/>
        <w:ind w:right="0" w:left="93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Mobility Connector;</w:t>
      </w:r>
    </w:p>
    <w:p>
      <w:pPr>
        <w:pageBreakBefore w:val="false"/>
        <w:numPr>
          <w:ilvl w:val="0"/>
          <w:numId w:val="3"/>
        </w:numPr>
        <w:tabs>
          <w:tab w:val="clear" w:pos="432"/>
          <w:tab w:val="left" w:pos="1368"/>
        </w:tabs>
        <w:spacing w:before="3" w:after="0" w:line="204" w:lineRule="exact"/>
        <w:ind w:right="0" w:left="93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Neighborhood Connector;</w:t>
      </w:r>
    </w:p>
    <w:p>
      <w:pPr>
        <w:pageBreakBefore w:val="false"/>
        <w:numPr>
          <w:ilvl w:val="0"/>
          <w:numId w:val="3"/>
        </w:numPr>
        <w:tabs>
          <w:tab w:val="clear" w:pos="432"/>
          <w:tab w:val="left" w:pos="1368"/>
        </w:tabs>
        <w:spacing w:before="0" w:after="0" w:line="201" w:lineRule="exact"/>
        <w:ind w:right="0" w:left="93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Rural Preservation Connector;</w:t>
      </w:r>
    </w:p>
    <w:p>
      <w:pPr>
        <w:pageBreakBefore w:val="false"/>
        <w:numPr>
          <w:ilvl w:val="0"/>
          <w:numId w:val="3"/>
        </w:numPr>
        <w:tabs>
          <w:tab w:val="clear" w:pos="432"/>
          <w:tab w:val="left" w:pos="1368"/>
        </w:tabs>
        <w:spacing w:before="7" w:after="0" w:line="204" w:lineRule="exact"/>
        <w:ind w:right="0" w:left="93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Center Connector; and</w:t>
      </w:r>
    </w:p>
    <w:p>
      <w:pPr>
        <w:pageBreakBefore w:val="false"/>
        <w:numPr>
          <w:ilvl w:val="0"/>
          <w:numId w:val="3"/>
        </w:numPr>
        <w:tabs>
          <w:tab w:val="clear" w:pos="432"/>
          <w:tab w:val="left" w:pos="1368"/>
        </w:tabs>
        <w:spacing w:before="0" w:after="0" w:line="202" w:lineRule="exact"/>
        <w:ind w:right="0" w:left="93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Industrial Connector.</w:t>
      </w:r>
    </w:p>
    <w:p>
      <w:pPr>
        <w:pageBreakBefore w:val="false"/>
        <w:tabs>
          <w:tab w:val="left" w:leader="none" w:pos="936"/>
        </w:tabs>
        <w:spacing w:before="3" w:after="0" w:line="204" w:lineRule="exact"/>
        <w:ind w:right="144" w:left="360"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	</w:t>
      </w:r>
      <w:r>
        <w:rPr>
          <w:rFonts w:ascii="Ebrima" w:hAnsi="Ebrima" w:eastAsia="Ebrima"/>
          <w:strike w:val="false"/>
          <w:color w:val="000000"/>
          <w:spacing w:val="0"/>
          <w:w w:val="100"/>
          <w:sz w:val="15"/>
          <w:vertAlign w:val="baseline"/>
          <w:lang w:val="en-US"/>
        </w:rPr>
        <w:t xml:space="preserve">The Active Transportation Implementation Plan designates Street Types for many of Tooele Valley’s streets, as shown in Figure 4.1 of the Tooele County Transportation Plan. However, Street Types are also intended to be applied to future major streets as the valley is built out.</w:t>
      </w:r>
    </w:p>
    <w:p>
      <w:pPr>
        <w:pageBreakBefore w:val="false"/>
        <w:tabs>
          <w:tab w:val="left" w:leader="none" w:pos="936"/>
        </w:tabs>
        <w:spacing w:before="0" w:after="0" w:line="201" w:lineRule="exact"/>
        <w:ind w:right="0" w:left="50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	</w:t>
      </w:r>
      <w:r>
        <w:rPr>
          <w:rFonts w:ascii="Ebrima" w:hAnsi="Ebrima" w:eastAsia="Ebrima"/>
          <w:strike w:val="false"/>
          <w:color w:val="000000"/>
          <w:spacing w:val="0"/>
          <w:w w:val="100"/>
          <w:sz w:val="15"/>
          <w:vertAlign w:val="baseline"/>
          <w:lang w:val="en-US"/>
        </w:rPr>
        <w:t xml:space="preserve">To find the active transportation facility requirements/options for a street:</w:t>
      </w:r>
    </w:p>
    <w:p>
      <w:pPr>
        <w:pageBreakBefore w:val="false"/>
        <w:numPr>
          <w:ilvl w:val="0"/>
          <w:numId w:val="4"/>
        </w:numPr>
        <w:tabs>
          <w:tab w:val="clear" w:pos="432"/>
          <w:tab w:val="left" w:pos="1368"/>
        </w:tabs>
        <w:spacing w:before="3" w:after="0" w:line="204" w:lineRule="exact"/>
        <w:ind w:right="0" w:left="93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Consult the map in Figure 2-1 of the Active Transportation Implementation Plan;</w:t>
      </w:r>
    </w:p>
    <w:p>
      <w:pPr>
        <w:pageBreakBefore w:val="false"/>
        <w:numPr>
          <w:ilvl w:val="0"/>
          <w:numId w:val="4"/>
        </w:numPr>
        <w:tabs>
          <w:tab w:val="clear" w:pos="432"/>
          <w:tab w:val="left" w:pos="1368"/>
        </w:tabs>
        <w:spacing w:before="2" w:after="0" w:line="204" w:lineRule="exact"/>
        <w:ind w:right="0" w:left="93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Identify the street’s Street Type;</w:t>
      </w:r>
    </w:p>
    <w:p>
      <w:pPr>
        <w:pageBreakBefore w:val="false"/>
        <w:numPr>
          <w:ilvl w:val="0"/>
          <w:numId w:val="4"/>
        </w:numPr>
        <w:tabs>
          <w:tab w:val="clear" w:pos="432"/>
          <w:tab w:val="left" w:pos="1368"/>
        </w:tabs>
        <w:spacing w:before="0" w:after="0" w:line="204" w:lineRule="exact"/>
        <w:ind w:right="144" w:left="93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there is no designated Street Type for your street, consult with the Community Development Department to assign one;</w:t>
      </w:r>
    </w:p>
    <w:p>
      <w:pPr>
        <w:pageBreakBefore w:val="false"/>
        <w:tabs>
          <w:tab w:val="right" w:leader="none" w:pos="7056"/>
        </w:tabs>
        <w:spacing w:before="363" w:after="0" w:line="223" w:lineRule="exact"/>
        <w:ind w:right="0" w:left="0"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35-20</w:t>
      </w:r>
    </w:p>
    <w:p>
      <w:pPr>
        <w:sectPr>
          <w:type w:val="nextPage"/>
          <w:pgSz w:w="12240" w:h="15840" w:orient="portrait"/>
          <w:pgMar w:bottom="1544" w:top="1940" w:right="3955" w:left="1085"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2" coordsize="21600,21600" o:spt="202" path="m,l,21600r21600,l21600,xe">
            <v:stroke joinstyle="miter"/>
            <v:path gradientshapeok="t" o:connecttype="rect"/>
          </v:shapetype>
          <v:shape id="_x0000_s1" type="#_x0000_t2" fillcolor="#F1F1F1" stroked="f" style="position:absolute;width:193.9pt;height:596.6pt;z-index:-999;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5"/>
        </w:numPr>
        <w:tabs>
          <w:tab w:val="clear" w:pos="432"/>
          <w:tab w:val="left" w:pos="1440"/>
        </w:tabs>
        <w:spacing w:before="406" w:after="0" w:line="205" w:lineRule="exact"/>
        <w:ind w:right="72"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Find the active transportation facility options in Figure 2-1 of the Active Transportation Implementation Plan or the list below;</w:t>
      </w:r>
    </w:p>
    <w:p>
      <w:pPr>
        <w:pageBreakBefore w:val="false"/>
        <w:numPr>
          <w:ilvl w:val="0"/>
          <w:numId w:val="5"/>
        </w:numPr>
        <w:tabs>
          <w:tab w:val="clear" w:pos="432"/>
          <w:tab w:val="left" w:pos="1440"/>
        </w:tabs>
        <w:spacing w:before="0" w:after="0" w:line="197" w:lineRule="exact"/>
        <w:ind w:right="0"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Select one of the options for active transportation facilities; and</w:t>
      </w:r>
    </w:p>
    <w:p>
      <w:pPr>
        <w:pageBreakBefore w:val="false"/>
        <w:numPr>
          <w:ilvl w:val="0"/>
          <w:numId w:val="5"/>
        </w:numPr>
        <w:tabs>
          <w:tab w:val="clear" w:pos="432"/>
          <w:tab w:val="left" w:pos="1440"/>
        </w:tabs>
        <w:spacing w:before="3" w:after="0" w:line="205" w:lineRule="exact"/>
        <w:ind w:right="144"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Locate the design guidance and standard for the active transportation facility in Section 2.4 of the Active Transportation Implementation Plan.</w:t>
      </w:r>
    </w:p>
    <w:p>
      <w:pPr>
        <w:pageBreakBefore w:val="false"/>
        <w:numPr>
          <w:ilvl w:val="0"/>
          <w:numId w:val="6"/>
        </w:numPr>
        <w:tabs>
          <w:tab w:val="clear" w:pos="360"/>
          <w:tab w:val="left" w:pos="576"/>
        </w:tabs>
        <w:spacing w:before="3"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Drainage infrastructure, such as curb and gutter, storm drain systems, and swales, shall be provided per the requirements of the zoning district, the Planning Commission, or the County Engineer.</w:t>
      </w:r>
    </w:p>
    <w:p>
      <w:pPr>
        <w:pageBreakBefore w:val="false"/>
        <w:numPr>
          <w:ilvl w:val="0"/>
          <w:numId w:val="6"/>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Sidewalks, other active transportation facilities, curbs, and gutters shall be installed per county standards. (Ord. 2022-32, 11/29/22)</w:t>
      </w:r>
    </w:p>
    <w:p>
      <w:pPr>
        <w:pageBreakBefore w:val="false"/>
        <w:spacing w:before="199"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35-6-6. Monuments.</w:t>
      </w:r>
    </w:p>
    <w:p>
      <w:pPr>
        <w:pageBreakBefore w:val="false"/>
        <w:numPr>
          <w:ilvl w:val="0"/>
          <w:numId w:val="7"/>
        </w:numPr>
        <w:tabs>
          <w:tab w:val="clear" w:pos="360"/>
          <w:tab w:val="left" w:pos="576"/>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Permanent reference monuments shall be installed per county standards. They shall be set on the external boundary of the subdivision, at all road centerline intersections, and at all beginning and end points of curves, to provide line of sight control for re-establishing the survey.</w:t>
      </w:r>
    </w:p>
    <w:p>
      <w:pPr>
        <w:pageBreakBefore w:val="false"/>
        <w:numPr>
          <w:ilvl w:val="0"/>
          <w:numId w:val="7"/>
        </w:numPr>
        <w:tabs>
          <w:tab w:val="clear" w:pos="360"/>
          <w:tab w:val="left" w:pos="576"/>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Block and lot monuments shall be set.</w:t>
      </w:r>
    </w:p>
    <w:p>
      <w:pPr>
        <w:pageBreakBefore w:val="false"/>
        <w:numPr>
          <w:ilvl w:val="0"/>
          <w:numId w:val="7"/>
        </w:numPr>
        <w:tabs>
          <w:tab w:val="clear" w:pos="360"/>
          <w:tab w:val="left" w:pos="576"/>
        </w:tabs>
        <w:spacing w:before="8" w:after="0" w:line="205" w:lineRule="exact"/>
        <w:ind w:right="72"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At least one second-order benchmark shall be set within every subdivision. (Ord. 2022-32, 11/29/22)</w:t>
      </w:r>
    </w:p>
    <w:p>
      <w:pPr>
        <w:pageBreakBefore w:val="false"/>
        <w:spacing w:before="193"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35-6-7. Easements.</w:t>
      </w:r>
    </w:p>
    <w:p>
      <w:pPr>
        <w:pageBreakBefore w:val="false"/>
        <w:numPr>
          <w:ilvl w:val="0"/>
          <w:numId w:val="8"/>
        </w:numPr>
        <w:tabs>
          <w:tab w:val="clear" w:pos="360"/>
          <w:tab w:val="left" w:pos="576"/>
        </w:tabs>
        <w:spacing w:before="0" w:after="0" w:line="198"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ten-foot public utility easement shall traverse the front of each lot.</w:t>
      </w:r>
    </w:p>
    <w:p>
      <w:pPr>
        <w:pageBreakBefore w:val="false"/>
        <w:numPr>
          <w:ilvl w:val="0"/>
          <w:numId w:val="8"/>
        </w:numPr>
        <w:tabs>
          <w:tab w:val="clear" w:pos="360"/>
          <w:tab w:val="left" w:pos="576"/>
        </w:tabs>
        <w:spacing w:before="2" w:after="0" w:line="205"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Guying easements at corners may be required. (Ord. 2022-32, 11/29/22)</w:t>
      </w:r>
    </w:p>
    <w:p>
      <w:pPr>
        <w:pageBreakBefore w:val="false"/>
        <w:spacing w:before="198"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35-6-8. Utilities to be underground.</w:t>
      </w:r>
    </w:p>
    <w:p>
      <w:pPr>
        <w:pageBreakBefore w:val="false"/>
        <w:spacing w:before="0" w:after="0" w:line="203"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power lines, telephone lines, and other normally overhead utility lines shall be placed underground in all subdivisions. The applicant shall establish final utility grades before utility lines are placed underground. (Ord. 2022-32, 11/29/22)</w:t>
      </w:r>
    </w:p>
    <w:p>
      <w:pPr>
        <w:pageBreakBefore w:val="false"/>
        <w:spacing w:before="198"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35-6-9. Sewer systems.</w:t>
      </w:r>
    </w:p>
    <w:p>
      <w:pPr>
        <w:pageBreakBefore w:val="false"/>
        <w:numPr>
          <w:ilvl w:val="0"/>
          <w:numId w:val="9"/>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Except as otherwise provided in this Section, the applicant shall provide a piped sanitary sewer system to the property line of every lot in the subdivision. The sewer system shall meet the minimum standards and requirements of the County Health Department.</w:t>
      </w:r>
    </w:p>
    <w:p>
      <w:pPr>
        <w:pageBreakBefore w:val="false"/>
        <w:numPr>
          <w:ilvl w:val="0"/>
          <w:numId w:val="9"/>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On-site wastewater disposal systems will be approved only when an existing sewer system is more than 300 feet away from the boundary line of the subdivision or the service provider will not provide the service to the subdivision. All on-site wastewater disposal systems shall be approved in writing by the County Health Department. Subdivisions proposing to use on-site wastewater disposal systems shall submit a feasibility report to the County Health Department. Percolation tests and soil exploration pits shall be required to determine the adequacy of the soil involved for on-site wastewater disposal systems to absorb sewage effluent. When an application is made for a building permit, a soil evaluation test of the proposed drain field shall be required for each lot that will be served by a septic system. The following requirements shall also be met:</w:t>
      </w:r>
    </w:p>
    <w:p>
      <w:pPr>
        <w:pageBreakBefore w:val="false"/>
        <w:numPr>
          <w:ilvl w:val="0"/>
          <w:numId w:val="10"/>
        </w:numPr>
        <w:tabs>
          <w:tab w:val="clear" w:pos="432"/>
          <w:tab w:val="left" w:pos="1008"/>
        </w:tabs>
        <w:spacing w:before="3" w:after="0" w:line="205" w:lineRule="exact"/>
        <w:ind w:right="72"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Lands filled within the last ten years shall not be divided into building sites that are to be served by septic systems.</w:t>
      </w:r>
    </w:p>
    <w:p>
      <w:pPr>
        <w:pageBreakBefore w:val="false"/>
        <w:numPr>
          <w:ilvl w:val="0"/>
          <w:numId w:val="10"/>
        </w:numPr>
        <w:tabs>
          <w:tab w:val="clear" w:pos="432"/>
          <w:tab w:val="left" w:pos="1008"/>
        </w:tabs>
        <w:spacing w:before="0" w:after="0" w:line="204" w:lineRule="exact"/>
        <w:ind w:right="72"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Each septic system shall be installed at a depth and location approved by the County Health Department.</w:t>
      </w:r>
    </w:p>
    <w:p>
      <w:pPr>
        <w:pageBreakBefore w:val="false"/>
        <w:tabs>
          <w:tab w:val="right" w:leader="none" w:pos="7056"/>
        </w:tabs>
        <w:spacing w:before="613"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35-21</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72" w:left="72" w:firstLine="0"/>
        <w:jc w:val="center"/>
        <w:textAlignment w:val="baseline"/>
        <w:rPr>
          <w:rFonts w:ascii="Ebrima" w:hAnsi="Ebrima" w:eastAsia="Ebrima"/>
          <w:strike w:val="false"/>
          <w:color w:val="000000"/>
          <w:spacing w:val="-4"/>
          <w:w w:val="100"/>
          <w:sz w:val="17"/>
          <w:vertAlign w:val="baseline"/>
          <w:lang w:val="en-US"/>
        </w:rPr>
      </w:pPr>
      <w:r>
        <w:pict>
          <v:shapetype id="_x0000_t3" coordsize="21600,21600" o:spt="202" path="m,l,21600r21600,l21600,xe">
            <v:stroke joinstyle="miter"/>
            <v:path gradientshapeok="t" o:connecttype="rect"/>
          </v:shapetype>
          <v:shape id="_x0000_s2" type="#_x0000_t3" fillcolor="#F1F1F1" stroked="f" style="position:absolute;width:193.9pt;height:596.6pt;z-index:-998;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1"/>
        </w:numPr>
        <w:tabs>
          <w:tab w:val="clear" w:pos="360"/>
          <w:tab w:val="left" w:pos="1008"/>
        </w:tabs>
        <w:spacing w:before="41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 with an unacceptable soil evaluation, as determined by the County Health Department, shall not be divided into building sites to be served by septic systems.</w:t>
      </w:r>
    </w:p>
    <w:p>
      <w:pPr>
        <w:pageBreakBefore w:val="false"/>
        <w:numPr>
          <w:ilvl w:val="0"/>
          <w:numId w:val="11"/>
        </w:numPr>
        <w:tabs>
          <w:tab w:val="clear" w:pos="360"/>
          <w:tab w:val="left" w:pos="1008"/>
        </w:tabs>
        <w:spacing w:before="2"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 rated as having severe limitations for septic tank absorption fields, as defined by the County Soil Survey prepared by the United States Department of Agriculture (USDA) Natural Resources Conservation Service (NRCS), shall not be divided into building sites to be served by septic systems unless each such building site contains not less than 20,000 square feet of other soils rated suitable for installation of a septic system.</w:t>
      </w:r>
    </w:p>
    <w:p>
      <w:pPr>
        <w:pageBreakBefore w:val="false"/>
        <w:numPr>
          <w:ilvl w:val="0"/>
          <w:numId w:val="11"/>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 applicant desiring to install septic systems in soils with severe limitations shall obtain additional on-site investigations, including soil evaluation tests. The applicant shall obtain a soil scientist's certification that specific areas within these soils are suitable for the proposed septic system. The facilities shall meet County Health Department standards and regulations. To be approved, the County Health Department must find that proposed corrective measures have overcome the severe soil limitations. (Ord. 2022-32, 11/29/22)</w:t>
      </w:r>
    </w:p>
    <w:p>
      <w:pPr>
        <w:pageBreakBefore w:val="false"/>
        <w:spacing w:before="192" w:after="0" w:line="204" w:lineRule="exact"/>
        <w:ind w:right="72" w:left="72" w:firstLine="0"/>
        <w:jc w:val="both"/>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35-6-10. Sanitary sewer mains, laterals, and house connections – Future.</w:t>
      </w:r>
    </w:p>
    <w:p>
      <w:pPr>
        <w:pageBreakBefore w:val="false"/>
        <w:spacing w:before="5" w:after="0" w:line="204"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Where county or regional general plans indicate that construction or extension of a sanitary sewer system may serve the subdivision area within a reasonable time, the county shall require the applicant to install and cap sanitary sewer mains and house connections in addition to the installation of temporary individual on-lot sewage disposal systems. Whenever individual on-lot sewage disposal systems are proposed, the applicant shall either install such facilities or require by deed restrictions or otherwise as a condition of the sale of each lot or parcel within such subdivision that those facilities be installed before or during the construction of the principal building. No building permit shall be issued until such installation is assured. In other cases, a community or public sewer system shall provide sewage disposal facilities for every lot or parcel. (Ord. 2022-32, 11/29/22)</w:t>
      </w:r>
    </w:p>
    <w:p>
      <w:pPr>
        <w:pageBreakBefore w:val="false"/>
        <w:spacing w:before="196" w:after="0" w:line="204" w:lineRule="exact"/>
        <w:ind w:right="72"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35-6-11. Water supply.</w:t>
      </w:r>
    </w:p>
    <w:p>
      <w:pPr>
        <w:pageBreakBefore w:val="false"/>
        <w:tabs>
          <w:tab w:val="right" w:leader="none" w:pos="7128"/>
        </w:tabs>
        <w:spacing w:before="0" w:after="0" w:line="203"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Major and planned community subdivisions require a public water supply system that complies
</w:t>
        <w:br/>
      </w:r>
      <w:r>
        <w:rPr>
          <w:rFonts w:ascii="Ebrima" w:hAnsi="Ebrima" w:eastAsia="Ebrima"/>
          <w:strike w:val="false"/>
          <w:color w:val="000000"/>
          <w:spacing w:val="0"/>
          <w:w w:val="100"/>
          <w:sz w:val="15"/>
          <w:vertAlign w:val="baseline"/>
          <w:lang w:val="en-US"/>
        </w:rPr>
        <w:t xml:space="preserve">with all applicable state and local laws:</w:t>
      </w:r>
    </w:p>
    <w:p>
      <w:pPr>
        <w:pageBreakBefore w:val="false"/>
        <w:numPr>
          <w:ilvl w:val="0"/>
          <w:numId w:val="12"/>
        </w:numPr>
        <w:tabs>
          <w:tab w:val="clear" w:pos="360"/>
          <w:tab w:val="left" w:pos="1008"/>
        </w:tabs>
        <w:spacing w:before="0" w:after="0" w:line="202"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when more than 70% of the lots in the subdivision are less than two acres in area; or</w:t>
      </w:r>
    </w:p>
    <w:p>
      <w:pPr>
        <w:pageBreakBefore w:val="false"/>
        <w:numPr>
          <w:ilvl w:val="0"/>
          <w:numId w:val="12"/>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when the County Health Department determines that conditions require a public water supply to protect the public's health.</w:t>
      </w:r>
    </w:p>
    <w:p>
      <w:pPr>
        <w:pageBreakBefore w:val="false"/>
        <w:tabs>
          <w:tab w:val="right" w:leader="none" w:pos="7128"/>
        </w:tabs>
        <w:spacing w:before="2" w:after="0" w:line="204"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supply of water from a source other than an approved public water system may be approved
</w:t>
        <w:br/>
      </w:r>
      <w:r>
        <w:rPr>
          <w:rFonts w:ascii="Ebrima" w:hAnsi="Ebrima" w:eastAsia="Ebrima"/>
          <w:strike w:val="false"/>
          <w:color w:val="000000"/>
          <w:spacing w:val="0"/>
          <w:w w:val="100"/>
          <w:sz w:val="15"/>
          <w:vertAlign w:val="baseline"/>
          <w:lang w:val="en-US"/>
        </w:rPr>
        <w:t xml:space="preserve">only if proof of adequate water rights and proof of water availability, flow, and quality meet the Safe Drinking Water Standards by a water sample from wells on ten percent of the lots rounded up to the next whole number. In the application stage, the applicant shall show proof of sufficient water rights to provide domestic use for the total number of proposed dwellings for the entire development. The first phase of development shall include the engineering for the water system if required. The engineering for the entire development shall include the water tank and treatment facilities with a fire flow calculation. The County Health Department shall approve the location of the test wells before the applicant drills them. The samples shall be taken by and have a complete chemical analysis performed and approved by the County Health Department. All non-public drinking water systems shall meet the standards of the County Health Department. (Ord. 2022-32, 11/29/22)</w:t>
      </w:r>
    </w:p>
    <w:p>
      <w:pPr>
        <w:pageBreakBefore w:val="false"/>
        <w:tabs>
          <w:tab w:val="right" w:leader="none" w:pos="7128"/>
        </w:tabs>
        <w:spacing w:before="1000" w:after="0" w:line="223" w:lineRule="exact"/>
        <w:ind w:right="72"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35-22</w:t>
      </w:r>
    </w:p>
    <w:p>
      <w:pPr>
        <w:sectPr>
          <w:type w:val="nextPage"/>
          <w:pgSz w:w="12240" w:h="15840" w:orient="portrait"/>
          <w:pgMar w:bottom="1544" w:top="1940" w:right="4022" w:left="1018" w:header="720" w:footer="720"/>
          <w:titlePg w:val="false"/>
          <w:textDirection w:val="lrTb"/>
        </w:sectPr>
      </w:pPr>
    </w:p>
    <w:p>
      <w:pPr>
        <w:pageBreakBefore w:val="false"/>
        <w:spacing w:before="779" w:after="0" w:line="223" w:lineRule="exact"/>
        <w:ind w:right="72" w:left="72" w:firstLine="0"/>
        <w:jc w:val="center"/>
        <w:textAlignment w:val="baseline"/>
        <w:rPr>
          <w:rFonts w:ascii="Ebrima" w:hAnsi="Ebrima" w:eastAsia="Ebrima"/>
          <w:strike w:val="false"/>
          <w:color w:val="000000"/>
          <w:spacing w:val="-4"/>
          <w:w w:val="100"/>
          <w:sz w:val="17"/>
          <w:vertAlign w:val="baseline"/>
          <w:lang w:val="en-US"/>
        </w:rPr>
      </w:pPr>
      <w:r>
        <w:pict>
          <v:shapetype id="_x0000_t4" coordsize="21600,21600" o:spt="202" path="m,l,21600r21600,l21600,xe">
            <v:stroke joinstyle="miter"/>
            <v:path gradientshapeok="t" o:connecttype="rect"/>
          </v:shapetype>
          <v:shape id="_x0000_s3" type="#_x0000_t4" fillcolor="#F1F1F1" stroked="f" style="position:absolute;width:193.9pt;height:596.6pt;z-index:-997;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395"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35-6-12. Storm drainage and floodplains.</w:t>
      </w:r>
    </w:p>
    <w:p>
      <w:pPr>
        <w:pageBreakBefore w:val="false"/>
        <w:numPr>
          <w:ilvl w:val="0"/>
          <w:numId w:val="13"/>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storm drainage system for the entire subdivision shall be designed by a professional engineer licensed in the State of Utah and qualified to perform such work. Existing storm drainage features to be incorporated into the design shall be identified. If the subdivision has phases, a general storm drainage plan for the entire area shall be presented with the design and engineering. Appropriate development stages for the storm drainage system for each phase shall be indicated.</w:t>
      </w:r>
    </w:p>
    <w:p>
      <w:pPr>
        <w:pageBreakBefore w:val="false"/>
        <w:numPr>
          <w:ilvl w:val="0"/>
          <w:numId w:val="13"/>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 lot one acre or less in area shall include flood lands. All lots of more than one acre shall contain not less than 40,000 square feet of land at least two feet above the elevation of the 100-year recurrence interval flood or, where such data is unavailable, five feet above the elevation of the maximum flood of record.</w:t>
      </w:r>
    </w:p>
    <w:p>
      <w:pPr>
        <w:pageBreakBefore w:val="false"/>
        <w:numPr>
          <w:ilvl w:val="0"/>
          <w:numId w:val="13"/>
        </w:numPr>
        <w:tabs>
          <w:tab w:val="clear" w:pos="360"/>
          <w:tab w:val="left" w:pos="576"/>
        </w:tabs>
        <w:spacing w:before="1"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Storm drainage systems shall be designed to consider the storm drainage basin. They shall accommodate not only runoff from the subdivision but also, where applicable, the runoff from those areas adjacent to and upstream from the subdivision itself and its effects on lands downstream. (Ord. 2022-32, 11/29/22)</w:t>
      </w:r>
    </w:p>
    <w:p>
      <w:pPr>
        <w:pageBreakBefore w:val="false"/>
        <w:spacing w:before="199"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35-6-13. Fire mitigation standards.</w:t>
      </w:r>
    </w:p>
    <w:p>
      <w:pPr>
        <w:pageBreakBefore w:val="false"/>
        <w:numPr>
          <w:ilvl w:val="0"/>
          <w:numId w:val="14"/>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Fire Warden and local fire authority having jurisdiction shall perform a wildland fire protection analysis of all developments, existing or planned, to determine wildland fire protection ratings. The ratings developed under the analysis shall be the basis for implementing fire-safe design, construction criteria, and fire protection systems. The higher the relative value, the higher the wildland/urban interface and the fire protection hazard rating.</w:t>
      </w:r>
    </w:p>
    <w:p>
      <w:pPr>
        <w:pageBreakBefore w:val="false"/>
        <w:numPr>
          <w:ilvl w:val="0"/>
          <w:numId w:val="14"/>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analysis shall reference the Tooele County wildland/urban interface risk zones map identified in Title 6, Chapter 18 of the Tooele County Code to determine the wildland-urban interface hazard rating.</w:t>
      </w:r>
    </w:p>
    <w:p>
      <w:pPr>
        <w:pageBreakBefore w:val="false"/>
        <w:numPr>
          <w:ilvl w:val="0"/>
          <w:numId w:val="14"/>
        </w:numPr>
        <w:tabs>
          <w:tab w:val="clear" w:pos="360"/>
          <w:tab w:val="left" w:pos="576"/>
        </w:tabs>
        <w:spacing w:before="3"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Subdivision design shall reflect mitigation for those hazards identified in the fire protection analysis and those standards required in Title 6, Chapter 18 of the Tooele County Code.</w:t>
      </w:r>
    </w:p>
    <w:p>
      <w:pPr>
        <w:pageBreakBefore w:val="false"/>
        <w:numPr>
          <w:ilvl w:val="0"/>
          <w:numId w:val="14"/>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Fire suppression water sources shall be reviewed and approved by the Fire Warden or the local fire authority having jurisdiction. The system shall provide for fire flow storage of water that complies with the current state-adopted fire code, local ordinances, local fire authority regulations, and NFPA guidelines for the type of occupancy and level of development. Any fire hydrants shall be placed per the International Fire Code and the National Fire Protection Association standards.</w:t>
      </w:r>
    </w:p>
    <w:p>
      <w:pPr>
        <w:pageBreakBefore w:val="false"/>
        <w:numPr>
          <w:ilvl w:val="0"/>
          <w:numId w:val="14"/>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Defensible space for structures and buildings shall be used in all covenants, contracts, and subdivisions in conformance with development standards adopted by Tooele County Code Title 6, Chapter 18.</w:t>
      </w:r>
    </w:p>
    <w:p>
      <w:pPr>
        <w:pageBreakBefore w:val="false"/>
        <w:numPr>
          <w:ilvl w:val="0"/>
          <w:numId w:val="14"/>
        </w:numPr>
        <w:tabs>
          <w:tab w:val="clear" w:pos="360"/>
          <w:tab w:val="left" w:pos="576"/>
        </w:tabs>
        <w:spacing w:before="1"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Roads and streets shall provide safe access for emergency equipment, civilian evacuation, and unobstructed traffic circulation during an emergency. They shall be designed per Title 6, Chapter 18 of the Tooele County Code and/or 6-17-3 of the Tooele County Code, which adopts the International Fire Code and IFC Appendix D: Fire Apparatus Access. (Ord. 2022-32, 11/29/22)</w:t>
      </w:r>
    </w:p>
    <w:p>
      <w:pPr>
        <w:pageBreakBefore w:val="false"/>
        <w:spacing w:before="193" w:after="0" w:line="204" w:lineRule="exact"/>
        <w:ind w:right="72" w:left="72" w:firstLine="0"/>
        <w:jc w:val="both"/>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35-6-14. Street connectivity requirements.</w:t>
      </w:r>
    </w:p>
    <w:p>
      <w:pPr>
        <w:pageBreakBefore w:val="false"/>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Connectivity standards require that the streets in new neighborhoods have a minimum level of connectivity both within the neighborhood and outside it to existing and future developments. Street connectivity provides various benefits, including access to community destinations, active transportation, emergency response, and traffic performance. While traffic impact must be reviewed for connections to new subdivisions, connectivity is generally better for community traffic performance and safety.</w:t>
      </w:r>
    </w:p>
    <w:p>
      <w:pPr>
        <w:pageBreakBefore w:val="false"/>
        <w:tabs>
          <w:tab w:val="left" w:leader="none" w:pos="576"/>
        </w:tabs>
        <w:spacing w:before="1" w:after="0" w:line="205" w:lineRule="exact"/>
        <w:ind w:right="72"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Internal connections:</w:t>
      </w:r>
    </w:p>
    <w:p>
      <w:pPr>
        <w:pageBreakBefore w:val="false"/>
        <w:tabs>
          <w:tab w:val="right" w:leader="none" w:pos="7128"/>
        </w:tabs>
        <w:spacing w:before="397" w:after="0" w:line="223" w:lineRule="exact"/>
        <w:ind w:right="72"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35-23</w:t>
      </w:r>
    </w:p>
    <w:p>
      <w:pPr>
        <w:sectPr>
          <w:type w:val="nextPage"/>
          <w:pgSz w:w="12240" w:h="15840" w:orient="portrait"/>
          <w:pgMar w:bottom="1544" w:top="1940" w:right="4022" w:left="1018" w:header="720" w:footer="720"/>
          <w:titlePg w:val="false"/>
          <w:textDirection w:val="lrTb"/>
        </w:sectPr>
      </w:pPr>
    </w:p>
    <w:p>
      <w:pPr>
        <w:pageBreakBefore w:val="false"/>
        <w:spacing w:before="779" w:after="0" w:line="223" w:lineRule="exact"/>
        <w:ind w:right="0" w:left="0" w:firstLine="0"/>
        <w:jc w:val="center"/>
        <w:textAlignment w:val="baseline"/>
        <w:rPr>
          <w:rFonts w:ascii="Ebrima" w:hAnsi="Ebrima" w:eastAsia="Ebrima"/>
          <w:strike w:val="false"/>
          <w:color w:val="000000"/>
          <w:spacing w:val="-4"/>
          <w:w w:val="100"/>
          <w:sz w:val="17"/>
          <w:vertAlign w:val="baseline"/>
          <w:lang w:val="en-US"/>
        </w:rPr>
      </w:pPr>
      <w:r>
        <w:pict>
          <v:shapetype id="_x0000_t5" coordsize="21600,21600" o:spt="202" path="m,l,21600r21600,l21600,xe">
            <v:stroke joinstyle="miter"/>
            <v:path gradientshapeok="t" o:connecttype="rect"/>
          </v:shapetype>
          <v:shape id="_x0000_s4" type="#_x0000_t5" fillcolor="#F1F1F1" stroked="f" style="position:absolute;width:193.9pt;height:596.6pt;z-index:-996;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tabs>
          <w:tab w:val="left" w:leader="none" w:pos="1008"/>
        </w:tabs>
        <w:spacing w:before="394" w:after="0" w:line="206" w:lineRule="exact"/>
        <w:ind w:right="72"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w:t>
      </w:r>
      <w:r>
        <w:rPr>
          <w:rFonts w:ascii="Ebrima" w:hAnsi="Ebrima" w:eastAsia="Ebrima"/>
          <w:strike w:val="false"/>
          <w:color w:val="000000"/>
          <w:spacing w:val="0"/>
          <w:w w:val="100"/>
          <w:sz w:val="15"/>
          <w:vertAlign w:val="baseline"/>
          <w:lang w:val="en-US"/>
        </w:rPr>
        <w:t xml:space="preserve">Minimum connectivity index: The connectivity index measures how connected the streets in an area are. The connectivity index is the ratio of the street segments in a given area to the intersections in the same area. The connectivity index is the number of “links,” or street segments, divided by the number of “nodes,” which include intersections and dead ends within a given area. For the purposes of the code, the area is the subdivision being proposed, including any major streets along its edges. The connectivity index shall be at least as high as the minimums specified in Table 2-3 in the Active Transportation Implementation Plan. The example connectivity plans in Figures 2-5 and 2-6 of the Active Transportation Implementation Plan include the identification of links and nodes and connectivity index calculations.</w:t>
      </w:r>
    </w:p>
    <w:p>
      <w:pPr>
        <w:pageBreakBefore w:val="false"/>
        <w:tabs>
          <w:tab w:val="left" w:leader="none" w:pos="1368"/>
        </w:tabs>
        <w:spacing w:before="0" w:after="0" w:line="202" w:lineRule="exact"/>
        <w:ind w:right="0"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	</w:t>
      </w:r>
      <w:r>
        <w:rPr>
          <w:rFonts w:ascii="Ebrima" w:hAnsi="Ebrima" w:eastAsia="Ebrima"/>
          <w:strike w:val="false"/>
          <w:color w:val="000000"/>
          <w:spacing w:val="0"/>
          <w:w w:val="100"/>
          <w:sz w:val="15"/>
          <w:vertAlign w:val="baseline"/>
          <w:lang w:val="en-US"/>
        </w:rPr>
        <w:t xml:space="preserve">Maximum block length</w:t>
      </w:r>
    </w:p>
    <w:p>
      <w:pPr>
        <w:pageBreakBefore w:val="false"/>
        <w:numPr>
          <w:ilvl w:val="0"/>
          <w:numId w:val="15"/>
        </w:numPr>
        <w:tabs>
          <w:tab w:val="clear" w:pos="360"/>
          <w:tab w:val="left" w:pos="1800"/>
        </w:tabs>
        <w:spacing w:before="0" w:after="0" w:line="205"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Maximum block lengths ensure that street networks have a minimum level of intersection density. Block lengths in the subdivision shall not exceed the maximums in Table 2-3 in the Active Transportation Implementation Plan. Subdivisions zoned RR-1, RR-5, and RR-10 have no block length maximums.</w:t>
      </w:r>
    </w:p>
    <w:p>
      <w:pPr>
        <w:pageBreakBefore w:val="false"/>
        <w:numPr>
          <w:ilvl w:val="0"/>
          <w:numId w:val="15"/>
        </w:numPr>
        <w:tabs>
          <w:tab w:val="clear" w:pos="360"/>
          <w:tab w:val="left" w:pos="1800"/>
        </w:tabs>
        <w:spacing w:before="0"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To maintain flexibility in subdivision design, for every 40 lots included in the development, one exception to the maximum block length is allowed. A block may be up to 2.5 times as long as the minimum.</w:t>
      </w:r>
    </w:p>
    <w:p>
      <w:pPr>
        <w:pageBreakBefore w:val="false"/>
        <w:numPr>
          <w:ilvl w:val="0"/>
          <w:numId w:val="15"/>
        </w:numPr>
        <w:tabs>
          <w:tab w:val="clear" w:pos="360"/>
          <w:tab w:val="left" w:pos="1800"/>
        </w:tabs>
        <w:spacing w:before="0" w:after="0" w:line="205"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addition, access management requirements for UDOT-managed streets may also allow block lengths along these streets to be longer. Active transportation pathways may be substituted in this case to maintain transportation connectivity.</w:t>
      </w:r>
    </w:p>
    <w:p>
      <w:pPr>
        <w:pageBreakBefore w:val="false"/>
        <w:numPr>
          <w:ilvl w:val="0"/>
          <w:numId w:val="15"/>
        </w:numPr>
        <w:tabs>
          <w:tab w:val="clear" w:pos="360"/>
          <w:tab w:val="left" w:pos="1800"/>
        </w:tabs>
        <w:spacing w:before="0" w:after="65"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example connectivity plans in Figures 2-5 and 2-6 of the Active Transportation Implementation Plan include identifying maximum block lengths and exceptions.</w:t>
      </w:r>
    </w:p>
    <w:tbl>
      <w:tblPr>
        <w:jc w:val="left"/>
        <w:tblInd w:w="1240" w:type="dxa"/>
        <w:tblLayout w:type="fixed"/>
        <w:tblCellMar>
          <w:left w:w="0" w:type="dxa"/>
          <w:right w:w="0" w:type="dxa"/>
        </w:tblCellMar>
      </w:tblPr>
      <w:tblGrid>
        <w:gridCol w:w="686"/>
        <w:gridCol w:w="898"/>
        <w:gridCol w:w="859"/>
        <w:gridCol w:w="994"/>
        <w:gridCol w:w="1632"/>
        <w:gridCol w:w="811"/>
      </w:tblGrid>
      <w:tr>
        <w:trPr>
          <w:trHeight w:val="298" w:hRule="exact"/>
        </w:trPr>
        <w:tc>
          <w:tcPr>
            <w:tcW w:w="7120" w:type="auto"/>
            <w:gridSpan w:val="6"/>
            <w:tcBorders>
              <w:top w:val="single" w:sz="4" w:color="000000"/>
              <w:left w:val="single" w:sz="4" w:color="000000"/>
              <w:bottom w:val="single" w:sz="4" w:color="000000"/>
              <w:right w:val="single" w:sz="4" w:color="000000"/>
            </w:tcBorders>
            <w:textDirection w:val="lrTb"/>
            <w:vAlign w:val="center"/>
          </w:tcPr>
          <w:p>
            <w:pPr>
              <w:pageBreakBefore w:val="false"/>
              <w:spacing w:before="53" w:after="44" w:line="200" w:lineRule="exact"/>
              <w:ind w:right="0" w:left="0" w:firstLine="0"/>
              <w:jc w:val="center"/>
              <w:textAlignment w:val="baseline"/>
              <w:rPr>
                <w:rFonts w:ascii="Ebrima" w:hAnsi="Ebrima" w:eastAsia="Ebrima"/>
                <w:b w:val="true"/>
                <w:strike w:val="false"/>
                <w:color w:val="000000"/>
                <w:spacing w:val="0"/>
                <w:w w:val="100"/>
                <w:sz w:val="15"/>
                <w:vertAlign w:val="baseline"/>
                <w:lang w:val="en-US"/>
              </w:rPr>
            </w:pPr>
            <w:r>
              <w:rPr>
                <w:rFonts w:ascii="Ebrima" w:hAnsi="Ebrima" w:eastAsia="Ebrima"/>
                <w:b w:val="true"/>
                <w:strike w:val="false"/>
                <w:color w:val="000000"/>
                <w:spacing w:val="0"/>
                <w:w w:val="100"/>
                <w:sz w:val="15"/>
                <w:vertAlign w:val="baseline"/>
                <w:lang w:val="en-US"/>
              </w:rPr>
              <w:t xml:space="preserve">Connectivity Requirements</w:t>
            </w:r>
          </w:p>
        </w:tc>
      </w:tr>
      <w:tr>
        <w:trPr>
          <w:trHeight w:val="249" w:hRule="exact"/>
        </w:trPr>
        <w:tc>
          <w:tcPr>
            <w:tcW w:w="1926" w:type="auto"/>
            <w:gridSpan w:val="1"/>
            <w:vMerge w:val="restart"/>
            <w:tcBorders>
              <w:top w:val="single" w:sz="4" w:color="000000"/>
              <w:left w:val="single" w:sz="4" w:color="000000"/>
              <w:bottom w:val="single" w:sz="0" w:color="000000"/>
              <w:right w:val="single" w:sz="4" w:color="000000"/>
            </w:tcBorders>
            <w:textDirection w:val="lrTb"/>
            <w:vAlign w:val="bottom"/>
          </w:tcPr>
          <w:p>
            <w:pPr>
              <w:pageBreakBefore w:val="false"/>
              <w:spacing w:before="697" w:after="18" w:line="206"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Zone</w:t>
            </w:r>
          </w:p>
        </w:tc>
        <w:tc>
          <w:tcPr>
            <w:tcW w:w="4677" w:type="auto"/>
            <w:gridSpan w:val="3"/>
            <w:tcBorders>
              <w:top w:val="single" w:sz="4" w:color="000000"/>
              <w:left w:val="single" w:sz="4" w:color="000000"/>
              <w:bottom w:val="single" w:sz="4" w:color="000000"/>
              <w:right w:val="single" w:sz="4" w:color="000000"/>
            </w:tcBorders>
            <w:textDirection w:val="lrTb"/>
            <w:vAlign w:val="center"/>
          </w:tcPr>
          <w:p>
            <w:pPr>
              <w:pageBreakBefore w:val="false"/>
              <w:spacing w:before="0" w:after="22" w:line="20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Internal Connectivity</w:t>
            </w:r>
          </w:p>
        </w:tc>
        <w:tc>
          <w:tcPr>
            <w:tcW w:w="7120" w:type="auto"/>
            <w:gridSpan w:val="2"/>
            <w:tcBorders>
              <w:top w:val="single" w:sz="4" w:color="000000"/>
              <w:left w:val="single" w:sz="4" w:color="000000"/>
              <w:bottom w:val="single" w:sz="4" w:color="000000"/>
              <w:right w:val="single" w:sz="4" w:color="000000"/>
            </w:tcBorders>
            <w:textDirection w:val="lrTb"/>
            <w:vAlign w:val="center"/>
          </w:tcPr>
          <w:p>
            <w:pPr>
              <w:pageBreakBefore w:val="false"/>
              <w:spacing w:before="0" w:after="22" w:line="20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External Connectivity</w:t>
            </w:r>
          </w:p>
        </w:tc>
      </w:tr>
      <w:tr>
        <w:trPr>
          <w:trHeight w:val="672" w:hRule="exact"/>
        </w:trPr>
        <w:tc>
          <w:tcPr>
            <w:tcW w:w="1926" w:type="auto"/>
            <w:gridSpan w:val="1"/>
            <w:vMerge w:val="continue"/>
            <w:tcBorders>
              <w:top w:val="single" w:sz="0" w:color="000000"/>
              <w:left w:val="single" w:sz="4" w:color="000000"/>
              <w:bottom w:val="single" w:sz="4" w:color="000000"/>
              <w:right w:val="single" w:sz="4" w:color="000000"/>
            </w:tcBorders>
            <w:textDirection w:val="lrTb"/>
            <w:vAlign w:val="bottom"/>
          </w:tcPr>
          <w:p/>
        </w:tc>
        <w:tc>
          <w:tcPr>
            <w:tcW w:w="2824" w:type="auto"/>
            <w:gridSpan w:val="1"/>
            <w:tcBorders>
              <w:top w:val="single" w:sz="4" w:color="000000"/>
              <w:left w:val="single" w:sz="4" w:color="000000"/>
              <w:bottom w:val="single" w:sz="4" w:color="000000"/>
              <w:right w:val="single" w:sz="4" w:color="000000"/>
            </w:tcBorders>
            <w:textDirection w:val="lrTb"/>
            <w:vAlign w:val="top"/>
          </w:tcPr>
          <w:p>
            <w:pPr>
              <w:pageBreakBefore w:val="false"/>
              <w:spacing w:before="176" w:after="19" w:line="159" w:lineRule="exact"/>
              <w:ind w:right="0" w:left="0" w:firstLine="0"/>
              <w:jc w:val="center"/>
              <w:textAlignment w:val="baseline"/>
              <w:rPr>
                <w:rFonts w:ascii="Ebrima" w:hAnsi="Ebrima" w:eastAsia="Ebrima"/>
                <w:strike w:val="false"/>
                <w:color w:val="000000"/>
                <w:spacing w:val="0"/>
                <w:w w:val="100"/>
                <w:sz w:val="14"/>
                <w:vertAlign w:val="baseline"/>
                <w:lang w:val="en-US"/>
              </w:rPr>
            </w:pPr>
            <w:r>
              <w:rPr>
                <w:rFonts w:ascii="Ebrima" w:hAnsi="Ebrima" w:eastAsia="Ebrima"/>
                <w:strike w:val="false"/>
                <w:color w:val="000000"/>
                <w:spacing w:val="0"/>
                <w:w w:val="100"/>
                <w:sz w:val="14"/>
                <w:vertAlign w:val="baseline"/>
                <w:lang w:val="en-US"/>
              </w:rPr>
              <w:t xml:space="preserve">Connectivity
</w:t>
              <w:br/>
            </w:r>
            <w:r>
              <w:rPr>
                <w:rFonts w:ascii="Ebrima" w:hAnsi="Ebrima" w:eastAsia="Ebrima"/>
                <w:strike w:val="false"/>
                <w:color w:val="000000"/>
                <w:spacing w:val="0"/>
                <w:w w:val="100"/>
                <w:sz w:val="14"/>
                <w:vertAlign w:val="baseline"/>
                <w:lang w:val="en-US"/>
              </w:rPr>
              <w:t xml:space="preserve">index (links
</w:t>
              <w:br/>
            </w:r>
            <w:r>
              <w:rPr>
                <w:rFonts w:ascii="Ebrima" w:hAnsi="Ebrima" w:eastAsia="Ebrima"/>
                <w:strike w:val="false"/>
                <w:color w:val="000000"/>
                <w:spacing w:val="0"/>
                <w:w w:val="100"/>
                <w:sz w:val="14"/>
                <w:vertAlign w:val="baseline"/>
                <w:lang w:val="en-US"/>
              </w:rPr>
              <w:t xml:space="preserve">per node)</w:t>
            </w:r>
          </w:p>
        </w:tc>
        <w:tc>
          <w:tcPr>
            <w:tcW w:w="3683" w:type="auto"/>
            <w:gridSpan w:val="1"/>
            <w:tcBorders>
              <w:top w:val="single" w:sz="4" w:color="000000"/>
              <w:left w:val="single" w:sz="4" w:color="000000"/>
              <w:bottom w:val="single" w:sz="4" w:color="000000"/>
              <w:right w:val="single" w:sz="4" w:color="000000"/>
            </w:tcBorders>
            <w:textDirection w:val="lrTb"/>
            <w:vAlign w:val="top"/>
          </w:tcPr>
          <w:p>
            <w:pPr>
              <w:pageBreakBefore w:val="false"/>
              <w:spacing w:before="195" w:after="0" w:line="159" w:lineRule="exact"/>
              <w:ind w:right="0" w:left="0" w:firstLine="0"/>
              <w:jc w:val="center"/>
              <w:textAlignment w:val="baseline"/>
              <w:rPr>
                <w:rFonts w:ascii="Ebrima" w:hAnsi="Ebrima" w:eastAsia="Ebrima"/>
                <w:strike w:val="false"/>
                <w:color w:val="000000"/>
                <w:spacing w:val="0"/>
                <w:w w:val="100"/>
                <w:sz w:val="14"/>
                <w:vertAlign w:val="baseline"/>
                <w:lang w:val="en-US"/>
              </w:rPr>
            </w:pPr>
            <w:r>
              <w:rPr>
                <w:rFonts w:ascii="Ebrima" w:hAnsi="Ebrima" w:eastAsia="Ebrima"/>
                <w:strike w:val="false"/>
                <w:color w:val="000000"/>
                <w:spacing w:val="0"/>
                <w:w w:val="100"/>
                <w:sz w:val="14"/>
                <w:vertAlign w:val="baseline"/>
                <w:lang w:val="en-US"/>
              </w:rPr>
              <w:t xml:space="preserve">Maximum
</w:t>
              <w:br/>
            </w:r>
            <w:r>
              <w:rPr>
                <w:rFonts w:ascii="Ebrima" w:hAnsi="Ebrima" w:eastAsia="Ebrima"/>
                <w:strike w:val="false"/>
                <w:color w:val="000000"/>
                <w:spacing w:val="0"/>
                <w:w w:val="100"/>
                <w:sz w:val="14"/>
                <w:vertAlign w:val="baseline"/>
                <w:lang w:val="en-US"/>
              </w:rPr>
              <w:t xml:space="preserve">block
</w:t>
              <w:br/>
            </w:r>
            <w:r>
              <w:rPr>
                <w:rFonts w:ascii="Ebrima" w:hAnsi="Ebrima" w:eastAsia="Ebrima"/>
                <w:strike w:val="false"/>
                <w:color w:val="000000"/>
                <w:spacing w:val="0"/>
                <w:w w:val="100"/>
                <w:sz w:val="14"/>
                <w:vertAlign w:val="baseline"/>
                <w:lang w:val="en-US"/>
              </w:rPr>
              <w:t xml:space="preserve">length (ft)</w:t>
            </w:r>
            <w:r>
              <w:rPr>
                <w:rFonts w:ascii="Ebrima" w:hAnsi="Ebrima" w:eastAsia="Ebrima"/>
                <w:strike w:val="false"/>
                <w:color w:val="000000"/>
                <w:spacing w:val="0"/>
                <w:w w:val="100"/>
                <w:sz w:val="14"/>
                <w:vertAlign w:val="superscript"/>
                <w:lang w:val="en-US"/>
              </w:rPr>
              <w:t xml:space="preserve">1</w:t>
            </w:r>
            <w:r>
              <w:rPr>
                <w:rFonts w:ascii="Ebrima" w:hAnsi="Ebrima" w:eastAsia="Ebrima"/>
                <w:strike w:val="false"/>
                <w:color w:val="000000"/>
                <w:spacing w:val="0"/>
                <w:w w:val="100"/>
                <w:sz w:val="9"/>
                <w:vertAlign w:val="baseline"/>
                <w:lang w:val="en-US"/>
              </w:rPr>
              <w:t xml:space="preserve">
</w:t>
            </w:r>
          </w:p>
        </w:tc>
        <w:tc>
          <w:tcPr>
            <w:tcW w:w="4677" w:type="auto"/>
            <w:gridSpan w:val="1"/>
            <w:tcBorders>
              <w:top w:val="single" w:sz="4" w:color="000000"/>
              <w:left w:val="single" w:sz="4" w:color="000000"/>
              <w:bottom w:val="single" w:sz="4" w:color="000000"/>
              <w:right w:val="single" w:sz="4" w:color="000000"/>
            </w:tcBorders>
            <w:textDirection w:val="lrTb"/>
            <w:vAlign w:val="top"/>
          </w:tcPr>
          <w:p>
            <w:pPr>
              <w:pageBreakBefore w:val="false"/>
              <w:spacing w:before="195" w:after="0" w:line="159" w:lineRule="exact"/>
              <w:ind w:right="0" w:left="0" w:firstLine="0"/>
              <w:jc w:val="center"/>
              <w:textAlignment w:val="baseline"/>
              <w:rPr>
                <w:rFonts w:ascii="Ebrima" w:hAnsi="Ebrima" w:eastAsia="Ebrima"/>
                <w:strike w:val="false"/>
                <w:color w:val="000000"/>
                <w:spacing w:val="0"/>
                <w:w w:val="100"/>
                <w:sz w:val="14"/>
                <w:vertAlign w:val="baseline"/>
                <w:lang w:val="en-US"/>
              </w:rPr>
            </w:pPr>
            <w:r>
              <w:rPr>
                <w:rFonts w:ascii="Ebrima" w:hAnsi="Ebrima" w:eastAsia="Ebrima"/>
                <w:strike w:val="false"/>
                <w:color w:val="000000"/>
                <w:spacing w:val="0"/>
                <w:w w:val="100"/>
                <w:sz w:val="14"/>
                <w:vertAlign w:val="baseline"/>
                <w:lang w:val="en-US"/>
              </w:rPr>
              <w:t xml:space="preserve">Cul-de-sac
</w:t>
              <w:br/>
            </w:r>
            <w:r>
              <w:rPr>
                <w:rFonts w:ascii="Ebrima" w:hAnsi="Ebrima" w:eastAsia="Ebrima"/>
                <w:strike w:val="false"/>
                <w:color w:val="000000"/>
                <w:spacing w:val="0"/>
                <w:w w:val="100"/>
                <w:sz w:val="14"/>
                <w:vertAlign w:val="baseline"/>
                <w:lang w:val="en-US"/>
              </w:rPr>
              <w:t xml:space="preserve">maximum
</w:t>
              <w:br/>
            </w:r>
            <w:r>
              <w:rPr>
                <w:rFonts w:ascii="Ebrima" w:hAnsi="Ebrima" w:eastAsia="Ebrima"/>
                <w:strike w:val="false"/>
                <w:color w:val="000000"/>
                <w:spacing w:val="0"/>
                <w:w w:val="100"/>
                <w:sz w:val="14"/>
                <w:vertAlign w:val="baseline"/>
                <w:lang w:val="en-US"/>
              </w:rPr>
              <w:t xml:space="preserve">length (ft)</w:t>
            </w:r>
            <w:r>
              <w:rPr>
                <w:rFonts w:ascii="Ebrima" w:hAnsi="Ebrima" w:eastAsia="Ebrima"/>
                <w:strike w:val="false"/>
                <w:color w:val="000000"/>
                <w:spacing w:val="0"/>
                <w:w w:val="100"/>
                <w:sz w:val="14"/>
                <w:vertAlign w:val="superscript"/>
                <w:lang w:val="en-US"/>
              </w:rPr>
              <w:t xml:space="preserve">2</w:t>
            </w:r>
            <w:r>
              <w:rPr>
                <w:rFonts w:ascii="Ebrima" w:hAnsi="Ebrima" w:eastAsia="Ebrima"/>
                <w:strike w:val="false"/>
                <w:color w:val="000000"/>
                <w:spacing w:val="0"/>
                <w:w w:val="100"/>
                <w:sz w:val="9"/>
                <w:vertAlign w:val="baseline"/>
                <w:lang w:val="en-US"/>
              </w:rPr>
              <w:t xml:space="preserve">
</w:t>
            </w:r>
          </w:p>
        </w:tc>
        <w:tc>
          <w:tcPr>
            <w:tcW w:w="6309" w:type="auto"/>
            <w:gridSpan w:val="1"/>
            <w:tcBorders>
              <w:top w:val="single" w:sz="4" w:color="000000"/>
              <w:left w:val="single" w:sz="4" w:color="000000"/>
              <w:bottom w:val="single" w:sz="4" w:color="000000"/>
              <w:right w:val="single" w:sz="4" w:color="000000"/>
            </w:tcBorders>
            <w:textDirection w:val="lrTb"/>
            <w:vAlign w:val="top"/>
          </w:tcPr>
          <w:p>
            <w:pPr>
              <w:pageBreakBefore w:val="false"/>
              <w:spacing w:before="36" w:after="0" w:line="159" w:lineRule="exact"/>
              <w:ind w:right="0" w:left="0" w:firstLine="0"/>
              <w:jc w:val="center"/>
              <w:textAlignment w:val="baseline"/>
              <w:rPr>
                <w:rFonts w:ascii="Ebrima" w:hAnsi="Ebrima" w:eastAsia="Ebrima"/>
                <w:strike w:val="false"/>
                <w:color w:val="000000"/>
                <w:spacing w:val="0"/>
                <w:w w:val="100"/>
                <w:sz w:val="14"/>
                <w:vertAlign w:val="baseline"/>
                <w:lang w:val="en-US"/>
              </w:rPr>
            </w:pPr>
            <w:r>
              <w:rPr>
                <w:rFonts w:ascii="Ebrima" w:hAnsi="Ebrima" w:eastAsia="Ebrima"/>
                <w:strike w:val="false"/>
                <w:color w:val="000000"/>
                <w:spacing w:val="0"/>
                <w:w w:val="100"/>
                <w:sz w:val="14"/>
                <w:vertAlign w:val="baseline"/>
                <w:lang w:val="en-US"/>
              </w:rPr>
              <w:t xml:space="preserve">Maximum spacing of
</w:t>
              <w:br/>
            </w:r>
            <w:r>
              <w:rPr>
                <w:rFonts w:ascii="Ebrima" w:hAnsi="Ebrima" w:eastAsia="Ebrima"/>
                <w:strike w:val="false"/>
                <w:color w:val="000000"/>
                <w:spacing w:val="0"/>
                <w:w w:val="100"/>
                <w:sz w:val="14"/>
                <w:vertAlign w:val="baseline"/>
                <w:lang w:val="en-US"/>
              </w:rPr>
              <w:t xml:space="preserve">connection to collector
</w:t>
              <w:br/>
            </w:r>
            <w:r>
              <w:rPr>
                <w:rFonts w:ascii="Ebrima" w:hAnsi="Ebrima" w:eastAsia="Ebrima"/>
                <w:strike w:val="false"/>
                <w:color w:val="000000"/>
                <w:spacing w:val="0"/>
                <w:w w:val="100"/>
                <w:sz w:val="14"/>
                <w:vertAlign w:val="baseline"/>
                <w:lang w:val="en-US"/>
              </w:rPr>
              <w:t xml:space="preserve">and arterial level
</w:t>
              <w:br/>
            </w:r>
            <w:r>
              <w:rPr>
                <w:rFonts w:ascii="Ebrima" w:hAnsi="Ebrima" w:eastAsia="Ebrima"/>
                <w:strike w:val="false"/>
                <w:color w:val="000000"/>
                <w:spacing w:val="0"/>
                <w:w w:val="100"/>
                <w:sz w:val="14"/>
                <w:vertAlign w:val="baseline"/>
                <w:lang w:val="en-US"/>
              </w:rPr>
              <w:t xml:space="preserve">streets</w:t>
            </w:r>
            <w:r>
              <w:rPr>
                <w:rFonts w:ascii="Ebrima" w:hAnsi="Ebrima" w:eastAsia="Ebrima"/>
                <w:strike w:val="false"/>
                <w:color w:val="000000"/>
                <w:spacing w:val="0"/>
                <w:w w:val="100"/>
                <w:sz w:val="14"/>
                <w:vertAlign w:val="superscript"/>
                <w:lang w:val="en-US"/>
              </w:rPr>
              <w:t xml:space="preserve">3</w:t>
            </w:r>
            <w:r>
              <w:rPr>
                <w:rFonts w:ascii="Ebrima" w:hAnsi="Ebrima" w:eastAsia="Ebrima"/>
                <w:strike w:val="false"/>
                <w:color w:val="000000"/>
                <w:spacing w:val="0"/>
                <w:w w:val="100"/>
                <w:sz w:val="9"/>
                <w:vertAlign w:val="baseline"/>
                <w:lang w:val="en-US"/>
              </w:rPr>
              <w:t xml:space="preserve">
</w:t>
            </w:r>
          </w:p>
        </w:tc>
        <w:tc>
          <w:tcPr>
            <w:tcW w:w="7120" w:type="auto"/>
            <w:gridSpan w:val="1"/>
            <w:tcBorders>
              <w:top w:val="single" w:sz="4" w:color="000000"/>
              <w:left w:val="single" w:sz="4" w:color="000000"/>
              <w:bottom w:val="single" w:sz="4" w:color="000000"/>
              <w:right w:val="single" w:sz="4" w:color="000000"/>
            </w:tcBorders>
            <w:textDirection w:val="lrTb"/>
            <w:vAlign w:val="top"/>
          </w:tcPr>
          <w:p>
            <w:pPr>
              <w:pageBreakBefore w:val="false"/>
              <w:spacing w:before="176" w:after="19" w:line="159" w:lineRule="exact"/>
              <w:ind w:right="0" w:left="0" w:firstLine="0"/>
              <w:jc w:val="center"/>
              <w:textAlignment w:val="baseline"/>
              <w:rPr>
                <w:rFonts w:ascii="Ebrima" w:hAnsi="Ebrima" w:eastAsia="Ebrima"/>
                <w:strike w:val="false"/>
                <w:color w:val="000000"/>
                <w:spacing w:val="0"/>
                <w:w w:val="100"/>
                <w:sz w:val="14"/>
                <w:vertAlign w:val="baseline"/>
                <w:lang w:val="en-US"/>
              </w:rPr>
            </w:pPr>
            <w:r>
              <w:rPr>
                <w:rFonts w:ascii="Ebrima" w:hAnsi="Ebrima" w:eastAsia="Ebrima"/>
                <w:strike w:val="false"/>
                <w:color w:val="000000"/>
                <w:spacing w:val="0"/>
                <w:w w:val="100"/>
                <w:sz w:val="14"/>
                <w:vertAlign w:val="baseline"/>
                <w:lang w:val="en-US"/>
              </w:rPr>
              <w:t xml:space="preserve">Maximum
</w:t>
              <w:br/>
            </w:r>
            <w:r>
              <w:rPr>
                <w:rFonts w:ascii="Ebrima" w:hAnsi="Ebrima" w:eastAsia="Ebrima"/>
                <w:strike w:val="false"/>
                <w:color w:val="000000"/>
                <w:spacing w:val="0"/>
                <w:w w:val="100"/>
                <w:sz w:val="14"/>
                <w:vertAlign w:val="baseline"/>
                <w:lang w:val="en-US"/>
              </w:rPr>
              <w:t xml:space="preserve">stub street
</w:t>
              <w:br/>
            </w:r>
            <w:r>
              <w:rPr>
                <w:rFonts w:ascii="Ebrima" w:hAnsi="Ebrima" w:eastAsia="Ebrima"/>
                <w:strike w:val="false"/>
                <w:color w:val="000000"/>
                <w:spacing w:val="0"/>
                <w:w w:val="100"/>
                <w:sz w:val="14"/>
                <w:vertAlign w:val="baseline"/>
                <w:lang w:val="en-US"/>
              </w:rPr>
              <w:t xml:space="preserve">spacing</w:t>
            </w:r>
          </w:p>
        </w:tc>
      </w:tr>
      <w:tr>
        <w:trPr>
          <w:trHeight w:val="207"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4"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R-M-30</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7" w:line="194"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4"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4"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4"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4"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6"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8"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R-M-15</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12" w:line="198"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1"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R-M-7</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17" w:line="193"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1"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8" w:line="193"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R-1-8</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8" w:line="193"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8"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8"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200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8"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860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8"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1"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3" w:line="193"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R-1-10</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13" w:line="193"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3"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3"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275</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3"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860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3"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1"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0" w:line="196"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R-1-12</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0" w:line="196"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0" w:line="19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0" w:line="19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275</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0" w:line="19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860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0" w:line="196"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r>
      <w:tr>
        <w:trPr>
          <w:trHeight w:val="212"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2" w:line="199"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R-1-21</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2" w:line="199"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2" w:line="199"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750</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2" w:line="199"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2" w:line="199"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1,320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2" w:line="199"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r>
      <w:tr>
        <w:trPr>
          <w:trHeight w:val="216"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8"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RR-1</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7" w:line="198"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1,320</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7" w:line="198"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r>
      <w:tr>
        <w:trPr>
          <w:trHeight w:val="211"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3"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RR-5</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12" w:line="193"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2"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r>
      <w:tr>
        <w:trPr>
          <w:trHeight w:val="216" w:hRule="exact"/>
        </w:trPr>
        <w:tc>
          <w:tcPr>
            <w:tcW w:w="1926"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100" w:left="0"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RR-10</w:t>
            </w:r>
          </w:p>
        </w:tc>
        <w:tc>
          <w:tcPr>
            <w:tcW w:w="2824" w:type="auto"/>
            <w:gridSpan w:val="1"/>
            <w:tcBorders>
              <w:top w:val="single" w:sz="4" w:color="000000"/>
              <w:left w:val="single" w:sz="4" w:color="000000"/>
              <w:bottom w:val="single" w:sz="4" w:color="000000"/>
              <w:right w:val="single" w:sz="4" w:color="000000"/>
            </w:tcBorders>
            <w:textDirection w:val="lrTb"/>
            <w:vAlign w:val="center"/>
          </w:tcPr>
          <w:p>
            <w:pPr>
              <w:pageBreakBefore w:val="false"/>
              <w:tabs>
                <w:tab w:val="decimal" w:leader="none" w:pos="432"/>
              </w:tabs>
              <w:spacing w:before="0" w:after="17" w:line="193"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1.5</w:t>
            </w:r>
          </w:p>
        </w:tc>
        <w:tc>
          <w:tcPr>
            <w:tcW w:w="3683"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c>
          <w:tcPr>
            <w:tcW w:w="4677"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400</w:t>
            </w:r>
          </w:p>
        </w:tc>
        <w:tc>
          <w:tcPr>
            <w:tcW w:w="6309"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c>
          <w:tcPr>
            <w:tcW w:w="7120" w:type="auto"/>
            <w:gridSpan w:val="1"/>
            <w:tcBorders>
              <w:top w:val="single" w:sz="4" w:color="000000"/>
              <w:left w:val="single" w:sz="4" w:color="000000"/>
              <w:bottom w:val="single" w:sz="4" w:color="000000"/>
              <w:right w:val="single" w:sz="4" w:color="000000"/>
            </w:tcBorders>
            <w:textDirection w:val="lrTb"/>
            <w:vAlign w:val="center"/>
          </w:tcPr>
          <w:p>
            <w:pPr>
              <w:pageBreakBefore w:val="false"/>
              <w:spacing w:before="0" w:after="17" w:line="193" w:lineRule="exact"/>
              <w:ind w:right="0" w:left="0" w:firstLine="0"/>
              <w:jc w:val="center"/>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N/A</w:t>
            </w:r>
          </w:p>
        </w:tc>
      </w:tr>
    </w:tbl>
    <w:p>
      <w:pPr>
        <w:pageBreakBefore w:val="false"/>
        <w:spacing w:before="0" w:after="0" w:line="202" w:lineRule="exact"/>
        <w:ind w:right="72" w:left="1296" w:firstLine="0"/>
        <w:jc w:val="both"/>
        <w:textAlignment w:val="baseline"/>
        <w:rPr>
          <w:rFonts w:ascii="Ebrima" w:hAnsi="Ebrima" w:eastAsia="Ebrima"/>
          <w:strike w:val="false"/>
          <w:color w:val="000000"/>
          <w:spacing w:val="0"/>
          <w:w w:val="100"/>
          <w:sz w:val="10"/>
          <w:vertAlign w:val="superscript"/>
          <w:lang w:val="en-US"/>
        </w:rPr>
      </w:pPr>
      <w:r>
        <w:rPr>
          <w:rFonts w:ascii="Ebrima" w:hAnsi="Ebrima" w:eastAsia="Ebrima"/>
          <w:strike w:val="false"/>
          <w:color w:val="000000"/>
          <w:spacing w:val="0"/>
          <w:w w:val="100"/>
          <w:sz w:val="10"/>
          <w:vertAlign w:val="superscript"/>
          <w:lang w:val="en-US"/>
        </w:rPr>
        <w:t xml:space="preserve">1</w:t>
      </w:r>
      <w:r>
        <w:rPr>
          <w:rFonts w:ascii="Ebrima" w:hAnsi="Ebrima" w:eastAsia="Ebrima"/>
          <w:strike w:val="false"/>
          <w:color w:val="000000"/>
          <w:spacing w:val="0"/>
          <w:w w:val="100"/>
          <w:sz w:val="15"/>
          <w:vertAlign w:val="baseline"/>
          <w:lang w:val="en-US"/>
        </w:rPr>
        <w:t xml:space="preserve"> There can be one exception to the maximum block length per 40 lots, where one block face can be up to double length.</w:t>
      </w:r>
    </w:p>
    <w:p>
      <w:pPr>
        <w:pageBreakBefore w:val="false"/>
        <w:spacing w:before="0" w:after="0" w:line="201" w:lineRule="exact"/>
        <w:ind w:right="0" w:left="1296" w:firstLine="0"/>
        <w:jc w:val="left"/>
        <w:textAlignment w:val="baseline"/>
        <w:rPr>
          <w:rFonts w:ascii="Ebrima" w:hAnsi="Ebrima" w:eastAsia="Ebrima"/>
          <w:strike w:val="false"/>
          <w:color w:val="000000"/>
          <w:spacing w:val="0"/>
          <w:w w:val="100"/>
          <w:sz w:val="10"/>
          <w:vertAlign w:val="superscript"/>
          <w:lang w:val="en-US"/>
        </w:rPr>
      </w:pPr>
      <w:r>
        <w:rPr>
          <w:rFonts w:ascii="Ebrima" w:hAnsi="Ebrima" w:eastAsia="Ebrima"/>
          <w:strike w:val="false"/>
          <w:color w:val="000000"/>
          <w:spacing w:val="0"/>
          <w:w w:val="100"/>
          <w:sz w:val="10"/>
          <w:vertAlign w:val="superscript"/>
          <w:lang w:val="en-US"/>
        </w:rPr>
        <w:t xml:space="preserve">2</w:t>
      </w:r>
      <w:r>
        <w:rPr>
          <w:rFonts w:ascii="Ebrima" w:hAnsi="Ebrima" w:eastAsia="Ebrima"/>
          <w:strike w:val="false"/>
          <w:color w:val="000000"/>
          <w:spacing w:val="0"/>
          <w:w w:val="100"/>
          <w:sz w:val="15"/>
          <w:vertAlign w:val="baseline"/>
          <w:lang w:val="en-US"/>
        </w:rPr>
        <w:t xml:space="preserve"> Every cul-de-sac must have a pedestrian connection to the other side of the block.</w:t>
      </w:r>
    </w:p>
    <w:p>
      <w:pPr>
        <w:pageBreakBefore w:val="false"/>
        <w:spacing w:before="0" w:after="0" w:line="201" w:lineRule="exact"/>
        <w:ind w:right="0" w:left="1296" w:firstLine="0"/>
        <w:jc w:val="left"/>
        <w:textAlignment w:val="baseline"/>
        <w:rPr>
          <w:rFonts w:ascii="Ebrima" w:hAnsi="Ebrima" w:eastAsia="Ebrima"/>
          <w:strike w:val="false"/>
          <w:color w:val="000000"/>
          <w:spacing w:val="-1"/>
          <w:w w:val="100"/>
          <w:sz w:val="10"/>
          <w:vertAlign w:val="superscript"/>
          <w:lang w:val="en-US"/>
        </w:rPr>
      </w:pPr>
      <w:r>
        <w:rPr>
          <w:rFonts w:ascii="Ebrima" w:hAnsi="Ebrima" w:eastAsia="Ebrima"/>
          <w:strike w:val="false"/>
          <w:color w:val="000000"/>
          <w:spacing w:val="-1"/>
          <w:w w:val="100"/>
          <w:sz w:val="10"/>
          <w:vertAlign w:val="superscript"/>
          <w:lang w:val="en-US"/>
        </w:rPr>
        <w:t xml:space="preserve">3</w:t>
      </w:r>
      <w:r>
        <w:rPr>
          <w:rFonts w:ascii="Ebrima" w:hAnsi="Ebrima" w:eastAsia="Ebrima"/>
          <w:strike w:val="false"/>
          <w:color w:val="000000"/>
          <w:spacing w:val="-1"/>
          <w:w w:val="100"/>
          <w:sz w:val="15"/>
          <w:vertAlign w:val="baseline"/>
          <w:lang w:val="en-US"/>
        </w:rPr>
        <w:t xml:space="preserve"> Excludes connections to UDOT-managed streets.</w:t>
      </w:r>
    </w:p>
    <w:p>
      <w:pPr>
        <w:pageBreakBefore w:val="false"/>
        <w:tabs>
          <w:tab w:val="left" w:leader="none" w:pos="1368"/>
        </w:tabs>
        <w:spacing w:before="98" w:after="0" w:line="206" w:lineRule="exact"/>
        <w:ind w:right="0"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(ii)	</w:t>
      </w:r>
      <w:r>
        <w:rPr>
          <w:rFonts w:ascii="Ebrima" w:hAnsi="Ebrima" w:eastAsia="Ebrima"/>
          <w:strike w:val="false"/>
          <w:color w:val="000000"/>
          <w:spacing w:val="0"/>
          <w:w w:val="100"/>
          <w:sz w:val="15"/>
          <w:vertAlign w:val="baseline"/>
          <w:lang w:val="en-US"/>
        </w:rPr>
        <w:t xml:space="preserve">Maximum cul-de-sac length</w:t>
      </w:r>
    </w:p>
    <w:p>
      <w:pPr>
        <w:pageBreakBefore w:val="false"/>
        <w:tabs>
          <w:tab w:val="right" w:leader="none" w:pos="7128"/>
        </w:tabs>
        <w:spacing w:before="313"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35-24</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0" w:firstLine="0"/>
        <w:jc w:val="center"/>
        <w:textAlignment w:val="baseline"/>
        <w:rPr>
          <w:rFonts w:ascii="Ebrima" w:hAnsi="Ebrima" w:eastAsia="Ebrima"/>
          <w:strike w:val="false"/>
          <w:color w:val="000000"/>
          <w:spacing w:val="-4"/>
          <w:w w:val="100"/>
          <w:sz w:val="17"/>
          <w:vertAlign w:val="baseline"/>
          <w:lang w:val="en-US"/>
        </w:rPr>
      </w:pPr>
      <w:r>
        <w:pict>
          <v:shapetype id="_x0000_t6" coordsize="21600,21600" o:spt="202" path="m,l,21600r21600,l21600,xe">
            <v:stroke joinstyle="miter"/>
            <v:path gradientshapeok="t" o:connecttype="rect"/>
          </v:shapetype>
          <v:shape id="_x0000_s5" type="#_x0000_t6" fillcolor="#F1F1F1" stroked="f" style="position:absolute;width:193.9pt;height:596.6pt;z-index:-995;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6"/>
        </w:numPr>
        <w:tabs>
          <w:tab w:val="clear" w:pos="432"/>
          <w:tab w:val="left" w:pos="1872"/>
        </w:tabs>
        <w:spacing w:before="409"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Cul-de-sacs and other dead-end streets included in a subdivision shall not be longer than the limits in Table 2-3 in the Active Transportation Implementation Plan.</w:t>
      </w:r>
    </w:p>
    <w:p>
      <w:pPr>
        <w:pageBreakBefore w:val="false"/>
        <w:numPr>
          <w:ilvl w:val="0"/>
          <w:numId w:val="16"/>
        </w:numPr>
        <w:tabs>
          <w:tab w:val="clear" w:pos="432"/>
          <w:tab w:val="left" w:pos="1872"/>
        </w:tabs>
        <w:spacing w:before="0" w:after="0" w:line="197" w:lineRule="exact"/>
        <w:ind w:right="0" w:left="1296"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Stub streets intended for future connections are not included in this requirement.</w:t>
      </w:r>
    </w:p>
    <w:p>
      <w:pPr>
        <w:pageBreakBefore w:val="false"/>
        <w:spacing w:before="2" w:after="0" w:line="204" w:lineRule="exact"/>
        <w:ind w:right="0" w:left="1008"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(iii) Active transportation connection for each cul-de-sac</w:t>
      </w:r>
    </w:p>
    <w:p>
      <w:pPr>
        <w:pageBreakBefore w:val="false"/>
        <w:tabs>
          <w:tab w:val="left" w:leader="none" w:pos="1800"/>
        </w:tabs>
        <w:spacing w:before="3"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A shared-use path meeting the design standards in Section 2-4 of the Active Transportation Implementation Plan for off-street paths must be included at each internal cul-de-sac or dead-end street.</w:t>
      </w:r>
    </w:p>
    <w:p>
      <w:pPr>
        <w:pageBreakBefore w:val="false"/>
        <w:tabs>
          <w:tab w:val="left" w:leader="none" w:pos="1440"/>
        </w:tabs>
        <w:spacing w:before="0" w:after="0" w:line="201" w:lineRule="exact"/>
        <w:ind w:right="0" w:left="1008"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(iv)	</w:t>
      </w:r>
      <w:r>
        <w:rPr>
          <w:rFonts w:ascii="Ebrima" w:hAnsi="Ebrima" w:eastAsia="Ebrima"/>
          <w:strike w:val="false"/>
          <w:color w:val="000000"/>
          <w:spacing w:val="-2"/>
          <w:w w:val="100"/>
          <w:sz w:val="15"/>
          <w:vertAlign w:val="baseline"/>
          <w:lang w:val="en-US"/>
        </w:rPr>
        <w:t xml:space="preserve">External connections</w:t>
      </w:r>
    </w:p>
    <w:p>
      <w:pPr>
        <w:pageBreakBefore w:val="false"/>
        <w:numPr>
          <w:ilvl w:val="0"/>
          <w:numId w:val="17"/>
        </w:numPr>
        <w:tabs>
          <w:tab w:val="clear" w:pos="432"/>
          <w:tab w:val="left" w:pos="1872"/>
        </w:tabs>
        <w:spacing w:before="10"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Stub Streets: Stub streets are streets that dead-end against vacant or undeveloped land with the intention of connecting to development on that land in the future. To maintain a consistent street network that ties together different subdivisions, stub streets shall be built at a minimum spacing that matches the maximum block length requirements in Table 2-3 of the Active Transportation Implementation Plan. Stub streets shall not include temporary cul-de-sacs and shall be no longer than 150 feet. For zones with no maximum block spacing, stub streets shall be built as extensions of the subdivision’s street network.</w:t>
      </w:r>
    </w:p>
    <w:p>
      <w:pPr>
        <w:pageBreakBefore w:val="false"/>
        <w:numPr>
          <w:ilvl w:val="0"/>
          <w:numId w:val="17"/>
        </w:numPr>
        <w:tabs>
          <w:tab w:val="clear" w:pos="432"/>
          <w:tab w:val="left" w:pos="1872"/>
        </w:tabs>
        <w:spacing w:before="0"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Master Planned Trails: Active transportation connections in the subdivision shall connect the subdivision to any master-planned trails where applicable. These connections can be any of the Shared Use Path types specified in Section 2.4 of the Active Transportation Implementation Plan.</w:t>
      </w:r>
    </w:p>
    <w:p>
      <w:pPr>
        <w:pageBreakBefore w:val="false"/>
        <w:tabs>
          <w:tab w:val="left" w:leader="none" w:pos="1440"/>
        </w:tabs>
        <w:spacing w:before="2" w:after="0" w:line="204" w:lineRule="exact"/>
        <w:ind w:right="0" w:left="1008"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(v)	</w:t>
      </w:r>
      <w:r>
        <w:rPr>
          <w:rFonts w:ascii="Ebrima" w:hAnsi="Ebrima" w:eastAsia="Ebrima"/>
          <w:strike w:val="false"/>
          <w:color w:val="000000"/>
          <w:spacing w:val="-2"/>
          <w:w w:val="100"/>
          <w:sz w:val="15"/>
          <w:vertAlign w:val="baseline"/>
          <w:lang w:val="en-US"/>
        </w:rPr>
        <w:t xml:space="preserve">Connectivity Plan</w:t>
      </w:r>
    </w:p>
    <w:p>
      <w:pPr>
        <w:pageBreakBefore w:val="false"/>
        <w:tabs>
          <w:tab w:val="left" w:leader="none" w:pos="1800"/>
        </w:tabs>
        <w:spacing w:before="3"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Achievement of connectivity standards must be shown on a Connectivity Plan to be submitted with each development application and including the following information. Basic information:</w:t>
      </w:r>
    </w:p>
    <w:p>
      <w:pPr>
        <w:pageBreakBefore w:val="false"/>
        <w:numPr>
          <w:ilvl w:val="0"/>
          <w:numId w:val="18"/>
        </w:numPr>
        <w:tabs>
          <w:tab w:val="clear" w:pos="360"/>
          <w:tab w:val="left" w:pos="2232"/>
        </w:tabs>
        <w:spacing w:before="2" w:after="0" w:line="204"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Street links</w:t>
      </w:r>
    </w:p>
    <w:p>
      <w:pPr>
        <w:pageBreakBefore w:val="false"/>
        <w:numPr>
          <w:ilvl w:val="0"/>
          <w:numId w:val="18"/>
        </w:numPr>
        <w:tabs>
          <w:tab w:val="clear" w:pos="360"/>
          <w:tab w:val="left" w:pos="2232"/>
        </w:tabs>
        <w:spacing w:before="0" w:after="0" w:line="202"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Nodes</w:t>
      </w:r>
    </w:p>
    <w:p>
      <w:pPr>
        <w:pageBreakBefore w:val="false"/>
        <w:numPr>
          <w:ilvl w:val="0"/>
          <w:numId w:val="18"/>
        </w:numPr>
        <w:tabs>
          <w:tab w:val="clear" w:pos="360"/>
          <w:tab w:val="left" w:pos="2232"/>
        </w:tabs>
        <w:spacing w:before="0" w:after="0" w:line="201"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Block length dimensions</w:t>
      </w:r>
    </w:p>
    <w:p>
      <w:pPr>
        <w:pageBreakBefore w:val="false"/>
        <w:numPr>
          <w:ilvl w:val="0"/>
          <w:numId w:val="18"/>
        </w:numPr>
        <w:tabs>
          <w:tab w:val="clear" w:pos="360"/>
          <w:tab w:val="left" w:pos="2232"/>
        </w:tabs>
        <w:spacing w:before="3" w:after="0" w:line="204"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Cul-de-sac length dimensions</w:t>
      </w:r>
    </w:p>
    <w:p>
      <w:pPr>
        <w:pageBreakBefore w:val="false"/>
        <w:numPr>
          <w:ilvl w:val="0"/>
          <w:numId w:val="18"/>
        </w:numPr>
        <w:tabs>
          <w:tab w:val="clear" w:pos="360"/>
          <w:tab w:val="left" w:pos="2232"/>
        </w:tabs>
        <w:spacing w:before="2" w:after="0" w:line="204"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Connectivity index</w:t>
      </w:r>
    </w:p>
    <w:p>
      <w:pPr>
        <w:pageBreakBefore w:val="false"/>
        <w:numPr>
          <w:ilvl w:val="0"/>
          <w:numId w:val="18"/>
        </w:numPr>
        <w:tabs>
          <w:tab w:val="clear" w:pos="360"/>
          <w:tab w:val="left" w:pos="2232"/>
        </w:tabs>
        <w:spacing w:before="2" w:after="0" w:line="204"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Maximum block lengths</w:t>
      </w:r>
    </w:p>
    <w:p>
      <w:pPr>
        <w:pageBreakBefore w:val="false"/>
        <w:numPr>
          <w:ilvl w:val="0"/>
          <w:numId w:val="18"/>
        </w:numPr>
        <w:tabs>
          <w:tab w:val="clear" w:pos="360"/>
          <w:tab w:val="left" w:pos="2232"/>
        </w:tabs>
        <w:spacing w:before="0" w:after="0" w:line="202" w:lineRule="exact"/>
        <w:ind w:right="0" w:left="1728"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Stub streets with the minimum spacing</w:t>
      </w:r>
    </w:p>
    <w:p>
      <w:pPr>
        <w:pageBreakBefore w:val="false"/>
        <w:numPr>
          <w:ilvl w:val="0"/>
          <w:numId w:val="18"/>
        </w:numPr>
        <w:tabs>
          <w:tab w:val="clear" w:pos="360"/>
          <w:tab w:val="left" w:pos="2232"/>
        </w:tabs>
        <w:spacing w:before="5" w:after="0" w:line="204" w:lineRule="exact"/>
        <w:ind w:right="72" w:left="1728"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Active transportation – only links connecting cul-de-sacs or to access-management controlled streets.</w:t>
      </w:r>
    </w:p>
    <w:p>
      <w:pPr>
        <w:pageBreakBefore w:val="false"/>
        <w:tabs>
          <w:tab w:val="left" w:leader="none" w:pos="1800"/>
        </w:tabs>
        <w:spacing w:before="0" w:after="0" w:line="204" w:lineRule="exact"/>
        <w:ind w:right="144" w:left="1296"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For examples of Connectivity Plans, see Figures 2-5 and 2-6 in the Active Transportation Implementation Plan.</w:t>
      </w:r>
    </w:p>
    <w:p>
      <w:pPr>
        <w:pageBreakBefore w:val="false"/>
        <w:tabs>
          <w:tab w:val="left" w:leader="none" w:pos="1440"/>
        </w:tabs>
        <w:spacing w:before="0" w:after="0" w:line="201" w:lineRule="exact"/>
        <w:ind w:right="0" w:left="1008"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(vi)	</w:t>
      </w:r>
      <w:r>
        <w:rPr>
          <w:rFonts w:ascii="Ebrima" w:hAnsi="Ebrima" w:eastAsia="Ebrima"/>
          <w:strike w:val="false"/>
          <w:color w:val="000000"/>
          <w:spacing w:val="-2"/>
          <w:w w:val="100"/>
          <w:sz w:val="15"/>
          <w:vertAlign w:val="baseline"/>
          <w:lang w:val="en-US"/>
        </w:rPr>
        <w:t xml:space="preserve">Exceptions</w:t>
      </w:r>
    </w:p>
    <w:p>
      <w:pPr>
        <w:pageBreakBefore w:val="false"/>
        <w:tabs>
          <w:tab w:val="left" w:leader="none" w:pos="1800"/>
        </w:tabs>
        <w:spacing w:before="8"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The connectivity requirements may be reduced if the applicant provides clear and convincing evidence that it is impossible or impracticable to achieve due to the following limitations:</w:t>
      </w:r>
    </w:p>
    <w:p>
      <w:pPr>
        <w:pageBreakBefore w:val="false"/>
        <w:numPr>
          <w:ilvl w:val="0"/>
          <w:numId w:val="19"/>
        </w:numPr>
        <w:tabs>
          <w:tab w:val="clear" w:pos="360"/>
          <w:tab w:val="left" w:pos="2232"/>
        </w:tabs>
        <w:spacing w:before="0" w:after="0" w:line="204" w:lineRule="exact"/>
        <w:ind w:right="72" w:left="1728"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Topography: Natural features including lakes, rivers, and designated wetlands</w:t>
      </w:r>
    </w:p>
    <w:p>
      <w:pPr>
        <w:pageBreakBefore w:val="false"/>
        <w:numPr>
          <w:ilvl w:val="0"/>
          <w:numId w:val="19"/>
        </w:numPr>
        <w:tabs>
          <w:tab w:val="clear" w:pos="360"/>
          <w:tab w:val="left" w:pos="2232"/>
        </w:tabs>
        <w:spacing w:before="2" w:after="0" w:line="204" w:lineRule="exact"/>
        <w:ind w:right="72" w:left="1728"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Existing adjacent development: A new subdivision must connect to an adjacent pre-existing development and the connection must be balanced with the external connectivity requirements (for example, if the pre-existing development</w:t>
      </w:r>
    </w:p>
    <w:p>
      <w:pPr>
        <w:pageBreakBefore w:val="false"/>
        <w:tabs>
          <w:tab w:val="right" w:leader="none" w:pos="7128"/>
        </w:tabs>
        <w:spacing w:before="564"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35-25</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7" coordsize="21600,21600" o:spt="202" path="m,l,21600r21600,l21600,xe">
            <v:stroke joinstyle="miter"/>
            <v:path gradientshapeok="t" o:connecttype="rect"/>
          </v:shapetype>
          <v:shape id="_x0000_s6" type="#_x0000_t7" fillcolor="#F1F1F1" stroked="f" style="position:absolute;width:193.9pt;height:596.6pt;z-index:-994;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407" w:after="0" w:line="205" w:lineRule="exact"/>
        <w:ind w:right="72" w:left="165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has stub streets, they must be incorporated into the new subdivision to best adhere to the connectivity requirements)</w:t>
      </w:r>
    </w:p>
    <w:p>
      <w:pPr>
        <w:pageBreakBefore w:val="false"/>
        <w:numPr>
          <w:ilvl w:val="0"/>
          <w:numId w:val="20"/>
        </w:numPr>
        <w:tabs>
          <w:tab w:val="clear" w:pos="360"/>
          <w:tab w:val="left" w:pos="2232"/>
        </w:tabs>
        <w:spacing w:before="0" w:after="0" w:line="197" w:lineRule="exact"/>
        <w:ind w:right="0" w:left="18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Rail corridors</w:t>
      </w:r>
    </w:p>
    <w:p>
      <w:pPr>
        <w:pageBreakBefore w:val="false"/>
        <w:numPr>
          <w:ilvl w:val="0"/>
          <w:numId w:val="20"/>
        </w:numPr>
        <w:tabs>
          <w:tab w:val="clear" w:pos="360"/>
          <w:tab w:val="left" w:pos="2232"/>
        </w:tabs>
        <w:spacing w:before="1" w:after="0" w:line="205" w:lineRule="exact"/>
        <w:ind w:right="0" w:left="18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Limited access roadways</w:t>
      </w:r>
    </w:p>
    <w:p>
      <w:pPr>
        <w:pageBreakBefore w:val="false"/>
        <w:tabs>
          <w:tab w:val="right" w:leader="none" w:pos="7128"/>
        </w:tabs>
        <w:spacing w:before="0" w:after="0" w:line="205"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Reductions in the required connectivity index will be reviewed on a case-by-case
</w:t>
        <w:br/>
      </w:r>
      <w:r>
        <w:rPr>
          <w:rFonts w:ascii="Ebrima" w:hAnsi="Ebrima" w:eastAsia="Ebrima"/>
          <w:strike w:val="false"/>
          <w:color w:val="000000"/>
          <w:spacing w:val="0"/>
          <w:w w:val="100"/>
          <w:sz w:val="15"/>
          <w:vertAlign w:val="baseline"/>
          <w:lang w:val="en-US"/>
        </w:rPr>
        <w:t xml:space="preserve">basis and must require approval by the Planning Commission or the Community Development Department. (Ord. 2022-32, 11/29/22)</w:t>
      </w:r>
    </w:p>
    <w:p>
      <w:pPr>
        <w:pageBreakBefore w:val="false"/>
        <w:spacing w:before="207" w:after="0" w:line="194" w:lineRule="exact"/>
        <w:ind w:right="0" w:left="72" w:firstLine="0"/>
        <w:jc w:val="both"/>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35-6-15. Master Planned and Off-Street Trails.</w:t>
      </w:r>
    </w:p>
    <w:p>
      <w:pPr>
        <w:pageBreakBefore w:val="false"/>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For each subdivision and/or development, the applicants, Tooele County, and other stakeholders shall work together to identify opportunities for master-planned and off-street trails, both within the subdivision/development and connecting to trails outside it. Developments of over 20 acres are required to have an off-street, master-planned trail system, the extent of which shall be commensurate to the relative size of the development. Master-planned trails shall connect to any adjacent pre-existing or planned trails. (Ord. 2022-32, 11/29/22)</w:t>
      </w:r>
    </w:p>
    <w:p>
      <w:pPr>
        <w:pageBreakBefore w:val="false"/>
        <w:spacing w:before="399" w:after="0" w:line="194"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PART 35-7</w:t>
      </w:r>
    </w:p>
    <w:p>
      <w:pPr>
        <w:pageBreakBefore w:val="false"/>
        <w:spacing w:before="6" w:after="0" w:line="189" w:lineRule="exact"/>
        <w:ind w:right="0" w:left="72" w:firstLine="0"/>
        <w:jc w:val="center"/>
        <w:textAlignment w:val="baseline"/>
        <w:rPr>
          <w:rFonts w:ascii="Ebrima" w:hAnsi="Ebrima" w:eastAsia="Ebrima"/>
          <w:b w:val="true"/>
          <w:strike w:val="false"/>
          <w:color w:val="D13438"/>
          <w:spacing w:val="0"/>
          <w:w w:val="100"/>
          <w:sz w:val="15"/>
          <w:u w:val="single"/>
          <w:vertAlign w:val="baseline"/>
          <w:lang w:val="en-US"/>
        </w:rPr>
      </w:pPr>
      <w:r>
        <w:pict>
          <v:line strokeweight="0.7pt" strokecolor="#000000" from="25.45pt,349.7pt" to="25.45pt,378.75pt" style="position:absolute;mso-position-horizontal-relative:page;mso-position-vertical-relative:page;">
            <v:stroke dashstyle="solid"/>
          </v:line>
        </w:pict>
      </w:r>
      <w:r>
        <w:rPr>
          <w:rFonts w:ascii="Ebrima" w:hAnsi="Ebrima" w:eastAsia="Ebrima"/>
          <w:b w:val="true"/>
          <w:strike w:val="false"/>
          <w:color w:val="D13438"/>
          <w:spacing w:val="0"/>
          <w:w w:val="100"/>
          <w:sz w:val="15"/>
          <w:u w:val="single"/>
          <w:vertAlign w:val="baseline"/>
          <w:lang w:val="en-US"/>
        </w:rPr>
        <w:t xml:space="preserve">DESIGN STANDARDS</w:t>
      </w:r>
    </w:p>
    <w:p>
      <w:pPr>
        <w:pageBreakBefore w:val="false"/>
        <w:spacing w:before="0" w:after="0" w:line="187" w:lineRule="exact"/>
        <w:ind w:right="0" w:left="2808" w:firstLine="0"/>
        <w:jc w:val="left"/>
        <w:textAlignment w:val="baseline"/>
        <w:rPr>
          <w:rFonts w:ascii="Ebrima" w:hAnsi="Ebrima" w:eastAsia="Ebrima"/>
          <w:b w:val="true"/>
          <w:strike w:val="false"/>
          <w:color w:val="D13438"/>
          <w:spacing w:val="3"/>
          <w:w w:val="100"/>
          <w:sz w:val="15"/>
          <w:u w:val="single"/>
          <w:vertAlign w:val="baseline"/>
          <w:lang w:val="en-US"/>
        </w:rPr>
      </w:pPr>
      <w:r>
        <w:rPr>
          <w:rFonts w:ascii="Ebrima" w:hAnsi="Ebrima" w:eastAsia="Ebrima"/>
          <w:b w:val="true"/>
          <w:strike w:val="false"/>
          <w:color w:val="D13438"/>
          <w:spacing w:val="3"/>
          <w:w w:val="100"/>
          <w:sz w:val="15"/>
          <w:u w:val="single"/>
          <w:vertAlign w:val="baseline"/>
          <w:lang w:val="en-US"/>
        </w:rPr>
        <w:t xml:space="preserve">FINANCIAL </w:t>
      </w:r>
    </w:p>
    <w:p>
      <w:pPr>
        <w:pageBreakBefore w:val="false"/>
        <w:spacing w:before="3" w:after="0" w:line="189" w:lineRule="exact"/>
        <w:ind w:right="0" w:left="2808" w:firstLine="0"/>
        <w:jc w:val="left"/>
        <w:textAlignment w:val="baseline"/>
        <w:rPr>
          <w:rFonts w:ascii="Ebrima" w:hAnsi="Ebrima" w:eastAsia="Ebrima"/>
          <w:b w:val="true"/>
          <w:strike w:val="false"/>
          <w:color w:val="D13438"/>
          <w:spacing w:val="1"/>
          <w:w w:val="100"/>
          <w:sz w:val="15"/>
          <w:u w:val="single"/>
          <w:vertAlign w:val="baseline"/>
          <w:lang w:val="en-US"/>
        </w:rPr>
      </w:pPr>
      <w:r>
        <w:rPr>
          <w:rFonts w:ascii="Ebrima" w:hAnsi="Ebrima" w:eastAsia="Ebrima"/>
          <w:b w:val="true"/>
          <w:strike w:val="false"/>
          <w:color w:val="D13438"/>
          <w:spacing w:val="1"/>
          <w:w w:val="100"/>
          <w:sz w:val="15"/>
          <w:u w:val="single"/>
          <w:vertAlign w:val="baseline"/>
          <w:lang w:val="en-US"/>
        </w:rPr>
        <w:t xml:space="preserve">ASSURANCES</w:t>
      </w:r>
      <w:r>
        <w:rPr>
          <w:rFonts w:ascii="Ebrima" w:hAnsi="Ebrima" w:eastAsia="Ebrima"/>
          <w:b w:val="true"/>
          <w:strike w:val="false"/>
          <w:color w:val="000000"/>
          <w:spacing w:val="1"/>
          <w:w w:val="100"/>
          <w:sz w:val="15"/>
          <w:u w:val="single"/>
          <w:vertAlign w:val="baseline"/>
          <w:lang w:val="en-US"/>
        </w:rPr>
        <w:t xml:space="preserve"> </w:t>
      </w:r>
    </w:p>
    <w:p>
      <w:pPr>
        <w:pageBreakBefore w:val="false"/>
        <w:spacing w:before="192" w:after="0" w:line="194"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3" w:after="0" w:line="194"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35-7-1. Improvement completion assurance.</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35-7-2. Default.</w:t>
      </w:r>
    </w:p>
    <w:p>
      <w:pPr>
        <w:pageBreakBefore w:val="false"/>
        <w:spacing w:before="0" w:after="0" w:line="187"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35-7-3. Maintenance guarantee.</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35-7-4. Acceptance and release of surety.</w:t>
      </w:r>
    </w:p>
    <w:p>
      <w:pPr>
        <w:pageBreakBefore w:val="false"/>
        <w:spacing w:before="3" w:after="0" w:line="194"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35-7-5. Engineering review and inspection fee.</w:t>
      </w:r>
    </w:p>
    <w:p>
      <w:pPr>
        <w:pageBreakBefore w:val="false"/>
        <w:spacing w:before="190" w:after="0" w:line="19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35-7-1. Improvement completion assurance.</w:t>
      </w:r>
    </w:p>
    <w:p>
      <w:pPr>
        <w:pageBreakBefore w:val="false"/>
        <w:numPr>
          <w:ilvl w:val="0"/>
          <w:numId w:val="21"/>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lieu of actual installation of improvements required by this chapter, after final plat approval by the Community Development Department and before the plat is recorded, the applicant shall guarantee the installation of such improvements by a combination of one or more of the following methods: a corporate surety bond, a deposit in escrow, a cash bond held by the county, or a letter of credit issued by a financial institution.</w:t>
      </w:r>
    </w:p>
    <w:p>
      <w:pPr>
        <w:pageBreakBefore w:val="false"/>
        <w:numPr>
          <w:ilvl w:val="0"/>
          <w:numId w:val="21"/>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guarantee shall be in an amount equal to 110% of the cost of required improvements as estimated by an engineer retained by the applicant and approved by the County Engineer. The guarantee shall assure the actual construction of such improvements within one year, or at a date approved by the County Manager.</w:t>
      </w:r>
    </w:p>
    <w:p>
      <w:pPr>
        <w:pageBreakBefore w:val="false"/>
        <w:numPr>
          <w:ilvl w:val="0"/>
          <w:numId w:val="21"/>
        </w:numPr>
        <w:tabs>
          <w:tab w:val="clear" w:pos="360"/>
          <w:tab w:val="left" w:pos="576"/>
        </w:tabs>
        <w:spacing w:before="3"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County Manager and County Attorney shall approve the method, institution, and form guarantee. (Ord. 2023-20, 11/7/23; Ord. 2022-32, 11/29/22)</w:t>
      </w:r>
    </w:p>
    <w:p>
      <w:pPr>
        <w:pageBreakBefore w:val="false"/>
        <w:spacing w:before="208" w:after="0" w:line="194" w:lineRule="exact"/>
        <w:ind w:right="0" w:left="72" w:firstLine="0"/>
        <w:jc w:val="both"/>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35-7-2. Default.</w:t>
      </w:r>
    </w:p>
    <w:p>
      <w:pPr>
        <w:pageBreakBefore w:val="false"/>
        <w:spacing w:before="0" w:after="0" w:line="203" w:lineRule="exact"/>
        <w:ind w:right="72" w:left="7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In the event the applicant defaults or fails, or neglects to satisfactorily install required improvements within one year, the County Manager may declare the guarantee forfeit and may execute thereon and install or cause the required improvements to be installed using the proceeds from the collection to defray the expenses thereof. The applicant shall be responsible for all costs incurred by the county to complete the</w:t>
      </w:r>
    </w:p>
    <w:p>
      <w:pPr>
        <w:pageBreakBefore w:val="false"/>
        <w:tabs>
          <w:tab w:val="right" w:leader="none" w:pos="7128"/>
        </w:tabs>
        <w:spacing w:before="146"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35-26</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2952" w:firstLine="0"/>
        <w:jc w:val="left"/>
        <w:textAlignment w:val="baseline"/>
        <w:rPr>
          <w:rFonts w:ascii="Ebrima" w:hAnsi="Ebrima" w:eastAsia="Ebrima"/>
          <w:strike w:val="false"/>
          <w:color w:val="000000"/>
          <w:spacing w:val="-4"/>
          <w:w w:val="100"/>
          <w:sz w:val="17"/>
          <w:vertAlign w:val="baseline"/>
          <w:lang w:val="en-US"/>
        </w:rPr>
      </w:pPr>
      <w:r>
        <w:pict>
          <v:shapetype id="_x0000_t8" coordsize="21600,21600" o:spt="202" path="m,l,21600r21600,l21600,xe">
            <v:stroke joinstyle="miter"/>
            <v:path gradientshapeok="t" o:connecttype="rect"/>
          </v:shapetype>
          <v:shape id="_x0000_s7" type="#_x0000_t8" fillcolor="#F1F1F1" stroked="f" style="position:absolute;width:193.9pt;height:596.6pt;z-index:-993;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44" w:after="9720" w:line="196" w:lineRule="exact"/>
        <w:ind w:right="0" w:left="0"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required improvements in excess of the proceeds of the guarantee. (Ord. 2022-32, 11/29/22)</w:t>
      </w:r>
    </w:p>
    <w:p>
      <w:pPr>
        <w:spacing w:before="44" w:after="9720" w:line="196" w:lineRule="exact"/>
        <w:sectPr>
          <w:type w:val="nextPage"/>
          <w:pgSz w:w="12240" w:h="15840" w:orient="portrait"/>
          <w:pgMar w:bottom="1544" w:top="1940" w:right="4986" w:left="1094" w:header="720" w:footer="720"/>
          <w:titlePg w:val="false"/>
          <w:textDirection w:val="lrTb"/>
        </w:sectPr>
      </w:pPr>
    </w:p>
    <w:p>
      <w:pPr>
        <w:pageBreakBefore w:val="false"/>
        <w:tabs>
          <w:tab w:val="right" w:leader="none" w:pos="7128"/>
        </w:tabs>
        <w:spacing w:before="8"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35-27</w:t>
      </w:r>
    </w:p>
    <w:p>
      <w:pPr>
        <w:sectPr>
          <w:type w:val="continuous"/>
          <w:pgSz w:w="12240" w:h="15840" w:orient="portrait"/>
          <w:pgMar w:bottom="1544" w:top="1940" w:right="4032" w:left="1008" w:header="720" w:footer="720"/>
          <w:titlePg w:val="false"/>
          <w:textDirection w:val="lrTb"/>
        </w:sectPr>
      </w:pPr>
    </w:p>
    <w:p>
      <w:pPr>
        <w:pageBreakBefore w:val="false"/>
        <w:spacing w:before="779" w:after="384" w:line="223" w:lineRule="exact"/>
        <w:ind w:right="0" w:left="0" w:firstLine="0"/>
        <w:jc w:val="center"/>
        <w:textAlignment w:val="baseline"/>
        <w:rPr>
          <w:rFonts w:ascii="Ebrima" w:hAnsi="Ebrima" w:eastAsia="Ebrima"/>
          <w:strike w:val="false"/>
          <w:color w:val="000000"/>
          <w:spacing w:val="-4"/>
          <w:w w:val="100"/>
          <w:sz w:val="17"/>
          <w:vertAlign w:val="baseline"/>
          <w:lang w:val="en-US"/>
        </w:rPr>
      </w:pPr>
      <w:r>
        <w:pict>
          <v:shapetype id="_x0000_t9" coordsize="21600,21600" o:spt="202" path="m,l,21600r21600,l21600,xe">
            <v:stroke joinstyle="miter"/>
            <v:path gradientshapeok="t" o:connecttype="rect"/>
          </v:shapetype>
          <v:shape id="_x0000_s8" type="#_x0000_t9" fillcolor="#F1F1F1" stroked="f" style="position:absolute;width:193.9pt;height:596.6pt;z-index:-992;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spacing w:before="779" w:after="384" w:line="223" w:lineRule="exact"/>
        <w:sectPr>
          <w:type w:val="nextPage"/>
          <w:pgSz w:w="12240" w:h="15840" w:orient="portrait"/>
          <w:pgMar w:bottom="1544" w:top="1940" w:right="4032" w:left="1008" w:header="720" w:footer="720"/>
          <w:titlePg w:val="false"/>
          <w:textDirection w:val="lrTb"/>
        </w:sectPr>
      </w:pPr>
    </w:p>
    <w:p>
      <w:pPr>
        <w:pageBreakBefore w:val="false"/>
        <w:spacing w:before="0" w:after="0" w:line="203" w:lineRule="exact"/>
        <w:ind w:right="72" w:left="72" w:firstLine="0"/>
        <w:jc w:val="both"/>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35-7-3. Maintenance guarantee.</w:t>
      </w:r>
    </w:p>
    <w:p>
      <w:pPr>
        <w:pageBreakBefore w:val="false"/>
        <w:spacing w:before="10" w:after="0" w:line="204" w:lineRule="exact"/>
        <w:ind w:right="72" w:left="72" w:firstLine="0"/>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The applicant shall guarantee that all improvements will remain in good condition for a period of one year after the date of final acceptance by the county. The applicant shall make all repairs to and maintain the improvements in good condition during that one year at no cost to the county. Upon completion of the improvements, the county shall retain 10% of the guarantee for a surety to cover the maintenance period. The exact amount retained shall be determined by the Community Development Department. The Community Development Department shall identify necessary repairs and maintenance, and this decision shall be final and binding upon the applicant. The guarantee shall extend to and include, but shall not be limited to the entire street, subgrade, base, and surface and all pipes, joints, valves, backfill, and compacting as well as the working surface, curbs, gutters, sidewalks, and other accessories that are, or may be, affected by construction operations. Whenever, in the judgment of the Community Development Department, the improvements shall need repairs, maintenance, or re-building, the Community Development Department shall cause a written notice to be mailed or given to the applicant. Upon receipt, the applicant shall undertake and complete such repairs, maintenance, or re-building. If repairs are not completed within the specified time, the County Manager may declare the guarantee forfeit and may execute thereon and install or cause the required improvements to be installed using the proceeds from the collection to defray the expenses thereof. The applicant shall be responsible for all costs incurred by the county to install the improvements in excess of the proceeds of the guarantee. (Ord. 2022-32, 11/29/22)</w:t>
      </w:r>
    </w:p>
    <w:p>
      <w:pPr>
        <w:pageBreakBefore w:val="false"/>
        <w:spacing w:before="197"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35-7-4. Acceptance and release of surety.</w:t>
      </w:r>
    </w:p>
    <w:p>
      <w:pPr>
        <w:pageBreakBefore w:val="false"/>
        <w:numPr>
          <w:ilvl w:val="0"/>
          <w:numId w:val="22"/>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shall submit to the Community Development Department a copy of the as-built construction drawings and stormwater certification by a design engineer. Acceptance of all improvements shall be in writing from the Community Development Department.</w:t>
      </w:r>
    </w:p>
    <w:p>
      <w:pPr>
        <w:pageBreakBefore w:val="false"/>
        <w:numPr>
          <w:ilvl w:val="0"/>
          <w:numId w:val="22"/>
        </w:numPr>
        <w:tabs>
          <w:tab w:val="clear" w:pos="360"/>
          <w:tab w:val="left" w:pos="576"/>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Final inspection by the Community Development Department shall be made one year after all work has been completed and before the release of the guarantee. All defects shall be corrected before acceptance by the county.</w:t>
      </w:r>
    </w:p>
    <w:p>
      <w:pPr>
        <w:pageBreakBefore w:val="false"/>
        <w:numPr>
          <w:ilvl w:val="0"/>
          <w:numId w:val="22"/>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Upon completion of improvements and acceptance by the Community Development Department, the financial assurances may be released. (Ord. 2022-32, 11/29/22)</w:t>
      </w:r>
    </w:p>
    <w:p>
      <w:pPr>
        <w:pageBreakBefore w:val="false"/>
        <w:spacing w:before="197"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35-7-5. Engineering review and inspection fee.</w:t>
      </w:r>
    </w:p>
    <w:p>
      <w:pPr>
        <w:pageBreakBefore w:val="false"/>
        <w:spacing w:before="0" w:after="2840" w:line="202"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addition to the improvement and maintenance guarantees, the applicant shall deposit with the county a sum equal to</w:t>
      </w:r>
      <w:r>
        <w:rPr>
          <w:rFonts w:ascii="Ebrima" w:hAnsi="Ebrima" w:eastAsia="Ebrima"/>
          <w:strike w:val="false"/>
          <w:color w:val="D13438"/>
          <w:spacing w:val="0"/>
          <w:w w:val="100"/>
          <w:sz w:val="15"/>
          <w:u w:val="single"/>
          <w:vertAlign w:val="baseline"/>
          <w:lang w:val="en-US"/>
        </w:rPr>
        <w:t xml:space="preserve"> (3)</w:t>
      </w:r>
      <w:r>
        <w:rPr>
          <w:rFonts w:ascii="Ebrima" w:hAnsi="Ebrima" w:eastAsia="Ebrima"/>
          <w:strike w:val="false"/>
          <w:color w:val="000000"/>
          <w:spacing w:val="0"/>
          <w:w w:val="100"/>
          <w:sz w:val="15"/>
          <w:vertAlign w:val="baseline"/>
          <w:lang w:val="en-US"/>
        </w:rPr>
        <w:t xml:space="preserve"> three percent of the cost of the improvements to cover reviews and inspections prior to the pre-construction meeting. (Ord. 2022-32, 11/29/22)</w:t>
      </w:r>
    </w:p>
    <w:p>
      <w:pPr>
        <w:spacing w:before="0" w:after="2840" w:line="202" w:lineRule="exact"/>
        <w:sectPr>
          <w:type w:val="continuous"/>
          <w:pgSz w:w="12240" w:h="15840" w:orient="portrait"/>
          <w:pgMar w:bottom="1544" w:top="1940" w:right="4022" w:left="1018" w:header="720" w:footer="720"/>
          <w:titlePg w:val="false"/>
          <w:textDirection w:val="lrTb"/>
        </w:sectPr>
      </w:pPr>
    </w:p>
    <w:p>
      <w:pPr>
        <w:pageBreakBefore w:val="false"/>
        <w:tabs>
          <w:tab w:val="right" w:leader="none" w:pos="7128"/>
        </w:tabs>
        <w:spacing w:before="8"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35-28</w:t>
      </w:r>
    </w:p>
    <w:p>
      <w:pPr>
        <w:sectPr>
          <w:type w:val="continuous"/>
          <w:pgSz w:w="12240" w:h="15840" w:orient="portrait"/>
          <w:pgMar w:bottom="1544" w:top="1940" w:right="4032" w:left="1008"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10" coordsize="21600,21600" o:spt="202" path="m,l,21600r21600,l21600,xe">
            <v:stroke joinstyle="miter"/>
            <v:path gradientshapeok="t" o:connecttype="rect"/>
          </v:shapetype>
          <v:shape id="_x0000_s9" type="#_x0000_t10" fillcolor="#F1F1F1" stroked="f" style="position:absolute;width:193.9pt;height:596.6pt;z-index:-991;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412" w:after="0" w:line="192"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PART 35-8</w:t>
      </w:r>
    </w:p>
    <w:p>
      <w:pPr>
        <w:pageBreakBefore w:val="false"/>
        <w:spacing w:before="0" w:after="0" w:line="191" w:lineRule="exact"/>
        <w:ind w:right="0" w:left="2808" w:firstLine="0"/>
        <w:jc w:val="left"/>
        <w:textAlignment w:val="baseline"/>
        <w:rPr>
          <w:rFonts w:ascii="Ebrima" w:hAnsi="Ebrima" w:eastAsia="Ebrima"/>
          <w:b w:val="true"/>
          <w:strike w:val="false"/>
          <w:color w:val="D13438"/>
          <w:spacing w:val="0"/>
          <w:w w:val="100"/>
          <w:sz w:val="15"/>
          <w:u w:val="single"/>
          <w:vertAlign w:val="baseline"/>
          <w:lang w:val="en-US"/>
        </w:rPr>
      </w:pPr>
      <w:r>
        <w:pict>
          <v:line strokeweight="0.7pt" strokecolor="#000000" from="25.45pt,176.9pt" to="25.45pt,225.15pt" style="position:absolute;mso-position-horizontal-relative:page;mso-position-vertical-relative:page;">
            <v:stroke dashstyle="solid"/>
          </v:line>
        </w:pict>
      </w:r>
      <w:r>
        <w:rPr>
          <w:rFonts w:ascii="Ebrima" w:hAnsi="Ebrima" w:eastAsia="Ebrima"/>
          <w:b w:val="true"/>
          <w:strike w:val="false"/>
          <w:color w:val="D13438"/>
          <w:spacing w:val="0"/>
          <w:w w:val="100"/>
          <w:sz w:val="15"/>
          <w:u w:val="single"/>
          <w:vertAlign w:val="baseline"/>
          <w:lang w:val="en-US"/>
        </w:rPr>
        <w:t xml:space="preserve">DESIGN STANDARDS
</w:t>
        <w:br/>
      </w:r>
      <w:r>
        <w:rPr>
          <w:rFonts w:ascii="Ebrima" w:hAnsi="Ebrima" w:eastAsia="Ebrima"/>
          <w:b w:val="true"/>
          <w:strike w:val="false"/>
          <w:color w:val="D13438"/>
          <w:spacing w:val="0"/>
          <w:w w:val="100"/>
          <w:sz w:val="15"/>
          <w:u w:val="single"/>
          <w:vertAlign w:val="baseline"/>
          <w:lang w:val="en-US"/>
        </w:rPr>
        <w:t xml:space="preserve">VACATION, </w:t>
      </w:r>
    </w:p>
    <w:p>
      <w:pPr>
        <w:pageBreakBefore w:val="false"/>
        <w:spacing w:before="0" w:after="0" w:line="192" w:lineRule="exact"/>
        <w:ind w:right="0" w:left="2808" w:firstLine="0"/>
        <w:jc w:val="left"/>
        <w:textAlignment w:val="baseline"/>
        <w:rPr>
          <w:rFonts w:ascii="Ebrima" w:hAnsi="Ebrima" w:eastAsia="Ebrima"/>
          <w:b w:val="true"/>
          <w:strike w:val="false"/>
          <w:color w:val="D13438"/>
          <w:spacing w:val="0"/>
          <w:w w:val="100"/>
          <w:sz w:val="15"/>
          <w:u w:val="single"/>
          <w:vertAlign w:val="baseline"/>
          <w:lang w:val="en-US"/>
        </w:rPr>
      </w:pPr>
      <w:r>
        <w:rPr>
          <w:rFonts w:ascii="Ebrima" w:hAnsi="Ebrima" w:eastAsia="Ebrima"/>
          <w:b w:val="true"/>
          <w:strike w:val="false"/>
          <w:color w:val="D13438"/>
          <w:spacing w:val="0"/>
          <w:w w:val="100"/>
          <w:sz w:val="15"/>
          <w:u w:val="single"/>
          <w:vertAlign w:val="baseline"/>
          <w:lang w:val="en-US"/>
        </w:rPr>
        <w:t xml:space="preserve">ALTERATION AND 
</w:t>
        <w:br/>
      </w:r>
      <w:r>
        <w:rPr>
          <w:rFonts w:ascii="Ebrima" w:hAnsi="Ebrima" w:eastAsia="Ebrima"/>
          <w:b w:val="true"/>
          <w:strike w:val="false"/>
          <w:color w:val="D13438"/>
          <w:spacing w:val="0"/>
          <w:w w:val="100"/>
          <w:sz w:val="15"/>
          <w:u w:val="single"/>
          <w:vertAlign w:val="baseline"/>
          <w:lang w:val="en-US"/>
        </w:rPr>
        <w:t xml:space="preserve">AMENDMENT OF 
</w:t>
        <w:br/>
      </w:r>
      <w:r>
        <w:rPr>
          <w:rFonts w:ascii="Ebrima" w:hAnsi="Ebrima" w:eastAsia="Ebrima"/>
          <w:b w:val="true"/>
          <w:strike w:val="false"/>
          <w:color w:val="D13438"/>
          <w:spacing w:val="0"/>
          <w:w w:val="100"/>
          <w:sz w:val="15"/>
          <w:u w:val="single"/>
          <w:vertAlign w:val="baseline"/>
          <w:lang w:val="en-US"/>
        </w:rPr>
        <w:t xml:space="preserve">SUBDIVISION PLAT</w:t>
      </w:r>
      <w:r>
        <w:rPr>
          <w:rFonts w:ascii="Ebrima" w:hAnsi="Ebrima" w:eastAsia="Ebrima"/>
          <w:b w:val="true"/>
          <w:strike w:val="false"/>
          <w:color w:val="000000"/>
          <w:spacing w:val="0"/>
          <w:w w:val="100"/>
          <w:sz w:val="15"/>
          <w:u w:val="single"/>
          <w:vertAlign w:val="baseline"/>
          <w:lang w:val="en-US"/>
        </w:rPr>
        <w:t xml:space="preserve"> </w:t>
      </w:r>
    </w:p>
    <w:p>
      <w:pPr>
        <w:pageBreakBefore w:val="false"/>
        <w:spacing w:before="194" w:after="0" w:line="192"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35-8-1. Vacating or changing a subdivision plat.</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35-8-2. Filing of a petition to vacate, alter, or amend a plat – Notice.</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35-8-3. Planning Commission consideration of a petition to vacate or change a plat – Criteria for</w:t>
      </w:r>
    </w:p>
    <w:p>
      <w:pPr>
        <w:pageBreakBefore w:val="false"/>
        <w:spacing w:before="0" w:after="0" w:line="192" w:lineRule="exact"/>
        <w:ind w:right="0" w:left="648"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vacating or changing a plat – Recording the vacation or change.</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35-8-4. Exchange of title for portions of parcels by adjacent property owners of record.</w:t>
      </w:r>
    </w:p>
    <w:p>
      <w:pPr>
        <w:pageBreakBefore w:val="false"/>
        <w:spacing w:before="192"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35-8-1. Vacating or changing a subdivision plat.</w:t>
      </w:r>
    </w:p>
    <w:p>
      <w:pPr>
        <w:pageBreakBefore w:val="false"/>
        <w:tabs>
          <w:tab w:val="right" w:leader="none" w:pos="7128"/>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Subject to Subsection (2), the Planning Commission may, with or without a petition, consider and
</w:t>
        <w:br/>
      </w:r>
      <w:r>
        <w:rPr>
          <w:rFonts w:ascii="Ebrima" w:hAnsi="Ebrima" w:eastAsia="Ebrima"/>
          <w:strike w:val="false"/>
          <w:color w:val="000000"/>
          <w:spacing w:val="0"/>
          <w:w w:val="100"/>
          <w:sz w:val="15"/>
          <w:vertAlign w:val="baseline"/>
          <w:lang w:val="en-US"/>
        </w:rPr>
        <w:t xml:space="preserve">resolve any proposed vacation, alteration, or amendment of a subdivision plat, any portion of a subdivision plat, or any road, lot, or alley contained in a subdivision plat, at a public hearing.</w:t>
      </w:r>
    </w:p>
    <w:p>
      <w:pPr>
        <w:pageBreakBefore w:val="false"/>
        <w:tabs>
          <w:tab w:val="right" w:leader="none" w:pos="712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If a petition is filed, the Planning Commission shall hold the public hearing within 45 days after
</w:t>
        <w:br/>
      </w:r>
      <w:r>
        <w:rPr>
          <w:rFonts w:ascii="Ebrima" w:hAnsi="Ebrima" w:eastAsia="Ebrima"/>
          <w:strike w:val="false"/>
          <w:color w:val="000000"/>
          <w:spacing w:val="0"/>
          <w:w w:val="100"/>
          <w:sz w:val="15"/>
          <w:vertAlign w:val="baseline"/>
          <w:lang w:val="en-US"/>
        </w:rPr>
        <w:t xml:space="preserve">receipt of the petition if:</w:t>
      </w:r>
    </w:p>
    <w:p>
      <w:pPr>
        <w:pageBreakBefore w:val="false"/>
        <w:numPr>
          <w:ilvl w:val="0"/>
          <w:numId w:val="23"/>
        </w:numPr>
        <w:tabs>
          <w:tab w:val="clear" w:pos="216"/>
          <w:tab w:val="left" w:pos="864"/>
        </w:tabs>
        <w:spacing w:before="0" w:after="0" w:line="201" w:lineRule="exact"/>
        <w:ind w:right="0" w:left="864" w:hanging="216"/>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plat change includes the vacation of a public road;</w:t>
      </w:r>
    </w:p>
    <w:p>
      <w:pPr>
        <w:pageBreakBefore w:val="false"/>
        <w:numPr>
          <w:ilvl w:val="0"/>
          <w:numId w:val="23"/>
        </w:numPr>
        <w:tabs>
          <w:tab w:val="clear" w:pos="216"/>
          <w:tab w:val="left" w:pos="864"/>
        </w:tabs>
        <w:spacing w:before="5" w:after="0" w:line="204" w:lineRule="exact"/>
        <w:ind w:right="288" w:left="864" w:hanging="216"/>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any owner within the plat notifies the county of their objection in writing within ten days of receiving mailed notification; or</w:t>
      </w:r>
    </w:p>
    <w:p>
      <w:pPr>
        <w:pageBreakBefore w:val="false"/>
        <w:numPr>
          <w:ilvl w:val="0"/>
          <w:numId w:val="23"/>
        </w:numPr>
        <w:tabs>
          <w:tab w:val="clear" w:pos="216"/>
          <w:tab w:val="left" w:pos="864"/>
        </w:tabs>
        <w:spacing w:before="0" w:after="0" w:line="202" w:lineRule="exact"/>
        <w:ind w:right="0" w:left="864" w:hanging="216"/>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of the owners in the subdivision have not signed the revised plat.</w:t>
      </w:r>
    </w:p>
    <w:p>
      <w:pPr>
        <w:pageBreakBefore w:val="false"/>
        <w:tabs>
          <w:tab w:val="right" w:leader="none" w:pos="7128"/>
        </w:tabs>
        <w:spacing w:before="6"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Any fee owner, as shown on the last county assessment rolls, of land within the platted subdivision
</w:t>
        <w:br/>
      </w:r>
      <w:r>
        <w:rPr>
          <w:rFonts w:ascii="Ebrima" w:hAnsi="Ebrima" w:eastAsia="Ebrima"/>
          <w:strike w:val="false"/>
          <w:color w:val="000000"/>
          <w:spacing w:val="0"/>
          <w:w w:val="100"/>
          <w:sz w:val="15"/>
          <w:vertAlign w:val="baseline"/>
          <w:lang w:val="en-US"/>
        </w:rPr>
        <w:t xml:space="preserve">may petition in writing to have the plat, any portion of it, or any road or lot contained in it, vacated, altered, or amended.</w:t>
      </w:r>
    </w:p>
    <w:p>
      <w:pPr>
        <w:pageBreakBefore w:val="false"/>
        <w:tabs>
          <w:tab w:val="right" w:leader="none" w:pos="7128"/>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The Community Development Department shall review any proposal to vacate or alter any road or
</w:t>
        <w:br/>
      </w:r>
      <w:r>
        <w:rPr>
          <w:rFonts w:ascii="Ebrima" w:hAnsi="Ebrima" w:eastAsia="Ebrima"/>
          <w:strike w:val="false"/>
          <w:color w:val="000000"/>
          <w:spacing w:val="0"/>
          <w:w w:val="100"/>
          <w:sz w:val="15"/>
          <w:vertAlign w:val="baseline"/>
          <w:lang w:val="en-US"/>
        </w:rPr>
        <w:t xml:space="preserve">alley located within a subdivision. Upon receiving a recommendation from the Community Development Department, the application shall be considered at a public hearing held by the Planning Commission. The County Council shall then consider and act on the Planning Commission’s recommendation at a public meeting.</w:t>
      </w:r>
    </w:p>
    <w:p>
      <w:pPr>
        <w:pageBreakBefore w:val="false"/>
        <w:tabs>
          <w:tab w:val="right" w:leader="none" w:pos="712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(5)	</w:t>
      </w:r>
      <w:r>
        <w:rPr>
          <w:rFonts w:ascii="Ebrima" w:hAnsi="Ebrima" w:eastAsia="Ebrima"/>
          <w:strike w:val="false"/>
          <w:color w:val="000000"/>
          <w:spacing w:val="0"/>
          <w:w w:val="100"/>
          <w:sz w:val="15"/>
          <w:vertAlign w:val="baseline"/>
          <w:lang w:val="en-US"/>
        </w:rPr>
        <w:t xml:space="preserve">The vacation or narrowing of a public road does not affect any existing easement or franchise right
</w:t>
        <w:br/>
      </w:r>
      <w:r>
        <w:rPr>
          <w:rFonts w:ascii="Ebrima" w:hAnsi="Ebrima" w:eastAsia="Ebrima"/>
          <w:strike w:val="false"/>
          <w:color w:val="000000"/>
          <w:spacing w:val="0"/>
          <w:w w:val="100"/>
          <w:sz w:val="15"/>
          <w:vertAlign w:val="baseline"/>
          <w:lang w:val="en-US"/>
        </w:rPr>
        <w:t xml:space="preserve">of any public utility. (Ord. 2022-32, 11/29/22)</w:t>
      </w:r>
    </w:p>
    <w:p>
      <w:pPr>
        <w:pageBreakBefore w:val="false"/>
        <w:spacing w:before="210"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35-8-2. Filing of a petition to vacate, alter, or amend a plat – Notice.</w:t>
      </w:r>
    </w:p>
    <w:p>
      <w:pPr>
        <w:pageBreakBefore w:val="false"/>
        <w:tabs>
          <w:tab w:val="right" w:leader="none" w:pos="7128"/>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Each petition to vacate, alter, or amend an entire plat, a portion of a plat, or a road or lot contained
</w:t>
        <w:br/>
      </w:r>
      <w:r>
        <w:rPr>
          <w:rFonts w:ascii="Ebrima" w:hAnsi="Ebrima" w:eastAsia="Ebrima"/>
          <w:strike w:val="false"/>
          <w:color w:val="000000"/>
          <w:spacing w:val="0"/>
          <w:w w:val="100"/>
          <w:sz w:val="15"/>
          <w:vertAlign w:val="baseline"/>
          <w:lang w:val="en-US"/>
        </w:rPr>
        <w:t xml:space="preserve">in a plat shall include:</w:t>
      </w:r>
    </w:p>
    <w:p>
      <w:pPr>
        <w:pageBreakBefore w:val="false"/>
        <w:numPr>
          <w:ilvl w:val="0"/>
          <w:numId w:val="24"/>
        </w:numPr>
        <w:tabs>
          <w:tab w:val="clear" w:pos="360"/>
          <w:tab w:val="left" w:pos="1008"/>
        </w:tabs>
        <w:spacing w:before="0" w:after="0" w:line="201"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name and address of all owners of record of the land contained in the entire plat;</w:t>
      </w:r>
    </w:p>
    <w:p>
      <w:pPr>
        <w:pageBreakBefore w:val="false"/>
        <w:numPr>
          <w:ilvl w:val="0"/>
          <w:numId w:val="24"/>
        </w:numPr>
        <w:tabs>
          <w:tab w:val="clear" w:pos="360"/>
          <w:tab w:val="left" w:pos="1008"/>
        </w:tabs>
        <w:spacing w:before="4" w:after="0" w:line="204"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name and address of all owners of record of land adjacent to any road that is proposed to be vacated, altered, or amended; and</w:t>
      </w:r>
    </w:p>
    <w:p>
      <w:pPr>
        <w:pageBreakBefore w:val="false"/>
        <w:numPr>
          <w:ilvl w:val="0"/>
          <w:numId w:val="24"/>
        </w:numPr>
        <w:tabs>
          <w:tab w:val="clear" w:pos="360"/>
          <w:tab w:val="left" w:pos="1008"/>
        </w:tabs>
        <w:spacing w:before="4"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signature of each of these owners who consents to the petition.</w:t>
      </w:r>
    </w:p>
    <w:p>
      <w:pPr>
        <w:pageBreakBefore w:val="false"/>
        <w:tabs>
          <w:tab w:val="right" w:leader="none" w:pos="712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A petition that lacks the consent of all owners may not be scheduled for consideration at a public
</w:t>
        <w:br/>
      </w:r>
      <w:r>
        <w:rPr>
          <w:rFonts w:ascii="Ebrima" w:hAnsi="Ebrima" w:eastAsia="Ebrima"/>
          <w:strike w:val="false"/>
          <w:color w:val="000000"/>
          <w:spacing w:val="0"/>
          <w:w w:val="100"/>
          <w:sz w:val="15"/>
          <w:vertAlign w:val="baseline"/>
          <w:lang w:val="en-US"/>
        </w:rPr>
        <w:t xml:space="preserve">hearing before the Planning Commission until the following notice is given:</w:t>
      </w:r>
    </w:p>
    <w:p>
      <w:pPr>
        <w:pageBreakBefore w:val="false"/>
        <w:tabs>
          <w:tab w:val="left" w:leader="none" w:pos="1008"/>
        </w:tabs>
        <w:spacing w:before="0" w:after="0" w:line="201" w:lineRule="exact"/>
        <w:ind w:right="0" w:left="64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w:t>
      </w:r>
      <w:r>
        <w:rPr>
          <w:rFonts w:ascii="Ebrima" w:hAnsi="Ebrima" w:eastAsia="Ebrima"/>
          <w:strike w:val="false"/>
          <w:color w:val="000000"/>
          <w:spacing w:val="0"/>
          <w:w w:val="100"/>
          <w:sz w:val="15"/>
          <w:vertAlign w:val="baseline"/>
          <w:lang w:val="en-US"/>
        </w:rPr>
        <w:t xml:space="preserve">Notice shall be provided of the date, time, and place of a public hearing and shall be:</w:t>
      </w:r>
    </w:p>
    <w:p>
      <w:pPr>
        <w:pageBreakBefore w:val="false"/>
        <w:tabs>
          <w:tab w:val="right" w:leader="none" w:pos="7128"/>
        </w:tabs>
        <w:spacing w:before="5" w:after="0" w:line="204" w:lineRule="exact"/>
        <w:ind w:right="0" w:left="72" w:firstLine="0"/>
        <w:jc w:val="righ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	</w:t>
      </w:r>
      <w:r>
        <w:rPr>
          <w:rFonts w:ascii="Ebrima" w:hAnsi="Ebrima" w:eastAsia="Ebrima"/>
          <w:strike w:val="false"/>
          <w:color w:val="000000"/>
          <w:spacing w:val="0"/>
          <w:w w:val="100"/>
          <w:sz w:val="15"/>
          <w:vertAlign w:val="baseline"/>
          <w:lang w:val="en-US"/>
        </w:rPr>
        <w:t xml:space="preserve">mailed not less than ten calendar days before the public hearing and addressed to the
</w:t>
        <w:br/>
      </w:r>
      <w:r>
        <w:rPr>
          <w:rFonts w:ascii="Ebrima" w:hAnsi="Ebrima" w:eastAsia="Ebrima"/>
          <w:strike w:val="false"/>
          <w:color w:val="000000"/>
          <w:spacing w:val="0"/>
          <w:w w:val="100"/>
          <w:sz w:val="15"/>
          <w:vertAlign w:val="baseline"/>
          <w:lang w:val="en-US"/>
        </w:rPr>
        <w:t xml:space="preserve">record owner of each parcel that is accessed by the public street or municipal utility easement;</w:t>
      </w:r>
    </w:p>
    <w:p>
      <w:pPr>
        <w:pageBreakBefore w:val="false"/>
        <w:tabs>
          <w:tab w:val="right" w:leader="none" w:pos="7128"/>
        </w:tabs>
        <w:spacing w:before="147"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35-29</w:t>
      </w:r>
    </w:p>
    <w:p>
      <w:pPr>
        <w:sectPr>
          <w:type w:val="nextPage"/>
          <w:pgSz w:w="12240" w:h="15840" w:orient="portrait"/>
          <w:pgMar w:bottom="1544" w:top="1940" w:right="4027" w:left="1013" w:header="720" w:footer="720"/>
          <w:titlePg w:val="false"/>
          <w:textDirection w:val="lrTb"/>
        </w:sectPr>
      </w:pPr>
    </w:p>
    <w:p>
      <w:pPr>
        <w:pageBreakBefore w:val="false"/>
        <w:spacing w:before="8" w:after="0" w:line="223" w:lineRule="exact"/>
        <w:ind w:right="0" w:left="0" w:firstLine="0"/>
        <w:jc w:val="center"/>
        <w:textAlignment w:val="baseline"/>
        <w:rPr>
          <w:rFonts w:ascii="Ebrima" w:hAnsi="Ebrima" w:eastAsia="Ebrima"/>
          <w:strike w:val="false"/>
          <w:color w:val="000000"/>
          <w:spacing w:val="-4"/>
          <w:w w:val="100"/>
          <w:sz w:val="17"/>
          <w:vertAlign w:val="baseline"/>
          <w:lang w:val="en-US"/>
        </w:rPr>
      </w:pP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5"/>
        </w:numPr>
        <w:tabs>
          <w:tab w:val="clear" w:pos="432"/>
          <w:tab w:val="left" w:pos="1080"/>
        </w:tabs>
        <w:spacing w:before="30" w:after="0" w:line="206" w:lineRule="exact"/>
        <w:ind w:right="0" w:left="504"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mailed to each affected entity; and</w:t>
      </w:r>
    </w:p>
    <w:p>
      <w:pPr>
        <w:pageBreakBefore w:val="false"/>
        <w:numPr>
          <w:ilvl w:val="0"/>
          <w:numId w:val="25"/>
        </w:numPr>
        <w:tabs>
          <w:tab w:val="clear" w:pos="432"/>
          <w:tab w:val="left" w:pos="1080"/>
        </w:tabs>
        <w:spacing w:before="0" w:after="0" w:line="203"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 petition is regarding a public street or municipal utility easement, the notice shall comply with UCA 63G-30-102, as a class A notice, for at least ten days.</w:t>
      </w:r>
    </w:p>
    <w:p>
      <w:pPr>
        <w:sectPr>
          <w:type w:val="nextPage"/>
          <w:pgSz w:w="12240" w:h="15840" w:orient="portrait"/>
          <w:pgMar w:bottom="1544" w:top="2711" w:right="4104" w:left="1402" w:header="720" w:footer="720"/>
          <w:titlePg w:val="false"/>
          <w:textDirection w:val="lrTb"/>
        </w:sectPr>
      </w:pPr>
    </w:p>
    <w:p>
      <w:pPr>
        <w:pageBreakBefore w:val="false"/>
        <w:tabs>
          <w:tab w:val="right" w:leader="none" w:pos="7128"/>
        </w:tabs>
        <w:spacing w:before="9320"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pict>
          <v:shapetype id="_x0000_t11" coordsize="21600,21600" o:spt="202" path="m,l,21600r21600,l21600,xe">
            <v:stroke joinstyle="miter"/>
            <v:path gradientshapeok="t" o:connecttype="rect"/>
          </v:shapetype>
          <v:shape id="_x0000_s10" type="#_x0000_t11" fillcolor="#F1F1F1" stroked="f" style="position:absolute;width:193.9pt;height:596.6pt;z-index:-990;margin-left:418.1pt;margin-top:97.7pt;mso-wrap-distance-left:7.7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35-30</w:t>
      </w:r>
    </w:p>
    <w:p>
      <w:pPr>
        <w:sectPr>
          <w:type w:val="continuous"/>
          <w:pgSz w:w="12240" w:h="15840" w:orient="portrait"/>
          <w:pgMar w:bottom="1544" w:top="2711" w:right="4032" w:left="1008" w:header="720" w:footer="720"/>
          <w:titlePg w:val="false"/>
          <w:textDirection w:val="lrTb"/>
        </w:sectPr>
      </w:pPr>
    </w:p>
    <w:p>
      <w:pPr>
        <w:pageBreakBefore w:val="false"/>
        <w:spacing w:before="779" w:after="0" w:line="223" w:lineRule="exact"/>
        <w:ind w:right="72" w:left="72" w:firstLine="0"/>
        <w:jc w:val="center"/>
        <w:textAlignment w:val="baseline"/>
        <w:rPr>
          <w:rFonts w:ascii="Ebrima" w:hAnsi="Ebrima" w:eastAsia="Ebrima"/>
          <w:strike w:val="false"/>
          <w:color w:val="000000"/>
          <w:spacing w:val="-4"/>
          <w:w w:val="100"/>
          <w:sz w:val="17"/>
          <w:vertAlign w:val="baseline"/>
          <w:lang w:val="en-US"/>
        </w:rPr>
      </w:pPr>
      <w:r>
        <w:pict>
          <v:shapetype id="_x0000_t12" coordsize="21600,21600" o:spt="202" path="m,l,21600r21600,l21600,xe">
            <v:stroke joinstyle="miter"/>
            <v:path gradientshapeok="t" o:connecttype="rect"/>
          </v:shapetype>
          <v:shape id="_x0000_s11" type="#_x0000_t12" fillcolor="#F1F1F1" stroked="f" style="position:absolute;width:193.9pt;height:596.6pt;z-index:-989;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tabs>
          <w:tab w:val="right" w:leader="none" w:pos="7128"/>
        </w:tabs>
        <w:spacing w:before="406" w:after="0" w:line="204" w:lineRule="exact"/>
        <w:ind w:right="72" w:left="64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	</w:t>
      </w:r>
      <w:r>
        <w:rPr>
          <w:rFonts w:ascii="Ebrima" w:hAnsi="Ebrima" w:eastAsia="Ebrima"/>
          <w:strike w:val="false"/>
          <w:color w:val="000000"/>
          <w:spacing w:val="0"/>
          <w:w w:val="100"/>
          <w:sz w:val="15"/>
          <w:vertAlign w:val="baseline"/>
          <w:lang w:val="en-US"/>
        </w:rPr>
        <w:t xml:space="preserve">For any proposal to vacate, alter, or amend a platted street, the Planning Commission shall</w:t>
      </w:r>
    </w:p>
    <w:p>
      <w:pPr>
        <w:pageBreakBefore w:val="false"/>
        <w:spacing w:before="0" w:after="0" w:line="203" w:lineRule="exact"/>
        <w:ind w:right="72" w:left="50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give notice of a public hearing with the date, place, and time of the hearing as required by UCA 17-27a-609.5.</w:t>
      </w:r>
    </w:p>
    <w:p>
      <w:pPr>
        <w:pageBreakBefore w:val="false"/>
        <w:numPr>
          <w:ilvl w:val="0"/>
          <w:numId w:val="26"/>
        </w:numPr>
        <w:tabs>
          <w:tab w:val="clear" w:pos="504"/>
          <w:tab w:val="left" w:pos="648"/>
        </w:tabs>
        <w:spacing w:before="0" w:after="0" w:line="204" w:lineRule="exact"/>
        <w:ind w:right="72" w:left="72" w:firstLine="72"/>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petitioner shall pay the costs of the notice.</w:t>
      </w:r>
    </w:p>
    <w:p>
      <w:pPr>
        <w:pageBreakBefore w:val="false"/>
        <w:numPr>
          <w:ilvl w:val="0"/>
          <w:numId w:val="26"/>
        </w:numPr>
        <w:tabs>
          <w:tab w:val="clear" w:pos="504"/>
          <w:tab w:val="left" w:pos="648"/>
        </w:tabs>
        <w:spacing w:before="2" w:after="0" w:line="204" w:lineRule="exact"/>
        <w:ind w:right="72" w:left="72"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Subject to Subsection (1), if the Planning Commission proposes to vacate, alter, or amend a subdivision plat or any road or lot contained in a subdivision plat, they shall consider the issue at a public hearing after giving the notice required by this Section.</w:t>
      </w:r>
    </w:p>
    <w:p>
      <w:pPr>
        <w:pageBreakBefore w:val="false"/>
        <w:numPr>
          <w:ilvl w:val="0"/>
          <w:numId w:val="26"/>
        </w:numPr>
        <w:tabs>
          <w:tab w:val="clear" w:pos="504"/>
          <w:tab w:val="left" w:pos="648"/>
        </w:tabs>
        <w:spacing w:before="2" w:after="0" w:line="204" w:lineRule="exact"/>
        <w:ind w:right="72" w:left="72"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name of a recorded subdivision may be changed by recording an amended plat if the new name has been cleared and approved by the County Recorder. The recording of all other declarations or documents that purport to change the name of a recorded plat are void. (Ord. 2023-20, 11/7/23; Ord. 2022-32, 11/29/22)</w:t>
      </w:r>
    </w:p>
    <w:p>
      <w:pPr>
        <w:pageBreakBefore w:val="false"/>
        <w:spacing w:before="213" w:after="0" w:line="192" w:lineRule="exact"/>
        <w:ind w:right="72" w:left="72" w:firstLine="0"/>
        <w:jc w:val="both"/>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35-8-3. Planning Commission consideration of a petition to vacate or change a plat – Criteria for vacating or changing a plat – Recording the vacation or change.</w:t>
      </w:r>
    </w:p>
    <w:p>
      <w:pPr>
        <w:pageBreakBefore w:val="false"/>
        <w:tabs>
          <w:tab w:val="left" w:leader="none" w:pos="576"/>
        </w:tabs>
        <w:spacing w:before="1" w:after="0" w:line="206" w:lineRule="exact"/>
        <w:ind w:right="72" w:left="72" w:firstLine="0"/>
        <w:jc w:val="both"/>
        <w:textAlignment w:val="baseline"/>
        <w:rPr>
          <w:rFonts w:ascii="Ebrima" w:hAnsi="Ebrima" w:eastAsia="Ebrima"/>
          <w:strike w:val="false"/>
          <w:color w:val="D13438"/>
          <w:spacing w:val="0"/>
          <w:w w:val="100"/>
          <w:sz w:val="15"/>
          <w:u w:val="single"/>
          <w:vertAlign w:val="baseline"/>
          <w:lang w:val="en-US"/>
        </w:rPr>
      </w:pPr>
      <w:r>
        <w:rPr>
          <w:rFonts w:ascii="Ebrima" w:hAnsi="Ebrima" w:eastAsia="Ebrima"/>
          <w:strike w:val="false"/>
          <w:color w:val="D13438"/>
          <w:spacing w:val="0"/>
          <w:w w:val="100"/>
          <w:sz w:val="15"/>
          <w:u w:val="single"/>
          <w:vertAlign w:val="baseline"/>
          <w:lang w:val="en-US"/>
        </w:rPr>
        <w:t xml:space="preserve">(1)	</w:t>
      </w:r>
      <w:r>
        <w:rPr>
          <w:rFonts w:ascii="Ebrima" w:hAnsi="Ebrima" w:eastAsia="Ebrima"/>
          <w:strike w:val="false"/>
          <w:color w:val="D13438"/>
          <w:spacing w:val="0"/>
          <w:w w:val="100"/>
          <w:sz w:val="15"/>
          <w:u w:val="single"/>
          <w:vertAlign w:val="baseline"/>
          <w:lang w:val="en-US"/>
        </w:rPr>
        <w:t xml:space="preserve">Within 30 days after the required public hearing, </w:t>
      </w:r>
      <w:r>
        <w:rPr>
          <w:rFonts w:ascii="Ebrima" w:hAnsi="Ebrima" w:eastAsia="Ebrima"/>
          <w:strike w:val="false"/>
          <w:color w:val="D13438"/>
          <w:spacing w:val="0"/>
          <w:w w:val="100"/>
          <w:sz w:val="15"/>
          <w:vertAlign w:val="baseline"/>
          <w:lang w:val="en-US"/>
        </w:rPr>
        <w:t xml:space="preserve">or as</w:t>
      </w:r>
      <w:r>
        <w:rPr>
          <w:rFonts w:ascii="Ebrima" w:hAnsi="Ebrima" w:eastAsia="Ebrima"/>
          <w:strike w:val="false"/>
          <w:color w:val="D13438"/>
          <w:spacing w:val="0"/>
          <w:w w:val="100"/>
          <w:sz w:val="15"/>
          <w:u w:val="single"/>
          <w:vertAlign w:val="baseline"/>
          <w:lang w:val="en-US"/>
        </w:rPr>
        <w:t xml:space="preserve"> that time may be extended by </w:t>
      </w:r>
      <w:r>
        <w:rPr>
          <w:rFonts w:ascii="Ebrima" w:hAnsi="Ebrima" w:eastAsia="Ebrima"/>
          <w:strike w:val="false"/>
          <w:color w:val="D13438"/>
          <w:spacing w:val="0"/>
          <w:w w:val="100"/>
          <w:sz w:val="15"/>
          <w:vertAlign w:val="baseline"/>
          <w:lang w:val="en-US"/>
        </w:rPr>
        <w:t xml:space="preserve">agreement</w:t>
      </w:r>
      <w:r>
        <w:rPr>
          <w:rFonts w:ascii="Ebrima" w:hAnsi="Ebrima" w:eastAsia="Ebrima"/>
          <w:strike w:val="false"/>
          <w:color w:val="D13438"/>
          <w:spacing w:val="0"/>
          <w:w w:val="100"/>
          <w:sz w:val="15"/>
          <w:u w:val="single"/>
          <w:vertAlign w:val="baseline"/>
          <w:lang w:val="en-US"/>
        </w:rPr>
        <w:t xml:space="preserve"> of the parties, the Planning Commission shall </w:t>
      </w:r>
      <w:r>
        <w:rPr>
          <w:rFonts w:ascii="Ebrima" w:hAnsi="Ebrima" w:eastAsia="Ebrima"/>
          <w:strike w:val="false"/>
          <w:color w:val="D13438"/>
          <w:spacing w:val="0"/>
          <w:w w:val="100"/>
          <w:sz w:val="15"/>
          <w:vertAlign w:val="baseline"/>
          <w:lang w:val="en-US"/>
        </w:rPr>
        <w:t xml:space="preserve">consider</w:t>
      </w:r>
      <w:r>
        <w:rPr>
          <w:rFonts w:ascii="Ebrima" w:hAnsi="Ebrima" w:eastAsia="Ebrima"/>
          <w:strike w:val="false"/>
          <w:color w:val="D13438"/>
          <w:spacing w:val="0"/>
          <w:w w:val="100"/>
          <w:sz w:val="15"/>
          <w:u w:val="single"/>
          <w:vertAlign w:val="baseline"/>
          <w:lang w:val="en-US"/>
        </w:rPr>
        <w:t xml:space="preserve"> the petition to </w:t>
      </w:r>
      <w:r>
        <w:rPr>
          <w:rFonts w:ascii="Ebrima" w:hAnsi="Ebrima" w:eastAsia="Ebrima"/>
          <w:strike w:val="false"/>
          <w:color w:val="D13438"/>
          <w:spacing w:val="0"/>
          <w:w w:val="100"/>
          <w:sz w:val="15"/>
          <w:vertAlign w:val="baseline"/>
          <w:lang w:val="en-US"/>
        </w:rPr>
        <w:t xml:space="preserve">vacate or</w:t>
      </w:r>
      <w:r>
        <w:rPr>
          <w:rFonts w:ascii="Ebrima" w:hAnsi="Ebrima" w:eastAsia="Ebrima"/>
          <w:strike w:val="false"/>
          <w:color w:val="D13438"/>
          <w:spacing w:val="0"/>
          <w:w w:val="100"/>
          <w:sz w:val="15"/>
          <w:u w:val="single"/>
          <w:vertAlign w:val="baseline"/>
          <w:lang w:val="en-US"/>
        </w:rPr>
        <w:t xml:space="preserve"> change </w:t>
      </w:r>
      <w:r>
        <w:rPr>
          <w:rFonts w:ascii="Ebrima" w:hAnsi="Ebrima" w:eastAsia="Ebrima"/>
          <w:strike w:val="false"/>
          <w:color w:val="D13438"/>
          <w:spacing w:val="0"/>
          <w:w w:val="100"/>
          <w:sz w:val="15"/>
          <w:vertAlign w:val="baseline"/>
          <w:lang w:val="en-US"/>
        </w:rPr>
        <w:t xml:space="preserve">a</w:t>
      </w:r>
      <w:r>
        <w:rPr>
          <w:rFonts w:ascii="Ebrima" w:hAnsi="Ebrima" w:eastAsia="Ebrima"/>
          <w:strike w:val="false"/>
          <w:color w:val="D13438"/>
          <w:spacing w:val="0"/>
          <w:w w:val="100"/>
          <w:sz w:val="15"/>
          <w:u w:val="single"/>
          <w:vertAlign w:val="baseline"/>
          <w:lang w:val="en-US"/>
        </w:rPr>
        <w:t xml:space="preserve"> plat.</w:t>
      </w:r>
    </w:p>
    <w:p>
      <w:pPr>
        <w:pageBreakBefore w:val="false"/>
        <w:spacing w:before="0" w:after="0" w:line="203" w:lineRule="exact"/>
        <w:ind w:right="72" w:left="72" w:firstLine="0"/>
        <w:jc w:val="both"/>
        <w:textAlignment w:val="baseline"/>
        <w:rPr>
          <w:rFonts w:ascii="Ebrima" w:hAnsi="Ebrima" w:eastAsia="Ebrima"/>
          <w:strike w:val="false"/>
          <w:color w:val="5C2D91"/>
          <w:spacing w:val="-2"/>
          <w:w w:val="100"/>
          <w:sz w:val="15"/>
          <w:u w:val="single"/>
          <w:vertAlign w:val="baseline"/>
          <w:lang w:val="en-US"/>
        </w:rPr>
      </w:pPr>
      <w:r>
        <w:rPr>
          <w:rFonts w:ascii="Ebrima" w:hAnsi="Ebrima" w:eastAsia="Ebrima"/>
          <w:strike w:val="false"/>
          <w:color w:val="5C2D91"/>
          <w:spacing w:val="-2"/>
          <w:w w:val="100"/>
          <w:sz w:val="15"/>
          <w:u w:val="single"/>
          <w:vertAlign w:val="baseline"/>
          <w:lang w:val="en-US"/>
        </w:rPr>
        <w:t xml:space="preserve">(2)(1)</w:t>
      </w:r>
      <w:r>
        <w:rPr>
          <w:rFonts w:ascii="Ebrima" w:hAnsi="Ebrima" w:eastAsia="Ebrima"/>
          <w:strike w:val="false"/>
          <w:color w:val="000000"/>
          <w:spacing w:val="-2"/>
          <w:w w:val="100"/>
          <w:sz w:val="15"/>
          <w:vertAlign w:val="baseline"/>
          <w:lang w:val="en-US"/>
        </w:rPr>
        <w:t xml:space="preserve"> If the Planning Commission is satisfied that the public will not be materially injured by the proposed vacation, alteration, or amendment, and that there is good cause for the vacation, alteration, or amendment, the Planning Commission may vacate, alter, or amend the plat, any portion of the plat, or lot.</w:t>
      </w:r>
    </w:p>
    <w:p>
      <w:pPr>
        <w:pageBreakBefore w:val="false"/>
        <w:spacing w:before="0" w:after="0" w:line="204" w:lineRule="exact"/>
        <w:ind w:right="72" w:left="72" w:firstLine="0"/>
        <w:jc w:val="both"/>
        <w:textAlignment w:val="baseline"/>
        <w:rPr>
          <w:rFonts w:ascii="Ebrima" w:hAnsi="Ebrima" w:eastAsia="Ebrima"/>
          <w:strike w:val="false"/>
          <w:color w:val="5C2D91"/>
          <w:spacing w:val="0"/>
          <w:w w:val="100"/>
          <w:sz w:val="15"/>
          <w:u w:val="single"/>
          <w:vertAlign w:val="baseline"/>
          <w:lang w:val="en-US"/>
        </w:rPr>
      </w:pPr>
      <w:r>
        <w:rPr>
          <w:rFonts w:ascii="Ebrima" w:hAnsi="Ebrima" w:eastAsia="Ebrima"/>
          <w:strike w:val="false"/>
          <w:color w:val="5C2D91"/>
          <w:spacing w:val="0"/>
          <w:w w:val="100"/>
          <w:sz w:val="15"/>
          <w:u w:val="single"/>
          <w:vertAlign w:val="baseline"/>
          <w:lang w:val="en-US"/>
        </w:rPr>
        <w:t xml:space="preserve">(3)(2)</w:t>
      </w:r>
      <w:r>
        <w:rPr>
          <w:rFonts w:ascii="Ebrima" w:hAnsi="Ebrima" w:eastAsia="Ebrima"/>
          <w:strike w:val="false"/>
          <w:color w:val="000000"/>
          <w:spacing w:val="0"/>
          <w:w w:val="100"/>
          <w:sz w:val="15"/>
          <w:vertAlign w:val="baseline"/>
          <w:lang w:val="en-US"/>
        </w:rPr>
        <w:t xml:space="preserve"> The Planning Commission may approve the vacation, alteration, or amendment by resolution, amended plat, or administrative order.</w:t>
      </w:r>
    </w:p>
    <w:p>
      <w:pPr>
        <w:pageBreakBefore w:val="false"/>
        <w:spacing w:before="3" w:after="0" w:line="205" w:lineRule="exact"/>
        <w:ind w:right="72" w:left="72" w:firstLine="0"/>
        <w:jc w:val="both"/>
        <w:textAlignment w:val="baseline"/>
        <w:rPr>
          <w:rFonts w:ascii="Ebrima" w:hAnsi="Ebrima" w:eastAsia="Ebrima"/>
          <w:strike w:val="false"/>
          <w:color w:val="5C2D91"/>
          <w:spacing w:val="0"/>
          <w:w w:val="100"/>
          <w:sz w:val="15"/>
          <w:u w:val="single"/>
          <w:vertAlign w:val="baseline"/>
          <w:lang w:val="en-US"/>
        </w:rPr>
      </w:pPr>
      <w:r>
        <w:rPr>
          <w:rFonts w:ascii="Ebrima" w:hAnsi="Ebrima" w:eastAsia="Ebrima"/>
          <w:strike w:val="false"/>
          <w:color w:val="5C2D91"/>
          <w:spacing w:val="0"/>
          <w:w w:val="100"/>
          <w:sz w:val="15"/>
          <w:u w:val="single"/>
          <w:vertAlign w:val="baseline"/>
          <w:lang w:val="en-US"/>
        </w:rPr>
        <w:t xml:space="preserve">(4)(3)</w:t>
      </w:r>
      <w:r>
        <w:rPr>
          <w:rFonts w:ascii="Ebrima" w:hAnsi="Ebrima" w:eastAsia="Ebrima"/>
          <w:strike w:val="false"/>
          <w:color w:val="000000"/>
          <w:spacing w:val="0"/>
          <w:w w:val="100"/>
          <w:sz w:val="15"/>
          <w:vertAlign w:val="baseline"/>
          <w:lang w:val="en-US"/>
        </w:rPr>
        <w:t xml:space="preserve"> The Planning Commission shall ensure that the vacation, alteration, or amendment is recorded with the County Recorder. (Ord. 2022-32, 11/29/22)</w:t>
      </w:r>
    </w:p>
    <w:p>
      <w:pPr>
        <w:pageBreakBefore w:val="false"/>
        <w:spacing w:before="189"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35-8-4. Exchange of title for portions of parcels by adjacent property owners of record.</w:t>
      </w:r>
    </w:p>
    <w:p>
      <w:pPr>
        <w:pageBreakBefore w:val="false"/>
        <w:spacing w:before="0" w:after="0" w:line="203"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The owners of record of adjacent parcels described by a metes and bounds description may exchange title to portions of those parcels if the Community Development Department approves the exchange of title per Subsection (2).</w:t>
      </w:r>
    </w:p>
    <w:p>
      <w:pPr>
        <w:pageBreakBefore w:val="false"/>
        <w:tabs>
          <w:tab w:val="left" w:leader="none" w:pos="576"/>
        </w:tabs>
        <w:spacing w:before="0" w:after="0" w:line="203"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Community Development Department shall approve an exchange of title under Subsection (1) if:</w:t>
      </w:r>
    </w:p>
    <w:p>
      <w:pPr>
        <w:pageBreakBefore w:val="false"/>
        <w:numPr>
          <w:ilvl w:val="0"/>
          <w:numId w:val="27"/>
        </w:numPr>
        <w:tabs>
          <w:tab w:val="clear" w:pos="360"/>
          <w:tab w:val="left" w:pos="1008"/>
        </w:tabs>
        <w:spacing w:before="0" w:after="0" w:line="204" w:lineRule="exact"/>
        <w:ind w:right="72"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 new dwelling lot or housing unit will result from the exchange of title; and</w:t>
      </w:r>
    </w:p>
    <w:p>
      <w:pPr>
        <w:pageBreakBefore w:val="false"/>
        <w:numPr>
          <w:ilvl w:val="0"/>
          <w:numId w:val="27"/>
        </w:numPr>
        <w:tabs>
          <w:tab w:val="clear" w:pos="360"/>
          <w:tab w:val="left" w:pos="1008"/>
        </w:tabs>
        <w:spacing w:before="0" w:after="0" w:line="202" w:lineRule="exact"/>
        <w:ind w:right="72"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exchange of title will not result in a violation of applicable zoning requirements.</w:t>
      </w:r>
    </w:p>
    <w:p>
      <w:pPr>
        <w:pageBreakBefore w:val="false"/>
        <w:tabs>
          <w:tab w:val="left" w:leader="none" w:pos="576"/>
        </w:tabs>
        <w:spacing w:before="4" w:after="0" w:line="204"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If an exchange of title is approved under Subsection (2), a notice of approval by the Community Development Department shall be recorded with the County Recorder by the owners with deeds which:</w:t>
      </w:r>
    </w:p>
    <w:p>
      <w:pPr>
        <w:pageBreakBefore w:val="false"/>
        <w:numPr>
          <w:ilvl w:val="0"/>
          <w:numId w:val="28"/>
        </w:numPr>
        <w:tabs>
          <w:tab w:val="clear" w:pos="360"/>
          <w:tab w:val="left" w:pos="1008"/>
        </w:tabs>
        <w:spacing w:before="5" w:after="0" w:line="204" w:lineRule="exact"/>
        <w:ind w:right="72"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are executed by each owner included in the exchange and by the Community Development Department;</w:t>
      </w:r>
    </w:p>
    <w:p>
      <w:pPr>
        <w:pageBreakBefore w:val="false"/>
        <w:numPr>
          <w:ilvl w:val="0"/>
          <w:numId w:val="28"/>
        </w:numPr>
        <w:tabs>
          <w:tab w:val="clear" w:pos="360"/>
          <w:tab w:val="left" w:pos="1008"/>
        </w:tabs>
        <w:spacing w:before="0" w:after="0" w:line="202" w:lineRule="exact"/>
        <w:ind w:right="72"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contain an acknowledgment for each party executing the notice; and</w:t>
      </w:r>
    </w:p>
    <w:p>
      <w:pPr>
        <w:pageBreakBefore w:val="false"/>
        <w:numPr>
          <w:ilvl w:val="0"/>
          <w:numId w:val="28"/>
        </w:numPr>
        <w:tabs>
          <w:tab w:val="clear" w:pos="360"/>
          <w:tab w:val="left" w:pos="1008"/>
        </w:tabs>
        <w:spacing w:before="2" w:after="0" w:line="204" w:lineRule="exact"/>
        <w:ind w:right="72"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recite the descriptions of both the original parcels and the parcels created by the exchange of title.</w:t>
      </w:r>
    </w:p>
    <w:p>
      <w:pPr>
        <w:pageBreakBefore w:val="false"/>
        <w:tabs>
          <w:tab w:val="left" w:leader="none" w:pos="576"/>
        </w:tabs>
        <w:spacing w:before="3" w:after="0" w:line="204" w:lineRule="exact"/>
        <w:ind w:right="288"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A notice of approval recorded under Subsection (3) does not act as a conveyance of title to real property. (Ord. 2022-32, 11/29/22)</w:t>
      </w:r>
    </w:p>
    <w:p>
      <w:pPr>
        <w:pageBreakBefore w:val="false"/>
        <w:tabs>
          <w:tab w:val="right" w:leader="none" w:pos="7128"/>
        </w:tabs>
        <w:spacing w:before="1217" w:after="0" w:line="223" w:lineRule="exact"/>
        <w:ind w:right="72"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35-31</w:t>
      </w:r>
    </w:p>
    <w:sectPr>
      <w:type w:val="nextPage"/>
      <w:pgSz w:w="12240" w:h="15840" w:orient="portrait"/>
      <w:pgMar w:bottom="1544" w:top="1940" w:right="4022" w:left="1018"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Ebrim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lowerRoman"/>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2">
    <w:lvl w:ilvl="0">
      <w:start w:val="1"/>
      <w:numFmt w:val="lowerRoman"/>
      <w:lvlText w:val="(%1)"/>
      <w:lvlJc w:val="left"/>
      <w:pPr>
        <w:tabs>
          <w:tab w:val="left" w:pos="432"/>
        </w:tabs>
        <w:ind w:left="720"/>
      </w:pPr>
      <w:rPr>
        <w:rFonts w:ascii="Ebrima" w:hAnsi="Ebrima" w:eastAsia="Ebrima"/>
        <w:strike w:val="false"/>
        <w:color w:val="000000"/>
        <w:spacing w:val="-1"/>
        <w:w w:val="100"/>
        <w:sz w:val="15"/>
        <w:vertAlign w:val="baseline"/>
        <w:lang w:val="en-US"/>
      </w:rPr>
    </w:lvl>
  </w:abstractNum>
  <w:abstractNum w:abstractNumId="3">
    <w:lvl w:ilvl="0">
      <w:start w:val="1"/>
      <w:numFmt w:val="lowerRoman"/>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4">
    <w:lvl w:ilvl="0">
      <w:start w:val="4"/>
      <w:numFmt w:val="lowerRoman"/>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5">
    <w:lvl w:ilvl="0">
      <w:start w:val="5"/>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6">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7">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8">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9">
    <w:lvl w:ilvl="0">
      <w:start w:val="1"/>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0">
    <w:lvl w:ilvl="0">
      <w:start w:val="3"/>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1">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2">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3">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4">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5">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6">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7">
    <w:lvl w:ilvl="0">
      <w:start w:val="1"/>
      <w:numFmt w:val="upp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8">
    <w:lvl w:ilvl="0">
      <w:start w:val="1"/>
      <w:numFmt w:val="upp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9">
    <w:lvl w:ilvl="0">
      <w:start w:val="3"/>
      <w:numFmt w:val="upp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0">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1">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2">
    <w:lvl w:ilvl="0">
      <w:start w:val="1"/>
      <w:numFmt w:val="lowerLetter"/>
      <w:lvlText w:val="(%1)"/>
      <w:lvlJc w:val="left"/>
      <w:pPr>
        <w:tabs>
          <w:tab w:val="left" w:pos="216"/>
        </w:tabs>
        <w:ind w:left="720"/>
      </w:pPr>
      <w:rPr>
        <w:rFonts w:ascii="Ebrima" w:hAnsi="Ebrima" w:eastAsia="Ebrima"/>
        <w:strike w:val="false"/>
        <w:color w:val="000000"/>
        <w:spacing w:val="0"/>
        <w:w w:val="100"/>
        <w:sz w:val="15"/>
        <w:vertAlign w:val="baseline"/>
        <w:lang w:val="en-US"/>
      </w:rPr>
    </w:lvl>
  </w:abstractNum>
  <w:abstractNum w:abstractNumId="23">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4">
    <w:lvl w:ilvl="0">
      <w:start w:val="2"/>
      <w:numFmt w:val="lowerRoman"/>
      <w:lvlText w:val="(%1)"/>
      <w:lvlJc w:val="left"/>
      <w:pPr>
        <w:tabs>
          <w:tab w:val="left" w:pos="432"/>
        </w:tabs>
        <w:ind w:left="720"/>
      </w:pPr>
      <w:rPr>
        <w:rFonts w:ascii="Ebrima" w:hAnsi="Ebrima" w:eastAsia="Ebrima"/>
        <w:strike w:val="false"/>
        <w:color w:val="000000"/>
        <w:spacing w:val="-1"/>
        <w:w w:val="100"/>
        <w:sz w:val="15"/>
        <w:vertAlign w:val="baseline"/>
        <w:lang w:val="en-US"/>
      </w:rPr>
    </w:lvl>
  </w:abstractNum>
  <w:abstractNum w:abstractNumId="25">
    <w:lvl w:ilvl="0">
      <w:start w:val="3"/>
      <w:numFmt w:val="decimal"/>
      <w:lvlText w:val="(%1)"/>
      <w:lvlJc w:val="left"/>
      <w:pPr>
        <w:tabs>
          <w:tab w:val="left" w:pos="504"/>
        </w:tabs>
        <w:ind w:left="720"/>
      </w:pPr>
      <w:rPr>
        <w:rFonts w:ascii="Ebrima" w:hAnsi="Ebrima" w:eastAsia="Ebrima"/>
        <w:strike w:val="false"/>
        <w:color w:val="000000"/>
        <w:spacing w:val="-1"/>
        <w:w w:val="100"/>
        <w:sz w:val="15"/>
        <w:vertAlign w:val="baseline"/>
        <w:lang w:val="en-US"/>
      </w:rPr>
    </w:lvl>
  </w:abstractNum>
  <w:abstractNum w:abstractNumId="26">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7">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