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officeDocument" Target="word/document.xml" Id="prId0" /><Relationship Type="http://schemas.openxmlformats.org/package/2006/relationships/metadata/core-properties" Target="docProps/core.xml" Id="prId1"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779" w:after="38" w:line="223" w:lineRule="exact"/>
        <w:ind w:right="0" w:left="0" w:firstLine="0"/>
        <w:jc w:val="left"/>
        <w:textAlignment w:val="baseline"/>
        <w:rPr>
          <w:rFonts w:ascii="Ebrima" w:hAnsi="Ebrima" w:eastAsia="Ebrima"/>
          <w:strike w:val="false"/>
          <w:color w:val="000000"/>
          <w:spacing w:val="-10"/>
          <w:w w:val="100"/>
          <w:sz w:val="17"/>
          <w:vertAlign w:val="baseline"/>
          <w:lang w:val="en-US"/>
        </w:rPr>
      </w:pPr>
      <w:r>
        <w:pict>
          <v:shapetype id="_x0000_t1" coordsize="21600,21600" o:spt="202" path="m,l,21600r21600,l21600,xe">
            <v:stroke joinstyle="miter"/>
            <v:path gradientshapeok="t" o:connecttype="rect"/>
          </v:shapetype>
          <v:shape id="_x0000_s0" type="#_x0000_t1" fillcolor="#F1F1F1" stroked="f" style="position:absolute;width:193.9pt;height:596.6pt;z-index:-1000;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10"/>
          <w:w w:val="100"/>
          <w:sz w:val="17"/>
          <w:vertAlign w:val="baseline"/>
          <w:lang w:val="en-US"/>
        </w:rPr>
        <w:t xml:space="preserve">SUBDIVISIONS</w:t>
      </w:r>
    </w:p>
    <w:p>
      <w:pPr>
        <w:spacing w:before="779" w:after="38" w:line="223" w:lineRule="exact"/>
        <w:sectPr>
          <w:type w:val="nextPage"/>
          <w:pgSz w:w="12240" w:h="15840" w:orient="portrait"/>
          <w:pgMar w:bottom="1544" w:top="1940" w:right="7075" w:left="4085" w:header="720" w:footer="720"/>
          <w:titlePg w:val="false"/>
          <w:textDirection w:val="lrTb"/>
        </w:sectPr>
      </w:pPr>
    </w:p>
    <w:p>
      <w:pPr>
        <w:pageBreakBefore w:val="false"/>
        <w:spacing w:before="4" w:after="9720" w:line="196" w:lineRule="exact"/>
        <w:ind w:right="0" w:left="0" w:firstLine="0"/>
        <w:jc w:val="righ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Engineer;</w:t>
      </w:r>
    </w:p>
    <w:p>
      <w:pPr>
        <w:spacing w:before="4" w:after="9720" w:line="196" w:lineRule="exact"/>
        <w:sectPr>
          <w:type w:val="continuous"/>
          <w:pgSz w:w="12240" w:h="15840" w:orient="portrait"/>
          <w:pgMar w:bottom="1544" w:top="1940" w:right="10117" w:left="1403" w:header="720" w:footer="720"/>
          <w:titlePg w:val="false"/>
          <w:textDirection w:val="lrTb"/>
        </w:sectPr>
      </w:pPr>
    </w:p>
    <w:p>
      <w:pPr>
        <w:pageBreakBefore w:val="false"/>
        <w:tabs>
          <w:tab w:val="right" w:leader="none" w:pos="7056"/>
        </w:tabs>
        <w:spacing w:before="8" w:after="0" w:line="223" w:lineRule="exact"/>
        <w:ind w:right="0" w:left="0"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35-10</w:t>
      </w:r>
    </w:p>
    <w:p>
      <w:pPr>
        <w:sectPr>
          <w:type w:val="continuous"/>
          <w:pgSz w:w="12240" w:h="15840" w:orient="portrait"/>
          <w:pgMar w:bottom="1544" w:top="1940" w:right="3955" w:left="1085"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2" coordsize="21600,21600" o:spt="202" path="m,l,21600r21600,l21600,xe">
            <v:stroke joinstyle="miter"/>
            <v:path gradientshapeok="t" o:connecttype="rect"/>
          </v:shapetype>
          <v:shape id="_x0000_s1" type="#_x0000_t2" filled="f" stroked="f" style="position:absolute;width:200.9pt;height:596.6pt;z-index:-999;margin-left:411.1pt;margin-top:97.7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0"/>
                    <w:jc w:val="left"/>
                    <w:textAlignment w:val="baseline"/>
                  </w:pPr>
                  <w:r>
                    <w:drawing>
                      <wp:inline>
                        <wp:extent cx="2551430" cy="7576820"/>
                        <wp:docPr id="1" name="Picture"/>
                        <a:graphic>
                          <a:graphicData uri="http://schemas.openxmlformats.org/drawingml/2006/picture">
                            <pic:pic>
                              <pic:nvPicPr>
                                <pic:cNvPr id="2" name="test1"/>
                                <pic:cNvPicPr preferRelativeResize="false"/>
                              </pic:nvPicPr>
                              <pic:blipFill>
                                <a:blip r:embed="drId3"/>
                                <a:stretch>
                                  <a:fillRect/>
                                </a:stretch>
                              </pic:blipFill>
                              <pic:spPr>
                                <a:xfrm>
                                  <a:off x="0" y="0"/>
                                  <a:ext cx="2551430" cy="7576820"/>
                                </a:xfrm>
                                <a:prstGeom prst="rect">
                                  <a:avLst/>
                                </a:prstGeom>
                              </pic:spPr>
                            </pic:pic>
                          </a:graphicData>
                        </a:graphic>
                      </wp:inline>
                    </w:drawing>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42.8pt;height:9.3pt;z-index:-998;margin-left:434pt;margin-top:444.8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 w:after="0" w:line="174" w:lineRule="exact"/>
                    <w:ind w:right="0" w:left="0" w:firstLine="0"/>
                    <w:jc w:val="left"/>
                    <w:textAlignment w:val="baseline"/>
                    <w:rPr>
                      <w:rFonts w:ascii="Segoe UI" w:hAnsi="Segoe UI" w:eastAsia="Segoe UI"/>
                      <w:b w:val="true"/>
                      <w:strike w:val="false"/>
                      <w:color w:val="000000"/>
                      <w:spacing w:val="4"/>
                      <w:w w:val="100"/>
                      <w:sz w:val="14"/>
                      <w:vertAlign w:val="baseline"/>
                      <w:lang w:val="en-US"/>
                    </w:rPr>
                  </w:pPr>
                  <w:r>
                    <w:rPr>
                      <w:rFonts w:ascii="Segoe UI" w:hAnsi="Segoe UI" w:eastAsia="Segoe UI"/>
                      <w:b w:val="true"/>
                      <w:strike w:val="false"/>
                      <w:color w:val="000000"/>
                      <w:spacing w:val="4"/>
                      <w:w w:val="100"/>
                      <w:sz w:val="14"/>
                      <w:vertAlign w:val="baseline"/>
                      <w:lang w:val="en-US"/>
                    </w:rPr>
                    <w:t xml:space="preserve">Formatted</w:t>
                  </w: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2"/>
        </w:numPr>
        <w:tabs>
          <w:tab w:val="clear" w:pos="360"/>
          <w:tab w:val="left" w:pos="1008"/>
        </w:tabs>
        <w:spacing w:before="401" w:after="0" w:line="204"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 agreement for subdivision improvements;</w:t>
      </w:r>
    </w:p>
    <w:p>
      <w:pPr>
        <w:pageBreakBefore w:val="false"/>
        <w:numPr>
          <w:ilvl w:val="0"/>
          <w:numId w:val="2"/>
        </w:numPr>
        <w:tabs>
          <w:tab w:val="clear" w:pos="360"/>
          <w:tab w:val="left" w:pos="1008"/>
        </w:tabs>
        <w:spacing w:before="4" w:after="0" w:line="204" w:lineRule="exact"/>
        <w:ind w:right="72"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pdf and AutoCAD file of the final plat and infrastructure design and engineering drawings for distribution to affected entities;</w:t>
      </w:r>
    </w:p>
    <w:p>
      <w:pPr>
        <w:pageBreakBefore w:val="false"/>
        <w:numPr>
          <w:ilvl w:val="0"/>
          <w:numId w:val="2"/>
        </w:numPr>
        <w:tabs>
          <w:tab w:val="clear" w:pos="360"/>
          <w:tab w:val="left" w:pos="1008"/>
        </w:tabs>
        <w:spacing w:before="3"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type of water system proposed, historical water use, the estimated number of gallons per day of water system requirements, and a description of water storage requirements for daily fluctuations, irrigation, and fire suppression;</w:t>
      </w:r>
    </w:p>
    <w:p>
      <w:pPr>
        <w:pageBreakBefore w:val="false"/>
        <w:numPr>
          <w:ilvl w:val="0"/>
          <w:numId w:val="2"/>
        </w:numPr>
        <w:tabs>
          <w:tab w:val="clear" w:pos="360"/>
          <w:tab w:val="left" w:pos="1008"/>
        </w:tabs>
        <w:spacing w:before="0" w:after="0" w:line="202"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proof of ownership demonstrated by a title report completed within the previous six months;</w:t>
      </w:r>
    </w:p>
    <w:p>
      <w:pPr>
        <w:pageBreakBefore w:val="false"/>
        <w:numPr>
          <w:ilvl w:val="0"/>
          <w:numId w:val="2"/>
        </w:numPr>
        <w:tabs>
          <w:tab w:val="clear" w:pos="360"/>
          <w:tab w:val="left" w:pos="1008"/>
        </w:tabs>
        <w:spacing w:before="2"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geologic technical maps and investigation reports regarding area suitability;</w:t>
      </w:r>
    </w:p>
    <w:p>
      <w:pPr>
        <w:pageBreakBefore w:val="false"/>
        <w:numPr>
          <w:ilvl w:val="0"/>
          <w:numId w:val="2"/>
        </w:numPr>
        <w:tabs>
          <w:tab w:val="clear" w:pos="360"/>
          <w:tab w:val="left" w:pos="1008"/>
        </w:tabs>
        <w:spacing w:before="0" w:after="0" w:line="202"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completed County Health Department Subdivision Feasibility Study;</w:t>
      </w:r>
    </w:p>
    <w:p>
      <w:pPr>
        <w:pageBreakBefore w:val="false"/>
        <w:numPr>
          <w:ilvl w:val="0"/>
          <w:numId w:val="2"/>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any unpaid fees owed to Tooele County for the development of land, code enforcement, or building permits;</w:t>
      </w:r>
    </w:p>
    <w:p>
      <w:pPr>
        <w:pageBreakBefore w:val="false"/>
        <w:numPr>
          <w:ilvl w:val="0"/>
          <w:numId w:val="2"/>
        </w:numPr>
        <w:tabs>
          <w:tab w:val="clear" w:pos="360"/>
          <w:tab w:val="left" w:pos="1008"/>
        </w:tabs>
        <w:spacing w:before="2"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pedestrian circulation plan;</w:t>
      </w:r>
    </w:p>
    <w:p>
      <w:pPr>
        <w:pageBreakBefore w:val="false"/>
        <w:numPr>
          <w:ilvl w:val="0"/>
          <w:numId w:val="2"/>
        </w:numPr>
        <w:tabs>
          <w:tab w:val="clear" w:pos="360"/>
          <w:tab w:val="left" w:pos="1008"/>
        </w:tabs>
        <w:spacing w:before="0" w:after="0" w:line="197"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road connectivity plan; and</w:t>
      </w:r>
    </w:p>
    <w:p>
      <w:pPr>
        <w:pageBreakBefore w:val="false"/>
        <w:numPr>
          <w:ilvl w:val="0"/>
          <w:numId w:val="2"/>
        </w:numPr>
        <w:tabs>
          <w:tab w:val="clear" w:pos="360"/>
          <w:tab w:val="left" w:pos="1008"/>
        </w:tabs>
        <w:spacing w:before="2"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list required signature blocks.</w:t>
      </w:r>
    </w:p>
    <w:p>
      <w:pPr>
        <w:pageBreakBefore w:val="false"/>
        <w:numPr>
          <w:ilvl w:val="0"/>
          <w:numId w:val="3"/>
        </w:numPr>
        <w:tabs>
          <w:tab w:val="clear" w:pos="288"/>
          <w:tab w:val="left" w:pos="504"/>
        </w:tabs>
        <w:spacing w:before="8" w:after="0" w:line="205" w:lineRule="exact"/>
        <w:ind w:right="72" w:left="72" w:firstLine="144"/>
        <w:jc w:val="both"/>
        <w:textAlignment w:val="baseline"/>
        <w:rPr>
          <w:rFonts w:ascii="Ebrima" w:hAnsi="Ebrima" w:eastAsia="Ebrima"/>
          <w:strike w:val="false"/>
          <w:color w:val="000000"/>
          <w:spacing w:val="0"/>
          <w:w w:val="100"/>
          <w:sz w:val="15"/>
          <w:vertAlign w:val="baseline"/>
          <w:lang w:val="en-US"/>
        </w:rPr>
      </w:pPr>
      <w:r>
        <w:pict>
          <v:line strokeweight="0.7pt" strokecolor="#000000" from="25.45pt,310.3pt" to="25.45pt,351.65pt" style="position:absolute;mso-position-horizontal-relative:page;mso-position-vertical-relative:page;">
            <v:stroke dashstyle="solid"/>
          </v:line>
        </w:pict>
      </w:r>
      <w:r>
        <w:rPr>
          <w:rFonts w:ascii="Ebrima" w:hAnsi="Ebrima" w:eastAsia="Ebrima"/>
          <w:strike w:val="false"/>
          <w:color w:val="000000"/>
          <w:spacing w:val="0"/>
          <w:w w:val="100"/>
          <w:sz w:val="15"/>
          <w:vertAlign w:val="baseline"/>
          <w:lang w:val="en-US"/>
        </w:rPr>
        <w:t xml:space="preserve">All signature blocks except for the Planning Commission</w:t>
      </w:r>
      <w:r>
        <w:rPr>
          <w:rFonts w:ascii="Ebrima" w:hAnsi="Ebrima" w:eastAsia="Ebrima"/>
          <w:strike w:val="false"/>
          <w:color w:val="D13438"/>
          <w:spacing w:val="0"/>
          <w:w w:val="100"/>
          <w:sz w:val="15"/>
          <w:u w:val="single"/>
          <w:vertAlign w:val="baseline"/>
          <w:lang w:val="en-US"/>
        </w:rPr>
        <w:t xml:space="preserve"> and Community Development</w:t>
      </w:r>
      <w:r>
        <w:rPr>
          <w:rFonts w:ascii="Ebrima" w:hAnsi="Ebrima" w:eastAsia="Ebrima"/>
          <w:strike w:val="false"/>
          <w:color w:val="000000"/>
          <w:spacing w:val="0"/>
          <w:w w:val="100"/>
          <w:sz w:val="15"/>
          <w:vertAlign w:val="baseline"/>
          <w:lang w:val="en-US"/>
        </w:rPr>
        <w:t xml:space="preserve"> shall be signed by the appropriate authority before the plat is</w:t>
      </w:r>
      <w:r>
        <w:rPr>
          <w:rFonts w:ascii="Ebrima" w:hAnsi="Ebrima" w:eastAsia="Ebrima"/>
          <w:strike w:val="false"/>
          <w:color w:val="D13438"/>
          <w:spacing w:val="0"/>
          <w:w w:val="100"/>
          <w:sz w:val="15"/>
          <w:u w:val="single"/>
          <w:vertAlign w:val="baseline"/>
          <w:lang w:val="en-US"/>
        </w:rPr>
        <w:t xml:space="preserve"> taken to the public meetingsubmitted to the Community Development Department.</w:t>
      </w:r>
    </w:p>
    <w:p>
      <w:pPr>
        <w:pageBreakBefore w:val="false"/>
        <w:numPr>
          <w:ilvl w:val="0"/>
          <w:numId w:val="3"/>
        </w:numPr>
        <w:tabs>
          <w:tab w:val="clear" w:pos="288"/>
          <w:tab w:val="left" w:pos="504"/>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 approved final plat shall be valid for no more than</w:t>
      </w:r>
      <w:r>
        <w:rPr>
          <w:rFonts w:ascii="Ebrima" w:hAnsi="Ebrima" w:eastAsia="Ebrima"/>
          <w:strike w:val="false"/>
          <w:color w:val="D13438"/>
          <w:spacing w:val="0"/>
          <w:w w:val="100"/>
          <w:sz w:val="15"/>
          <w:u w:val="single"/>
          <w:vertAlign w:val="baseline"/>
          <w:lang w:val="en-US"/>
        </w:rPr>
        <w:t xml:space="preserve"> two fourteen (14) yearsmonths.</w:t>
      </w:r>
      <w:r>
        <w:rPr>
          <w:rFonts w:ascii="Ebrima" w:hAnsi="Ebrima" w:eastAsia="Ebrima"/>
          <w:strike w:val="false"/>
          <w:color w:val="000000"/>
          <w:spacing w:val="0"/>
          <w:w w:val="100"/>
          <w:sz w:val="15"/>
          <w:vertAlign w:val="baseline"/>
          <w:lang w:val="en-US"/>
        </w:rPr>
        <w:t xml:space="preserve"> The applicant or authorized representative may obtain no more than two six-month extensions by petitioning the Planning Commission. The Planning Commission may not grant any extension without substantial progress having been demonstrated by the applicant or authorized representative.</w:t>
      </w:r>
    </w:p>
    <w:p>
      <w:pPr>
        <w:pageBreakBefore w:val="false"/>
        <w:numPr>
          <w:ilvl w:val="0"/>
          <w:numId w:val="3"/>
        </w:numPr>
        <w:tabs>
          <w:tab w:val="clear" w:pos="288"/>
          <w:tab w:val="left" w:pos="504"/>
        </w:tabs>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Community Development Department shall sign the final plat only after it has been approved by all reviewing agencies. The improvement agreements and bonds shall be forwarded to the County Manager for approval and acceptance. The plat shall be recorded within 14 months of approval, or it shall be void. (Ord. 2023-20, 11/7/23; Ord. 2022-32, 11/29/22)</w:t>
      </w:r>
    </w:p>
    <w:p>
      <w:pPr>
        <w:pageBreakBefore w:val="false"/>
        <w:numPr>
          <w:ilvl w:val="0"/>
          <w:numId w:val="3"/>
        </w:numPr>
        <w:tabs>
          <w:tab w:val="clear" w:pos="288"/>
          <w:tab w:val="left" w:pos="504"/>
        </w:tabs>
        <w:spacing w:before="2" w:after="0" w:line="205" w:lineRule="exact"/>
        <w:ind w:right="0" w:left="72" w:firstLine="144"/>
        <w:jc w:val="both"/>
        <w:textAlignment w:val="baseline"/>
        <w:rPr>
          <w:rFonts w:ascii="Ebrima" w:hAnsi="Ebrima" w:eastAsia="Ebrima"/>
          <w:strike w:val="false"/>
          <w:color w:val="D13438"/>
          <w:spacing w:val="2"/>
          <w:w w:val="100"/>
          <w:sz w:val="15"/>
          <w:u w:val="single"/>
          <w:vertAlign w:val="baseline"/>
          <w:lang w:val="en-US"/>
        </w:rPr>
      </w:pPr>
      <w:r>
        <w:pict>
          <v:line strokeweight="0.7pt" strokecolor="#000000" from="25.45pt,412.8pt" to="25.45pt,464.2pt" style="position:absolute;mso-position-horizontal-relative:page;mso-position-vertical-relative:page;">
            <v:stroke dashstyle="solid"/>
          </v:line>
        </w:pict>
      </w:r>
      <w:r>
        <w:rPr>
          <w:rFonts w:ascii="Ebrima" w:hAnsi="Ebrima" w:eastAsia="Ebrima"/>
          <w:strike w:val="false"/>
          <w:color w:val="D13438"/>
          <w:spacing w:val="2"/>
          <w:w w:val="100"/>
          <w:sz w:val="15"/>
          <w:u w:val="single"/>
          <w:vertAlign w:val="baseline"/>
          <w:lang w:val="en-US"/>
        </w:rPr>
        <w:t xml:space="preserve">After 30 days of approving final plat the County shall submit to the Geospatial Resource Center </w:t>
      </w:r>
    </w:p>
    <w:p>
      <w:pPr>
        <w:pageBreakBefore w:val="false"/>
        <w:tabs>
          <w:tab w:val="left" w:leader="none" w:pos="1008"/>
        </w:tabs>
        <w:spacing w:before="1" w:after="0" w:line="205" w:lineRule="exact"/>
        <w:ind w:right="0" w:left="504" w:firstLine="0"/>
        <w:jc w:val="left"/>
        <w:textAlignment w:val="baseline"/>
        <w:rPr>
          <w:rFonts w:ascii="Ebrima" w:hAnsi="Ebrima" w:eastAsia="Ebrima"/>
          <w:strike w:val="false"/>
          <w:color w:val="D13438"/>
          <w:spacing w:val="-1"/>
          <w:w w:val="100"/>
          <w:sz w:val="15"/>
          <w:u w:val="single"/>
          <w:vertAlign w:val="baseline"/>
          <w:lang w:val="en-US"/>
        </w:rPr>
      </w:pPr>
      <w:r>
        <w:rPr>
          <w:rFonts w:ascii="Ebrima" w:hAnsi="Ebrima" w:eastAsia="Ebrima"/>
          <w:strike w:val="false"/>
          <w:color w:val="D13438"/>
          <w:spacing w:val="-1"/>
          <w:w w:val="100"/>
          <w:sz w:val="15"/>
          <w:u w:val="single"/>
          <w:vertAlign w:val="baseline"/>
          <w:lang w:val="en-US"/>
        </w:rPr>
        <w:t xml:space="preserve">(a)	</w:t>
      </w:r>
      <w:r>
        <w:rPr>
          <w:rFonts w:ascii="Ebrima" w:hAnsi="Ebrima" w:eastAsia="Ebrima"/>
          <w:strike w:val="false"/>
          <w:color w:val="D13438"/>
          <w:spacing w:val="-1"/>
          <w:w w:val="100"/>
          <w:sz w:val="15"/>
          <w:u w:val="single"/>
          <w:vertAlign w:val="baseline"/>
          <w:lang w:val="en-US"/>
        </w:rPr>
        <w:t xml:space="preserve">An electronic copy of the approved plat or;</w:t>
      </w:r>
      <w:r>
        <w:rPr>
          <w:rFonts w:ascii="Ebrima" w:hAnsi="Ebrima" w:eastAsia="Ebrima"/>
          <w:strike w:val="false"/>
          <w:color w:val="5C2D91"/>
          <w:spacing w:val="-1"/>
          <w:w w:val="100"/>
          <w:sz w:val="15"/>
          <w:u w:val="single"/>
          <w:vertAlign w:val="baseline"/>
          <w:lang w:val="en-US"/>
        </w:rPr>
        <w:t xml:space="preserve"> </w:t>
      </w:r>
    </w:p>
    <w:p>
      <w:pPr>
        <w:pageBreakBefore w:val="false"/>
        <w:spacing w:before="0" w:after="0" w:line="202" w:lineRule="exact"/>
        <w:ind w:right="0" w:left="504" w:firstLine="0"/>
        <w:jc w:val="left"/>
        <w:textAlignment w:val="baseline"/>
        <w:rPr>
          <w:rFonts w:ascii="Ebrima" w:hAnsi="Ebrima" w:eastAsia="Ebrima"/>
          <w:strike w:val="false"/>
          <w:color w:val="5C2D91"/>
          <w:spacing w:val="0"/>
          <w:w w:val="100"/>
          <w:sz w:val="15"/>
          <w:u w:val="single"/>
          <w:vertAlign w:val="baseline"/>
          <w:lang w:val="en-US"/>
        </w:rPr>
      </w:pPr>
      <w:r>
        <w:rPr>
          <w:rFonts w:ascii="Ebrima" w:hAnsi="Ebrima" w:eastAsia="Ebrima"/>
          <w:strike w:val="false"/>
          <w:color w:val="5C2D91"/>
          <w:spacing w:val="0"/>
          <w:w w:val="100"/>
          <w:sz w:val="15"/>
          <w:u w:val="single"/>
          <w:vertAlign w:val="baseline"/>
          <w:lang w:val="en-US"/>
        </w:rPr>
        <w:t xml:space="preserve">(6)(b)</w:t>
      </w:r>
      <w:r>
        <w:rPr>
          <w:rFonts w:ascii="Ebrima" w:hAnsi="Ebrima" w:eastAsia="Ebrima"/>
          <w:strike w:val="false"/>
          <w:color w:val="D13438"/>
          <w:spacing w:val="0"/>
          <w:w w:val="100"/>
          <w:sz w:val="15"/>
          <w:u w:val="single"/>
          <w:vertAlign w:val="baseline"/>
          <w:lang w:val="en-US"/>
        </w:rPr>
        <w:t xml:space="preserve">  preliminary geospatial data that depict any new streets and situs addresses purposed for </w:t>
      </w:r>
    </w:p>
    <w:p>
      <w:pPr>
        <w:pageBreakBefore w:val="false"/>
        <w:spacing w:before="1" w:after="0" w:line="205" w:lineRule="exact"/>
        <w:ind w:right="0" w:left="1008" w:firstLine="0"/>
        <w:jc w:val="left"/>
        <w:textAlignment w:val="baseline"/>
        <w:rPr>
          <w:rFonts w:ascii="Ebrima" w:hAnsi="Ebrima" w:eastAsia="Ebrima"/>
          <w:strike w:val="false"/>
          <w:color w:val="D13438"/>
          <w:spacing w:val="0"/>
          <w:w w:val="100"/>
          <w:sz w:val="15"/>
          <w:u w:val="single"/>
          <w:vertAlign w:val="baseline"/>
          <w:lang w:val="en-US"/>
        </w:rPr>
      </w:pPr>
      <w:r>
        <w:rPr>
          <w:rFonts w:ascii="Ebrima" w:hAnsi="Ebrima" w:eastAsia="Ebrima"/>
          <w:strike w:val="false"/>
          <w:color w:val="D13438"/>
          <w:spacing w:val="0"/>
          <w:w w:val="100"/>
          <w:sz w:val="15"/>
          <w:u w:val="single"/>
          <w:vertAlign w:val="baseline"/>
          <w:lang w:val="en-US"/>
        </w:rPr>
        <w:t xml:space="preserve">construction within the bounds of the approved plat.</w:t>
      </w:r>
      <w:r>
        <w:rPr>
          <w:rFonts w:ascii="Ebrima" w:hAnsi="Ebrima" w:eastAsia="Ebrima"/>
          <w:strike w:val="false"/>
          <w:color w:val="000000"/>
          <w:spacing w:val="0"/>
          <w:w w:val="100"/>
          <w:sz w:val="15"/>
          <w:u w:val="single"/>
          <w:vertAlign w:val="baseline"/>
          <w:lang w:val="en-US"/>
        </w:rPr>
        <w:t xml:space="preserve"> </w:t>
      </w:r>
    </w:p>
    <w:p>
      <w:pPr>
        <w:pageBreakBefore w:val="false"/>
        <w:spacing w:before="194" w:after="0" w:line="205"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35-4-7. Utility and agency response.</w:t>
      </w:r>
    </w:p>
    <w:p>
      <w:pPr>
        <w:pageBreakBefore w:val="false"/>
        <w:spacing w:before="0" w:after="0" w:line="202"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Failure of any affected entity to respond to a written requested approval within 14 days may be deemed</w:t>
      </w:r>
    </w:p>
    <w:p>
      <w:pPr>
        <w:pageBreakBefore w:val="false"/>
        <w:spacing w:before="0" w:after="0" w:line="202" w:lineRule="exact"/>
        <w:ind w:right="0" w:left="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approval by such entity. (Ord. 2023-20, 11/7/23; Ord. 2022-32, 11/29/22)</w:t>
      </w:r>
    </w:p>
    <w:p>
      <w:pPr>
        <w:pageBreakBefore w:val="false"/>
        <w:tabs>
          <w:tab w:val="right" w:leader="none" w:pos="7056"/>
        </w:tabs>
        <w:spacing w:before="2830"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35-11</w:t>
      </w:r>
    </w:p>
    <w:p>
      <w:pPr>
        <w:sectPr>
          <w:type w:val="nextPage"/>
          <w:pgSz w:w="12240" w:h="15840" w:orient="portrait"/>
          <w:pgMar w:bottom="1544" w:top="1940" w:right="4029" w:left="1011"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4" coordsize="21600,21600" o:spt="202" path="m,l,21600r21600,l21600,xe">
            <v:stroke joinstyle="miter"/>
            <v:path gradientshapeok="t" o:connecttype="rect"/>
          </v:shapetype>
          <v:shape id="_x0000_s3" type="#_x0000_t4" fillcolor="#F1F1F1" stroked="f" style="position:absolute;width:193.9pt;height:596.6pt;z-index:-997;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412" w:after="0" w:line="192" w:lineRule="exact"/>
        <w:ind w:right="0" w:left="72" w:firstLine="0"/>
        <w:jc w:val="center"/>
        <w:textAlignment w:val="baseline"/>
        <w:rPr>
          <w:rFonts w:ascii="Ebrima" w:hAnsi="Ebrima" w:eastAsia="Ebrima"/>
          <w:b w:val="true"/>
          <w:strike w:val="false"/>
          <w:color w:val="000000"/>
          <w:spacing w:val="-7"/>
          <w:w w:val="100"/>
          <w:sz w:val="16"/>
          <w:vertAlign w:val="baseline"/>
          <w:lang w:val="en-US"/>
        </w:rPr>
      </w:pPr>
      <w:r>
        <w:rPr>
          <w:rFonts w:ascii="Ebrima" w:hAnsi="Ebrima" w:eastAsia="Ebrima"/>
          <w:b w:val="true"/>
          <w:strike w:val="false"/>
          <w:color w:val="000000"/>
          <w:spacing w:val="-7"/>
          <w:w w:val="100"/>
          <w:sz w:val="16"/>
          <w:vertAlign w:val="baseline"/>
          <w:lang w:val="en-US"/>
        </w:rPr>
        <w:t xml:space="preserve">PART 35-5</w:t>
      </w:r>
    </w:p>
    <w:p>
      <w:pPr>
        <w:pageBreakBefore w:val="false"/>
        <w:spacing w:before="0" w:after="0" w:line="192" w:lineRule="exact"/>
        <w:ind w:right="0" w:left="72" w:firstLine="0"/>
        <w:jc w:val="center"/>
        <w:textAlignment w:val="baseline"/>
        <w:rPr>
          <w:rFonts w:ascii="Ebrima" w:hAnsi="Ebrima" w:eastAsia="Ebrima"/>
          <w:b w:val="true"/>
          <w:strike w:val="false"/>
          <w:color w:val="000000"/>
          <w:spacing w:val="-5"/>
          <w:w w:val="100"/>
          <w:sz w:val="16"/>
          <w:vertAlign w:val="baseline"/>
          <w:lang w:val="en-US"/>
        </w:rPr>
      </w:pPr>
      <w:r>
        <w:rPr>
          <w:rFonts w:ascii="Ebrima" w:hAnsi="Ebrima" w:eastAsia="Ebrima"/>
          <w:b w:val="true"/>
          <w:strike w:val="false"/>
          <w:color w:val="000000"/>
          <w:spacing w:val="-5"/>
          <w:w w:val="100"/>
          <w:sz w:val="16"/>
          <w:vertAlign w:val="baseline"/>
          <w:lang w:val="en-US"/>
        </w:rPr>
        <w:t xml:space="preserve">CONSERVATION SUBDIVISIONS</w:t>
      </w:r>
    </w:p>
    <w:p>
      <w:pPr>
        <w:pageBreakBefore w:val="false"/>
        <w:spacing w:before="192" w:after="0" w:line="192" w:lineRule="exact"/>
        <w:ind w:right="0" w:left="72" w:firstLine="0"/>
        <w:jc w:val="left"/>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Section</w:t>
      </w:r>
    </w:p>
    <w:p>
      <w:pPr>
        <w:pageBreakBefore w:val="false"/>
        <w:tabs>
          <w:tab w:val="left" w:leader="none" w:pos="792"/>
        </w:tabs>
        <w:spacing w:before="0" w:after="0" w:line="187"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35-5-1.	</w:t>
      </w:r>
      <w:r>
        <w:rPr>
          <w:rFonts w:ascii="Ebrima" w:hAnsi="Ebrima" w:eastAsia="Ebrima"/>
          <w:b w:val="true"/>
          <w:strike w:val="false"/>
          <w:color w:val="000000"/>
          <w:spacing w:val="-1"/>
          <w:w w:val="100"/>
          <w:sz w:val="16"/>
          <w:vertAlign w:val="baseline"/>
          <w:lang w:val="en-US"/>
        </w:rPr>
        <w:t xml:space="preserve">Purpose.</w:t>
      </w:r>
    </w:p>
    <w:p>
      <w:pPr>
        <w:pageBreakBefore w:val="false"/>
        <w:tabs>
          <w:tab w:val="left" w:leader="none" w:pos="792"/>
        </w:tabs>
        <w:spacing w:before="5"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35-5-2.	</w:t>
      </w:r>
      <w:r>
        <w:rPr>
          <w:rFonts w:ascii="Ebrima" w:hAnsi="Ebrima" w:eastAsia="Ebrima"/>
          <w:b w:val="true"/>
          <w:strike w:val="false"/>
          <w:color w:val="000000"/>
          <w:spacing w:val="-3"/>
          <w:w w:val="100"/>
          <w:sz w:val="16"/>
          <w:vertAlign w:val="baseline"/>
          <w:lang w:val="en-US"/>
        </w:rPr>
        <w:t xml:space="preserve">Applicability of regulations.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35-5-3. Application requirements.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35-5-4. Open space requirements.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35-5-5. Open space network configuration.</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35-5-6. Open space and conservation areas.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35-5-7. Primary conservation areas.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35-5-8. Value of primary conservation areas.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35-5-9. Secondary conservation areas.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35-5-10. Ownership and management of open space.</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35-5-11. Prohibited uses of open space.</w:t>
      </w:r>
    </w:p>
    <w:p>
      <w:pPr>
        <w:pageBreakBefore w:val="false"/>
        <w:spacing w:before="5"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35-5-12. Requirements for conservation easements.</w:t>
      </w:r>
    </w:p>
    <w:p>
      <w:pPr>
        <w:pageBreakBefore w:val="false"/>
        <w:spacing w:before="192" w:after="0" w:line="192" w:lineRule="exact"/>
        <w:ind w:right="0" w:left="72" w:firstLine="0"/>
        <w:jc w:val="both"/>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35-5-1. Purpose.</w:t>
      </w:r>
    </w:p>
    <w:p>
      <w:pPr>
        <w:pageBreakBefore w:val="false"/>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It is the purpose and intent of conservation subdivisions to preserve open space within residential developments; provide flexibility to allow for creativity in developments; minimize the environmental and visual impacts of new development on critical natural resources and historically and culturally significant sites and structures; provide an interconnected network of permanent open space; encourage a more efficient form of development that consumes less open land and conforms to existing topography and natural features; reduce erosion and sedimentation by minimizing land disturbance and removal of vegetation; enhance the community character; permit clustering of houses and structures which will reduce the amount of infrastructure, including paved surfaces and utility lines; encourage street design that controls traffic speeds and creates street inter-connectivity; and promote construction of convenient and accessible trails both within a subdivision and connected to neighboring communities, businesses, and facilities to reduce reliance on automobiles. (Ord. 2022-32, 11/29/22)</w:t>
      </w:r>
    </w:p>
    <w:p>
      <w:pPr>
        <w:pageBreakBefore w:val="false"/>
        <w:spacing w:before="213" w:after="0" w:line="192"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35-5-2. Applicability of regulations.</w:t>
      </w:r>
    </w:p>
    <w:p>
      <w:pPr>
        <w:pageBreakBefore w:val="false"/>
        <w:numPr>
          <w:ilvl w:val="0"/>
          <w:numId w:val="4"/>
        </w:numPr>
        <w:tabs>
          <w:tab w:val="clear" w:pos="432"/>
          <w:tab w:val="left" w:pos="648"/>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conservation subdivision option is available for single-family detached residential developments in the following districts: residential, multi-family, rural residential, agricultural, and multiple use. Compliance with all applicable county ordinances, regulations, or resolutions is required; however, when in conflict, the provisions of this chapter shall prevail.</w:t>
      </w:r>
    </w:p>
    <w:p>
      <w:pPr>
        <w:pageBreakBefore w:val="false"/>
        <w:numPr>
          <w:ilvl w:val="0"/>
          <w:numId w:val="4"/>
        </w:numPr>
        <w:tabs>
          <w:tab w:val="clear" w:pos="432"/>
          <w:tab w:val="left" w:pos="648"/>
        </w:tabs>
        <w:spacing w:before="7"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maximum number of lots in the conservation subdivision shall be determined by dividing the area of the tract of land by the minimum lot size specified in the underlying zoning. In making this calculation, the following shall not be included in the total area of the parcel:</w:t>
      </w:r>
    </w:p>
    <w:p>
      <w:pPr>
        <w:pageBreakBefore w:val="false"/>
        <w:numPr>
          <w:ilvl w:val="0"/>
          <w:numId w:val="5"/>
        </w:numPr>
        <w:tabs>
          <w:tab w:val="clear" w:pos="360"/>
          <w:tab w:val="left" w:pos="1008"/>
        </w:tabs>
        <w:spacing w:before="0" w:after="0" w:line="202"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slopes over 30% of at least 5,000 square feet contiguous area;</w:t>
      </w:r>
    </w:p>
    <w:p>
      <w:pPr>
        <w:pageBreakBefore w:val="false"/>
        <w:numPr>
          <w:ilvl w:val="0"/>
          <w:numId w:val="5"/>
        </w:numPr>
        <w:tabs>
          <w:tab w:val="clear" w:pos="360"/>
          <w:tab w:val="left" w:pos="1008"/>
        </w:tabs>
        <w:spacing w:before="0" w:after="0" w:line="201"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100-year flood plain;</w:t>
      </w:r>
    </w:p>
    <w:p>
      <w:pPr>
        <w:pageBreakBefore w:val="false"/>
        <w:numPr>
          <w:ilvl w:val="0"/>
          <w:numId w:val="5"/>
        </w:numPr>
        <w:tabs>
          <w:tab w:val="clear" w:pos="360"/>
          <w:tab w:val="left" w:pos="1008"/>
        </w:tabs>
        <w:spacing w:before="3"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bodies of open water over 5,000 square feet contiguous area; and</w:t>
      </w:r>
    </w:p>
    <w:p>
      <w:pPr>
        <w:pageBreakBefore w:val="false"/>
        <w:numPr>
          <w:ilvl w:val="0"/>
          <w:numId w:val="5"/>
        </w:numPr>
        <w:tabs>
          <w:tab w:val="clear" w:pos="360"/>
          <w:tab w:val="left" w:pos="1008"/>
        </w:tabs>
        <w:spacing w:before="2" w:after="0" w:line="204" w:lineRule="exact"/>
        <w:ind w:right="288"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wetlands that meet the definition of the Army Corps of Engineers according to the Clean Water Act. (Ord. 2022-32, 11/29/22)</w:t>
      </w:r>
    </w:p>
    <w:p>
      <w:pPr>
        <w:pageBreakBefore w:val="false"/>
        <w:tabs>
          <w:tab w:val="right" w:leader="none" w:pos="7128"/>
        </w:tabs>
        <w:spacing w:before="1004"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35-12</w:t>
      </w:r>
    </w:p>
    <w:p>
      <w:pPr>
        <w:sectPr>
          <w:type w:val="nextPage"/>
          <w:pgSz w:w="12240" w:h="15840" w:orient="portrait"/>
          <w:pgMar w:bottom="1544" w:top="1940" w:right="4024" w:left="1016"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5" coordsize="21600,21600" o:spt="202" path="m,l,21600r21600,l21600,xe">
            <v:stroke joinstyle="miter"/>
            <v:path gradientshapeok="t" o:connecttype="rect"/>
          </v:shapetype>
          <v:shape id="_x0000_s4" type="#_x0000_t5" fillcolor="#F1F1F1" stroked="f" style="position:absolute;width:193.9pt;height:596.6pt;z-index:-996;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395"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35-5-3. Application requirements.</w:t>
      </w:r>
    </w:p>
    <w:p>
      <w:pPr>
        <w:pageBreakBefore w:val="false"/>
        <w:tabs>
          <w:tab w:val="right" w:leader="none" w:pos="7128"/>
        </w:tabs>
        <w:spacing w:before="1"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Concurrent with submitting a master plan, the applicant shall prepare and submit a site analysis
</w:t>
        <w:br/>
      </w:r>
      <w:r>
        <w:rPr>
          <w:rFonts w:ascii="Ebrima" w:hAnsi="Ebrima" w:eastAsia="Ebrima"/>
          <w:strike w:val="false"/>
          <w:color w:val="000000"/>
          <w:spacing w:val="0"/>
          <w:w w:val="100"/>
          <w:sz w:val="15"/>
          <w:vertAlign w:val="baseline"/>
          <w:lang w:val="en-US"/>
        </w:rPr>
        <w:t xml:space="preserve">map. The purpose of the site analysis map is to ensure that the important site features have been adequately identified before the creation of the site design and that the proposed open space will meet the requirements of this chapter. The site master plan shall include the following features:</w:t>
      </w:r>
    </w:p>
    <w:p>
      <w:pPr>
        <w:pageBreakBefore w:val="false"/>
        <w:numPr>
          <w:ilvl w:val="0"/>
          <w:numId w:val="6"/>
        </w:numPr>
        <w:tabs>
          <w:tab w:val="clear" w:pos="360"/>
          <w:tab w:val="left" w:pos="1008"/>
        </w:tabs>
        <w:spacing w:before="0" w:after="0" w:line="202"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property boundaries;</w:t>
      </w:r>
    </w:p>
    <w:p>
      <w:pPr>
        <w:pageBreakBefore w:val="false"/>
        <w:numPr>
          <w:ilvl w:val="0"/>
          <w:numId w:val="6"/>
        </w:numPr>
        <w:tabs>
          <w:tab w:val="clear" w:pos="360"/>
          <w:tab w:val="left" w:pos="1008"/>
        </w:tabs>
        <w:spacing w:before="0" w:after="0" w:line="202"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streams, rivers, lakes, wetlands, and other hydrologic features;</w:t>
      </w:r>
    </w:p>
    <w:p>
      <w:pPr>
        <w:pageBreakBefore w:val="false"/>
        <w:numPr>
          <w:ilvl w:val="0"/>
          <w:numId w:val="6"/>
        </w:numPr>
        <w:tabs>
          <w:tab w:val="clear" w:pos="360"/>
          <w:tab w:val="left" w:pos="1008"/>
        </w:tabs>
        <w:spacing w:before="2" w:after="0" w:line="204"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topographic contours of no less than 10-foot intervals;</w:t>
      </w:r>
    </w:p>
    <w:p>
      <w:pPr>
        <w:pageBreakBefore w:val="false"/>
        <w:numPr>
          <w:ilvl w:val="0"/>
          <w:numId w:val="6"/>
        </w:numPr>
        <w:tabs>
          <w:tab w:val="clear" w:pos="360"/>
          <w:tab w:val="left" w:pos="1008"/>
        </w:tabs>
        <w:spacing w:before="2" w:after="0" w:line="204"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primary and secondary conservation areas, labeled by type;</w:t>
      </w:r>
    </w:p>
    <w:p>
      <w:pPr>
        <w:pageBreakBefore w:val="false"/>
        <w:numPr>
          <w:ilvl w:val="0"/>
          <w:numId w:val="6"/>
        </w:numPr>
        <w:tabs>
          <w:tab w:val="clear" w:pos="360"/>
          <w:tab w:val="left" w:pos="1008"/>
        </w:tabs>
        <w:spacing w:before="3" w:after="0" w:line="204"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general vegetation characteristics;</w:t>
      </w:r>
    </w:p>
    <w:p>
      <w:pPr>
        <w:pageBreakBefore w:val="false"/>
        <w:numPr>
          <w:ilvl w:val="0"/>
          <w:numId w:val="6"/>
        </w:numPr>
        <w:tabs>
          <w:tab w:val="clear" w:pos="360"/>
          <w:tab w:val="left" w:pos="1008"/>
        </w:tabs>
        <w:spacing w:before="0" w:after="0" w:line="201"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general soil types;</w:t>
      </w:r>
    </w:p>
    <w:p>
      <w:pPr>
        <w:pageBreakBefore w:val="false"/>
        <w:numPr>
          <w:ilvl w:val="0"/>
          <w:numId w:val="6"/>
        </w:numPr>
        <w:tabs>
          <w:tab w:val="clear" w:pos="360"/>
          <w:tab w:val="left" w:pos="1008"/>
        </w:tabs>
        <w:spacing w:before="3" w:after="0" w:line="204"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planned location of protected open space;</w:t>
      </w:r>
    </w:p>
    <w:p>
      <w:pPr>
        <w:pageBreakBefore w:val="false"/>
        <w:numPr>
          <w:ilvl w:val="0"/>
          <w:numId w:val="6"/>
        </w:numPr>
        <w:tabs>
          <w:tab w:val="clear" w:pos="360"/>
          <w:tab w:val="left" w:pos="1008"/>
        </w:tabs>
        <w:spacing w:before="0" w:after="0" w:line="201"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existing roads and structures; and</w:t>
      </w:r>
    </w:p>
    <w:p>
      <w:pPr>
        <w:pageBreakBefore w:val="false"/>
        <w:numPr>
          <w:ilvl w:val="0"/>
          <w:numId w:val="6"/>
        </w:numPr>
        <w:tabs>
          <w:tab w:val="clear" w:pos="360"/>
          <w:tab w:val="left" w:pos="1008"/>
        </w:tabs>
        <w:spacing w:before="3" w:after="0" w:line="204" w:lineRule="exact"/>
        <w:ind w:right="0" w:left="576" w:firstLine="72"/>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potential connections with existing greenspace and trails.</w:t>
      </w:r>
    </w:p>
    <w:p>
      <w:pPr>
        <w:pageBreakBefore w:val="false"/>
        <w:tabs>
          <w:tab w:val="right" w:leader="none" w:pos="7128"/>
        </w:tabs>
        <w:spacing w:before="5"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An open space management plan shall be prepared and submitted before the approval of the final
</w:t>
        <w:br/>
      </w:r>
      <w:r>
        <w:rPr>
          <w:rFonts w:ascii="Ebrima" w:hAnsi="Ebrima" w:eastAsia="Ebrima"/>
          <w:strike w:val="false"/>
          <w:color w:val="000000"/>
          <w:spacing w:val="0"/>
          <w:w w:val="100"/>
          <w:sz w:val="15"/>
          <w:vertAlign w:val="baseline"/>
          <w:lang w:val="en-US"/>
        </w:rPr>
        <w:t xml:space="preserve">plat.</w:t>
      </w:r>
    </w:p>
    <w:p>
      <w:pPr>
        <w:pageBreakBefore w:val="false"/>
        <w:tabs>
          <w:tab w:val="right" w:leader="none" w:pos="7128"/>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(3)	</w:t>
      </w:r>
      <w:r>
        <w:rPr>
          <w:rFonts w:ascii="Ebrima" w:hAnsi="Ebrima" w:eastAsia="Ebrima"/>
          <w:strike w:val="false"/>
          <w:color w:val="000000"/>
          <w:spacing w:val="0"/>
          <w:w w:val="100"/>
          <w:sz w:val="15"/>
          <w:vertAlign w:val="baseline"/>
          <w:lang w:val="en-US"/>
        </w:rPr>
        <w:t xml:space="preserve">An instrument permanently protecting the open space, such as a conservation easement, shall be
</w:t>
        <w:br/>
      </w:r>
      <w:r>
        <w:rPr>
          <w:rFonts w:ascii="Ebrima" w:hAnsi="Ebrima" w:eastAsia="Ebrima"/>
          <w:strike w:val="false"/>
          <w:color w:val="000000"/>
          <w:spacing w:val="0"/>
          <w:w w:val="100"/>
          <w:sz w:val="15"/>
          <w:vertAlign w:val="baseline"/>
          <w:lang w:val="en-US"/>
        </w:rPr>
        <w:t xml:space="preserve">recorded concurrently with the issuance of a state issued land disturbance permit.</w:t>
      </w:r>
    </w:p>
    <w:p>
      <w:pPr>
        <w:pageBreakBefore w:val="false"/>
        <w:tabs>
          <w:tab w:val="right" w:leader="none" w:pos="7128"/>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	</w:t>
      </w:r>
      <w:r>
        <w:rPr>
          <w:rFonts w:ascii="Ebrima" w:hAnsi="Ebrima" w:eastAsia="Ebrima"/>
          <w:strike w:val="false"/>
          <w:color w:val="000000"/>
          <w:spacing w:val="0"/>
          <w:w w:val="100"/>
          <w:sz w:val="15"/>
          <w:vertAlign w:val="baseline"/>
          <w:lang w:val="en-US"/>
        </w:rPr>
        <w:t xml:space="preserve">The applicant shall adhere to all other applicable requirements of the underlying zoning district and
</w:t>
        <w:br/>
      </w:r>
      <w:r>
        <w:rPr>
          <w:rFonts w:ascii="Ebrima" w:hAnsi="Ebrima" w:eastAsia="Ebrima"/>
          <w:strike w:val="false"/>
          <w:color w:val="000000"/>
          <w:spacing w:val="0"/>
          <w:w w:val="100"/>
          <w:sz w:val="15"/>
          <w:vertAlign w:val="baseline"/>
          <w:lang w:val="en-US"/>
        </w:rPr>
        <w:t xml:space="preserve">county land use codes.</w:t>
      </w:r>
    </w:p>
    <w:p>
      <w:pPr>
        <w:pageBreakBefore w:val="false"/>
        <w:tabs>
          <w:tab w:val="right" w:leader="none" w:pos="7128"/>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(5)	</w:t>
      </w:r>
      <w:r>
        <w:rPr>
          <w:rFonts w:ascii="Ebrima" w:hAnsi="Ebrima" w:eastAsia="Ebrima"/>
          <w:strike w:val="false"/>
          <w:color w:val="000000"/>
          <w:spacing w:val="0"/>
          <w:w w:val="100"/>
          <w:sz w:val="15"/>
          <w:vertAlign w:val="baseline"/>
          <w:lang w:val="en-US"/>
        </w:rPr>
        <w:t xml:space="preserve">A conservation subdivision shall require a development agreement to establish lot and design
</w:t>
        <w:br/>
      </w:r>
      <w:r>
        <w:rPr>
          <w:rFonts w:ascii="Ebrima" w:hAnsi="Ebrima" w:eastAsia="Ebrima"/>
          <w:strike w:val="false"/>
          <w:color w:val="000000"/>
          <w:spacing w:val="0"/>
          <w:w w:val="100"/>
          <w:sz w:val="15"/>
          <w:vertAlign w:val="baseline"/>
          <w:lang w:val="en-US"/>
        </w:rPr>
        <w:t xml:space="preserve">standards. (Ord. 2022-32, 11/29/22)</w:t>
      </w:r>
    </w:p>
    <w:p>
      <w:pPr>
        <w:pageBreakBefore w:val="false"/>
        <w:spacing w:before="200"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35-5-4. Open space requirements.</w:t>
      </w:r>
    </w:p>
    <w:p>
      <w:pPr>
        <w:pageBreakBefore w:val="false"/>
        <w:numPr>
          <w:ilvl w:val="0"/>
          <w:numId w:val="7"/>
        </w:numPr>
        <w:tabs>
          <w:tab w:val="clear" w:pos="432"/>
          <w:tab w:val="left" w:pos="648"/>
        </w:tabs>
        <w:spacing w:before="0" w:after="0" w:line="202"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Each conservation subdivision shall provide a minimum of 40% of its total acreage as open space. The open space shall be designated on the master plan and recorded on the final plat.</w:t>
      </w:r>
    </w:p>
    <w:p>
      <w:pPr>
        <w:pageBreakBefore w:val="false"/>
        <w:numPr>
          <w:ilvl w:val="0"/>
          <w:numId w:val="7"/>
        </w:numPr>
        <w:tabs>
          <w:tab w:val="clear" w:pos="432"/>
          <w:tab w:val="left" w:pos="648"/>
        </w:tabs>
        <w:spacing w:before="5"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Utility rights-of-way and small areas of impervious surface may be included within the protected open space but cannot be counted towards the 40% minimum area requirement, except historic structures and existing trails may be counted. Areas greater than 15% of the total open space area covered with an impervious surface shall be excluded from the open space.</w:t>
      </w:r>
    </w:p>
    <w:p>
      <w:pPr>
        <w:pageBreakBefore w:val="false"/>
        <w:numPr>
          <w:ilvl w:val="0"/>
          <w:numId w:val="7"/>
        </w:numPr>
        <w:tabs>
          <w:tab w:val="clear" w:pos="432"/>
          <w:tab w:val="left" w:pos="648"/>
        </w:tabs>
        <w:spacing w:before="0" w:after="0" w:line="201"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At least 25% of the open space shall consist of land that is suitable for building.</w:t>
      </w:r>
    </w:p>
    <w:p>
      <w:pPr>
        <w:pageBreakBefore w:val="false"/>
        <w:numPr>
          <w:ilvl w:val="0"/>
          <w:numId w:val="7"/>
        </w:numPr>
        <w:tabs>
          <w:tab w:val="clear" w:pos="432"/>
          <w:tab w:val="left" w:pos="648"/>
        </w:tabs>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At least 75% of the open space shall be in a contiguous tract. The open space shall adjoin any neighboring areas of open space, other protected areas, and non-protected natural areas that would be candidates for inclusion as part of a future area of protected open space.</w:t>
      </w:r>
    </w:p>
    <w:p>
      <w:pPr>
        <w:pageBreakBefore w:val="false"/>
        <w:numPr>
          <w:ilvl w:val="0"/>
          <w:numId w:val="7"/>
        </w:numPr>
        <w:tabs>
          <w:tab w:val="clear" w:pos="432"/>
          <w:tab w:val="left" w:pos="648"/>
        </w:tabs>
        <w:spacing w:before="5"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open space shall be directly accessible to the largest practicable number of lots within the subdivision. Non-adjoining lots shall be provided with safe, convenient access to the open space.</w:t>
      </w:r>
    </w:p>
    <w:p>
      <w:pPr>
        <w:pageBreakBefore w:val="false"/>
        <w:numPr>
          <w:ilvl w:val="0"/>
          <w:numId w:val="7"/>
        </w:numPr>
        <w:tabs>
          <w:tab w:val="clear" w:pos="432"/>
          <w:tab w:val="left" w:pos="648"/>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required open space areas shall be protected in perpetuity from further development or unauthorized use by a conservation easement or permanent restrictive covenant. Tooele County reserves the right to enforce all restrictive covenants and conservation easements. Uses of open space may include the following:</w:t>
      </w:r>
    </w:p>
    <w:p>
      <w:pPr>
        <w:pageBreakBefore w:val="false"/>
        <w:numPr>
          <w:ilvl w:val="0"/>
          <w:numId w:val="8"/>
        </w:numPr>
        <w:tabs>
          <w:tab w:val="clear" w:pos="360"/>
          <w:tab w:val="left" w:pos="1008"/>
        </w:tabs>
        <w:spacing w:before="0" w:after="0" w:line="201" w:lineRule="exact"/>
        <w:ind w:right="0" w:left="576" w:firstLine="72"/>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conservation of natural, archeological, or historical resources;</w:t>
      </w:r>
    </w:p>
    <w:p>
      <w:pPr>
        <w:pageBreakBefore w:val="false"/>
        <w:numPr>
          <w:ilvl w:val="0"/>
          <w:numId w:val="8"/>
        </w:numPr>
        <w:tabs>
          <w:tab w:val="clear" w:pos="360"/>
          <w:tab w:val="left" w:pos="1008"/>
        </w:tabs>
        <w:spacing w:before="4" w:after="0" w:line="204" w:lineRule="exact"/>
        <w:ind w:right="144" w:left="576" w:firstLine="72"/>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meadows, woodlands, wetlands, wildlife corridors, game preserves, or similar conservation-oriented areas;</w:t>
      </w:r>
    </w:p>
    <w:p>
      <w:pPr>
        <w:pageBreakBefore w:val="false"/>
        <w:numPr>
          <w:ilvl w:val="0"/>
          <w:numId w:val="8"/>
        </w:numPr>
        <w:tabs>
          <w:tab w:val="clear" w:pos="360"/>
          <w:tab w:val="left" w:pos="1008"/>
        </w:tabs>
        <w:spacing w:before="0" w:after="0" w:line="203" w:lineRule="exact"/>
        <w:ind w:right="0" w:left="576" w:firstLine="72"/>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walking, equestrian, off-highway vehicle, or bicycle trails;</w:t>
      </w:r>
    </w:p>
    <w:p>
      <w:pPr>
        <w:pageBreakBefore w:val="false"/>
        <w:numPr>
          <w:ilvl w:val="0"/>
          <w:numId w:val="8"/>
        </w:numPr>
        <w:tabs>
          <w:tab w:val="clear" w:pos="360"/>
          <w:tab w:val="left" w:pos="1008"/>
        </w:tabs>
        <w:spacing w:before="0" w:after="0" w:line="201" w:lineRule="exact"/>
        <w:ind w:right="0" w:left="576" w:firstLine="72"/>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passive recreation areas, such as open fields;</w:t>
      </w:r>
    </w:p>
    <w:p>
      <w:pPr>
        <w:pageBreakBefore w:val="false"/>
        <w:tabs>
          <w:tab w:val="right" w:leader="none" w:pos="7128"/>
        </w:tabs>
        <w:spacing w:before="392"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35-13</w:t>
      </w:r>
    </w:p>
    <w:p>
      <w:pPr>
        <w:sectPr>
          <w:type w:val="nextPage"/>
          <w:pgSz w:w="12240" w:h="15840" w:orient="portrait"/>
          <w:pgMar w:bottom="1544" w:top="1940" w:right="4027" w:left="1013"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6" coordsize="21600,21600" o:spt="202" path="m,l,21600r21600,l21600,xe">
            <v:stroke joinstyle="miter"/>
            <v:path gradientshapeok="t" o:connecttype="rect"/>
          </v:shapetype>
          <v:shape id="_x0000_s5" type="#_x0000_t6" fillcolor="#F1F1F1" stroked="f" style="position:absolute;width:193.9pt;height:596.6pt;z-index:-995;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9"/>
        </w:numPr>
        <w:tabs>
          <w:tab w:val="clear" w:pos="432"/>
          <w:tab w:val="left" w:pos="1008"/>
        </w:tabs>
        <w:spacing w:before="406" w:after="0" w:line="204" w:lineRule="exact"/>
        <w:ind w:right="72"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active recreation areas, which include 15% or less of the total open space area on impervious surfaces;</w:t>
      </w:r>
    </w:p>
    <w:p>
      <w:pPr>
        <w:pageBreakBefore w:val="false"/>
        <w:numPr>
          <w:ilvl w:val="0"/>
          <w:numId w:val="9"/>
        </w:numPr>
        <w:tabs>
          <w:tab w:val="clear" w:pos="432"/>
          <w:tab w:val="left" w:pos="1008"/>
        </w:tabs>
        <w:spacing w:before="2" w:after="0" w:line="204" w:lineRule="exact"/>
        <w:ind w:right="216"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agriculture, horticulture, silviculture, or pasture uses, provided that all applicable best management practices are used to minimize environmental impacts;</w:t>
      </w:r>
    </w:p>
    <w:p>
      <w:pPr>
        <w:pageBreakBefore w:val="false"/>
        <w:numPr>
          <w:ilvl w:val="0"/>
          <w:numId w:val="9"/>
        </w:numPr>
        <w:tabs>
          <w:tab w:val="clear" w:pos="432"/>
          <w:tab w:val="left" w:pos="1008"/>
        </w:tabs>
        <w:spacing w:before="0" w:after="0" w:line="202"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landscaped stormwater management facilities;</w:t>
      </w:r>
    </w:p>
    <w:p>
      <w:pPr>
        <w:pageBreakBefore w:val="false"/>
        <w:numPr>
          <w:ilvl w:val="0"/>
          <w:numId w:val="9"/>
        </w:numPr>
        <w:tabs>
          <w:tab w:val="clear" w:pos="432"/>
          <w:tab w:val="left" w:pos="1008"/>
        </w:tabs>
        <w:spacing w:before="2"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easements for drainage, access, and underground utility lines; and</w:t>
      </w:r>
    </w:p>
    <w:p>
      <w:pPr>
        <w:pageBreakBefore w:val="false"/>
        <w:numPr>
          <w:ilvl w:val="0"/>
          <w:numId w:val="9"/>
        </w:numPr>
        <w:tabs>
          <w:tab w:val="clear" w:pos="432"/>
          <w:tab w:val="left" w:pos="1008"/>
        </w:tabs>
        <w:spacing w:before="0" w:after="0" w:line="203" w:lineRule="exact"/>
        <w:ind w:right="144"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other conservation-oriented uses compatible with the purposes of this chapter. (Ord. 2022-32, 11/29/22)</w:t>
      </w:r>
    </w:p>
    <w:p>
      <w:pPr>
        <w:pageBreakBefore w:val="false"/>
        <w:spacing w:before="200"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35-5-5. Open space network configuration.</w:t>
      </w:r>
    </w:p>
    <w:p>
      <w:pPr>
        <w:pageBreakBefore w:val="false"/>
        <w:spacing w:before="0" w:after="0" w:line="198" w:lineRule="exact"/>
        <w:ind w:right="0" w:left="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minimum standards for open space networks are as follows:</w:t>
      </w:r>
    </w:p>
    <w:p>
      <w:pPr>
        <w:pageBreakBefore w:val="false"/>
        <w:numPr>
          <w:ilvl w:val="0"/>
          <w:numId w:val="10"/>
        </w:numPr>
        <w:tabs>
          <w:tab w:val="clear" w:pos="360"/>
          <w:tab w:val="left" w:pos="576"/>
        </w:tabs>
        <w:spacing w:before="3" w:after="0" w:line="204"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minimum width of any open space area is 25 feet.</w:t>
      </w:r>
    </w:p>
    <w:p>
      <w:pPr>
        <w:pageBreakBefore w:val="false"/>
        <w:numPr>
          <w:ilvl w:val="0"/>
          <w:numId w:val="10"/>
        </w:numPr>
        <w:tabs>
          <w:tab w:val="clear" w:pos="360"/>
          <w:tab w:val="left" w:pos="576"/>
        </w:tabs>
        <w:spacing w:before="0" w:after="0" w:line="204" w:lineRule="exact"/>
        <w:ind w:right="216"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paths shall be a minimum of 20 feet from any property line except where inter-parcel access may be provided.</w:t>
      </w:r>
    </w:p>
    <w:p>
      <w:pPr>
        <w:pageBreakBefore w:val="false"/>
        <w:numPr>
          <w:ilvl w:val="0"/>
          <w:numId w:val="10"/>
        </w:numPr>
        <w:tabs>
          <w:tab w:val="clear" w:pos="360"/>
          <w:tab w:val="left" w:pos="576"/>
        </w:tabs>
        <w:spacing w:before="5" w:after="0" w:line="204" w:lineRule="exact"/>
        <w:ind w:right="144"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open space networks shall provide connectivity to any common areas within the development and any adjacent public places and rights-of-way.</w:t>
      </w:r>
    </w:p>
    <w:p>
      <w:pPr>
        <w:pageBreakBefore w:val="false"/>
        <w:numPr>
          <w:ilvl w:val="0"/>
          <w:numId w:val="10"/>
        </w:numPr>
        <w:tabs>
          <w:tab w:val="clear" w:pos="360"/>
          <w:tab w:val="left" w:pos="576"/>
        </w:tabs>
        <w:spacing w:before="0" w:after="0" w:line="196"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Paths located in primary conservation areas shall be constructed of pervious materials.</w:t>
      </w:r>
    </w:p>
    <w:p>
      <w:pPr>
        <w:pageBreakBefore w:val="false"/>
        <w:numPr>
          <w:ilvl w:val="0"/>
          <w:numId w:val="10"/>
        </w:numPr>
        <w:tabs>
          <w:tab w:val="clear" w:pos="360"/>
          <w:tab w:val="left" w:pos="576"/>
        </w:tabs>
        <w:spacing w:before="10" w:after="0" w:line="204" w:lineRule="exact"/>
        <w:ind w:right="72" w:left="72"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Where path networks cross internal subdivision streets or public streets, access points shall be directly across from each other. Exceptions may be approved by the Community Development Department.</w:t>
      </w:r>
    </w:p>
    <w:p>
      <w:pPr>
        <w:pageBreakBefore w:val="false"/>
        <w:numPr>
          <w:ilvl w:val="0"/>
          <w:numId w:val="10"/>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Crossings and access points shall be identified to pedestrians and motorists and may include traffic control devices, bridges, and tunnels as approved by the Community Development Department.</w:t>
      </w:r>
    </w:p>
    <w:p>
      <w:pPr>
        <w:pageBreakBefore w:val="false"/>
        <w:numPr>
          <w:ilvl w:val="0"/>
          <w:numId w:val="10"/>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Open space networks shall be designed in coordination with the active transportation network, with overlap between the networks as much as possible and direct active transportation access to open space. (Ord. 2022-32, 11/29/22)</w:t>
      </w:r>
    </w:p>
    <w:p>
      <w:pPr>
        <w:pageBreakBefore w:val="false"/>
        <w:spacing w:before="196"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35-5-6. Open space and conservation areas.</w:t>
      </w:r>
    </w:p>
    <w:p>
      <w:pPr>
        <w:pageBreakBefore w:val="false"/>
        <w:spacing w:before="0" w:after="0" w:line="202" w:lineRule="exact"/>
        <w:ind w:right="0" w:left="72"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Open space shall be designated as either primary or secondary conservation areas and configured to</w:t>
      </w:r>
    </w:p>
    <w:p>
      <w:pPr>
        <w:pageBreakBefore w:val="false"/>
        <w:spacing w:before="0" w:after="0" w:line="202" w:lineRule="exact"/>
        <w:ind w:right="0" w:left="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create or maintain a network of open space. (Ord. 2022-32, 11/29/22)</w:t>
      </w:r>
    </w:p>
    <w:p>
      <w:pPr>
        <w:pageBreakBefore w:val="false"/>
        <w:spacing w:before="198"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35-5-7. Primary conservation areas.</w:t>
      </w:r>
    </w:p>
    <w:p>
      <w:pPr>
        <w:pageBreakBefore w:val="false"/>
        <w:spacing w:before="1" w:after="0" w:line="204" w:lineRule="exact"/>
        <w:ind w:right="72" w:left="72"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Primary conservation areas form the core of the open space to be protected. The following are considered primary conservation areas and are required to be included within the open space unless the applicant demonstrates that this provision would constitute an unusual hardship and be counter to the purposes of this chapter:</w:t>
      </w:r>
    </w:p>
    <w:p>
      <w:pPr>
        <w:pageBreakBefore w:val="false"/>
        <w:numPr>
          <w:ilvl w:val="0"/>
          <w:numId w:val="11"/>
        </w:numPr>
        <w:tabs>
          <w:tab w:val="clear" w:pos="360"/>
          <w:tab w:val="left" w:pos="576"/>
        </w:tabs>
        <w:spacing w:before="0" w:after="0" w:line="199" w:lineRule="exact"/>
        <w:ind w:right="0" w:left="72" w:firstLine="144"/>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cemeteries;</w:t>
      </w:r>
    </w:p>
    <w:p>
      <w:pPr>
        <w:pageBreakBefore w:val="false"/>
        <w:numPr>
          <w:ilvl w:val="0"/>
          <w:numId w:val="11"/>
        </w:numPr>
        <w:tabs>
          <w:tab w:val="clear" w:pos="360"/>
          <w:tab w:val="left" w:pos="576"/>
        </w:tabs>
        <w:spacing w:before="8"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alluvial soils identified by the Federal Emergency Management Agency (FEMA) and the 100-year flood plain;</w:t>
      </w:r>
    </w:p>
    <w:p>
      <w:pPr>
        <w:pageBreakBefore w:val="false"/>
        <w:numPr>
          <w:ilvl w:val="0"/>
          <w:numId w:val="11"/>
        </w:numPr>
        <w:tabs>
          <w:tab w:val="clear" w:pos="360"/>
          <w:tab w:val="left" w:pos="576"/>
        </w:tabs>
        <w:spacing w:before="0" w:after="0" w:line="201"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archaeological sites, cemeteries, and burial grounds;</w:t>
      </w:r>
    </w:p>
    <w:p>
      <w:pPr>
        <w:pageBreakBefore w:val="false"/>
        <w:numPr>
          <w:ilvl w:val="0"/>
          <w:numId w:val="11"/>
        </w:numPr>
        <w:tabs>
          <w:tab w:val="clear" w:pos="360"/>
          <w:tab w:val="left" w:pos="576"/>
        </w:tabs>
        <w:spacing w:before="0" w:after="0" w:line="202"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prime agricultural lands of at least five acres of contiguous area;</w:t>
      </w:r>
    </w:p>
    <w:p>
      <w:pPr>
        <w:pageBreakBefore w:val="false"/>
        <w:numPr>
          <w:ilvl w:val="0"/>
          <w:numId w:val="11"/>
        </w:numPr>
        <w:tabs>
          <w:tab w:val="clear" w:pos="360"/>
          <w:tab w:val="left" w:pos="576"/>
        </w:tabs>
        <w:spacing w:before="2" w:after="0" w:line="204"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habitats for endangered or threatened species;</w:t>
      </w:r>
    </w:p>
    <w:p>
      <w:pPr>
        <w:pageBreakBefore w:val="false"/>
        <w:numPr>
          <w:ilvl w:val="0"/>
          <w:numId w:val="11"/>
        </w:numPr>
        <w:tabs>
          <w:tab w:val="clear" w:pos="360"/>
          <w:tab w:val="left" w:pos="576"/>
        </w:tabs>
        <w:spacing w:before="7"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wetlands identified by the County Soil Survey prepared by the United States Department of Agriculture (USDA) Natural Resources Conservation Service (NRCS) or a certified wetlands delineation using data from the U. S. Army Corps of Engineers;</w:t>
      </w:r>
    </w:p>
    <w:p>
      <w:pPr>
        <w:pageBreakBefore w:val="false"/>
        <w:numPr>
          <w:ilvl w:val="0"/>
          <w:numId w:val="11"/>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lakes, both natural and man-made, rivers, streams, existing ponds, stormwater management ponds and facilities, creeks, and state waters;</w:t>
      </w:r>
    </w:p>
    <w:p>
      <w:pPr>
        <w:pageBreakBefore w:val="false"/>
        <w:tabs>
          <w:tab w:val="right" w:leader="none" w:pos="7128"/>
        </w:tabs>
        <w:spacing w:before="399"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35-14</w:t>
      </w:r>
    </w:p>
    <w:p>
      <w:pPr>
        <w:sectPr>
          <w:type w:val="nextPage"/>
          <w:pgSz w:w="12240" w:h="15840" w:orient="portrait"/>
          <w:pgMar w:bottom="1544" w:top="1940" w:right="4024" w:left="1016"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7" coordsize="21600,21600" o:spt="202" path="m,l,21600r21600,l21600,xe">
            <v:stroke joinstyle="miter"/>
            <v:path gradientshapeok="t" o:connecttype="rect"/>
          </v:shapetype>
          <v:shape id="_x0000_s6" type="#_x0000_t7" fillcolor="#F1F1F1" stroked="f" style="position:absolute;width:193.9pt;height:596.6pt;z-index:-994;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12"/>
        </w:numPr>
        <w:tabs>
          <w:tab w:val="clear" w:pos="432"/>
          <w:tab w:val="left" w:pos="648"/>
        </w:tabs>
        <w:spacing w:before="408"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riparian zones along all perennial and intermittent streams equal to any required stream buffers and improvement setbacks;</w:t>
      </w:r>
    </w:p>
    <w:p>
      <w:pPr>
        <w:pageBreakBefore w:val="false"/>
        <w:numPr>
          <w:ilvl w:val="0"/>
          <w:numId w:val="12"/>
        </w:numPr>
        <w:tabs>
          <w:tab w:val="clear" w:pos="432"/>
          <w:tab w:val="left" w:pos="648"/>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existing slopes greater than 30% on average with a site area greater than 5,000 square feet identified as part of a site analysis conducted by a registered engineer, land surveyor, or landscape architect and calculated using topographic maps; and</w:t>
      </w:r>
    </w:p>
    <w:p>
      <w:pPr>
        <w:pageBreakBefore w:val="false"/>
        <w:numPr>
          <w:ilvl w:val="0"/>
          <w:numId w:val="12"/>
        </w:numPr>
        <w:tabs>
          <w:tab w:val="clear" w:pos="432"/>
          <w:tab w:val="left" w:pos="648"/>
        </w:tabs>
        <w:spacing w:before="2"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critical wildlife habitat as identified by the State of Utah Division of Wildlife Resources. (Ord. 2022-32, 11/29/22)</w:t>
      </w:r>
    </w:p>
    <w:p>
      <w:pPr>
        <w:pageBreakBefore w:val="false"/>
        <w:spacing w:before="196"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35-5-8. Value of primary conservation areas.</w:t>
      </w:r>
    </w:p>
    <w:p>
      <w:pPr>
        <w:pageBreakBefore w:val="false"/>
        <w:spacing w:before="0" w:after="0" w:line="203"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Because primary conservation areas are either protected or sensitive environmental areas, only 50% of</w:t>
      </w:r>
    </w:p>
    <w:p>
      <w:pPr>
        <w:pageBreakBefore w:val="false"/>
        <w:spacing w:before="2" w:after="0" w:line="204" w:lineRule="exact"/>
        <w:ind w:right="0" w:left="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acreage of a primary conservation area may be counted as open space. (Ord. 2022-32, 11/29/22)</w:t>
      </w:r>
    </w:p>
    <w:p>
      <w:pPr>
        <w:pageBreakBefore w:val="false"/>
        <w:spacing w:before="193"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35-5-9. Secondary conservation areas.</w:t>
      </w:r>
    </w:p>
    <w:p>
      <w:pPr>
        <w:pageBreakBefore w:val="false"/>
        <w:tabs>
          <w:tab w:val="right" w:leader="none" w:pos="7128"/>
        </w:tabs>
        <w:spacing w:before="2"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Secondary conservation areas consist of undeveloped or unconstrained but buildable land and
</w:t>
        <w:br/>
      </w:r>
      <w:r>
        <w:rPr>
          <w:rFonts w:ascii="Ebrima" w:hAnsi="Ebrima" w:eastAsia="Ebrima"/>
          <w:strike w:val="false"/>
          <w:color w:val="000000"/>
          <w:spacing w:val="0"/>
          <w:w w:val="100"/>
          <w:sz w:val="15"/>
          <w:vertAlign w:val="baseline"/>
          <w:lang w:val="en-US"/>
        </w:rPr>
        <w:t xml:space="preserve">protected or constrained lands. Secondary conservation areas include the following:</w:t>
      </w:r>
    </w:p>
    <w:p>
      <w:pPr>
        <w:pageBreakBefore w:val="false"/>
        <w:numPr>
          <w:ilvl w:val="0"/>
          <w:numId w:val="13"/>
        </w:numPr>
        <w:tabs>
          <w:tab w:val="clear" w:pos="360"/>
          <w:tab w:val="left" w:pos="1008"/>
        </w:tabs>
        <w:spacing w:before="0" w:after="0" w:line="201"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farmlands, including fields, pastures, and meadows;</w:t>
      </w:r>
    </w:p>
    <w:p>
      <w:pPr>
        <w:pageBreakBefore w:val="false"/>
        <w:numPr>
          <w:ilvl w:val="0"/>
          <w:numId w:val="13"/>
        </w:numPr>
        <w:tabs>
          <w:tab w:val="clear" w:pos="360"/>
          <w:tab w:val="left" w:pos="1008"/>
        </w:tabs>
        <w:spacing w:before="0" w:after="0" w:line="202"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woodlands and buffers except for riparian buffers;</w:t>
      </w:r>
    </w:p>
    <w:p>
      <w:pPr>
        <w:pageBreakBefore w:val="false"/>
        <w:numPr>
          <w:ilvl w:val="0"/>
          <w:numId w:val="13"/>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historic and archaeological sites as identified by the Utah Division of State History, Utah State Historical Society;</w:t>
      </w:r>
    </w:p>
    <w:p>
      <w:pPr>
        <w:pageBreakBefore w:val="false"/>
        <w:numPr>
          <w:ilvl w:val="0"/>
          <w:numId w:val="13"/>
        </w:numPr>
        <w:tabs>
          <w:tab w:val="clear" w:pos="360"/>
          <w:tab w:val="left" w:pos="1008"/>
        </w:tabs>
        <w:spacing w:before="4"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passive recreation areas, public and private, including pedestrian, bicycle, and equestrian trails, picnic areas, community commons or greens, and similar areas;</w:t>
      </w:r>
    </w:p>
    <w:p>
      <w:pPr>
        <w:pageBreakBefore w:val="false"/>
        <w:numPr>
          <w:ilvl w:val="0"/>
          <w:numId w:val="13"/>
        </w:numPr>
        <w:tabs>
          <w:tab w:val="clear" w:pos="360"/>
          <w:tab w:val="left" w:pos="1008"/>
        </w:tabs>
        <w:spacing w:before="0" w:after="0" w:line="203" w:lineRule="exact"/>
        <w:ind w:right="72" w:left="504"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active recreation areas and facilities, public and private, to include parks, playing fields, and playgrounds, but recreation areas with impervious surfaces greater than 15% of the total secondary open space such as parking lots, tennis courts, basketball courts, and pools shall be excluded;</w:t>
      </w:r>
    </w:p>
    <w:p>
      <w:pPr>
        <w:pageBreakBefore w:val="false"/>
        <w:numPr>
          <w:ilvl w:val="0"/>
          <w:numId w:val="13"/>
        </w:numPr>
        <w:tabs>
          <w:tab w:val="clear" w:pos="360"/>
          <w:tab w:val="left" w:pos="1008"/>
        </w:tabs>
        <w:spacing w:before="2"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existing healthy, native forests of at least one-acre contiguous area;</w:t>
      </w:r>
    </w:p>
    <w:p>
      <w:pPr>
        <w:pageBreakBefore w:val="false"/>
        <w:numPr>
          <w:ilvl w:val="0"/>
          <w:numId w:val="13"/>
        </w:numPr>
        <w:tabs>
          <w:tab w:val="clear" w:pos="360"/>
          <w:tab w:val="left" w:pos="1008"/>
        </w:tabs>
        <w:spacing w:before="0" w:after="0" w:line="202"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individual existing healthy trees greater than eight inches caliper;</w:t>
      </w:r>
    </w:p>
    <w:p>
      <w:pPr>
        <w:pageBreakBefore w:val="false"/>
        <w:numPr>
          <w:ilvl w:val="0"/>
          <w:numId w:val="13"/>
        </w:numPr>
        <w:tabs>
          <w:tab w:val="clear" w:pos="360"/>
          <w:tab w:val="left" w:pos="1008"/>
        </w:tabs>
        <w:spacing w:before="0"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other significant natural features and scenic viewsheds such as ridge lines, peaks, and rock outcroppings, particularly those that can be seen from public roads; and</w:t>
      </w:r>
    </w:p>
    <w:p>
      <w:pPr>
        <w:pageBreakBefore w:val="false"/>
        <w:numPr>
          <w:ilvl w:val="0"/>
          <w:numId w:val="13"/>
        </w:numPr>
        <w:tabs>
          <w:tab w:val="clear" w:pos="360"/>
          <w:tab w:val="left" w:pos="1008"/>
        </w:tabs>
        <w:spacing w:before="2"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trails that connect the tract to neighboring areas.</w:t>
      </w:r>
    </w:p>
    <w:p>
      <w:pPr>
        <w:pageBreakBefore w:val="false"/>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One hundred percent of secondary conservation areas may be considered open space. (Ord. 2022-32, 11/29/22)</w:t>
      </w:r>
    </w:p>
    <w:p>
      <w:pPr>
        <w:pageBreakBefore w:val="false"/>
        <w:spacing w:before="195"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35-5-10. Ownership and management of open space.</w:t>
      </w:r>
    </w:p>
    <w:p>
      <w:pPr>
        <w:pageBreakBefore w:val="false"/>
        <w:numPr>
          <w:ilvl w:val="0"/>
          <w:numId w:val="14"/>
        </w:numPr>
        <w:tabs>
          <w:tab w:val="clear" w:pos="432"/>
          <w:tab w:val="left" w:pos="648"/>
        </w:tabs>
        <w:spacing w:before="2"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homeowners association representing residents of the conservation subdivision may own the open space. If owned by a homeowners association, membership in the association shall be mandatory and automatic for all subdivision homeowners and their successors. The homeowners association’s lien authority shall be governed by the UCA 57-8a Community Association Act.</w:t>
      </w:r>
    </w:p>
    <w:p>
      <w:pPr>
        <w:pageBreakBefore w:val="false"/>
        <w:numPr>
          <w:ilvl w:val="0"/>
          <w:numId w:val="14"/>
        </w:numPr>
        <w:tabs>
          <w:tab w:val="clear" w:pos="432"/>
          <w:tab w:val="left" w:pos="648"/>
        </w:tabs>
        <w:spacing w:before="0" w:after="0" w:line="201"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owner shall bear responsibility for maintaining the open space and any facilities thereon.</w:t>
      </w:r>
    </w:p>
    <w:p>
      <w:pPr>
        <w:pageBreakBefore w:val="false"/>
        <w:numPr>
          <w:ilvl w:val="0"/>
          <w:numId w:val="14"/>
        </w:numPr>
        <w:tabs>
          <w:tab w:val="clear" w:pos="432"/>
          <w:tab w:val="left" w:pos="648"/>
        </w:tabs>
        <w:spacing w:before="0" w:after="0" w:line="202"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applicant shall submit a plan for the management of open space and common facilities that:</w:t>
      </w:r>
    </w:p>
    <w:p>
      <w:pPr>
        <w:pageBreakBefore w:val="false"/>
        <w:numPr>
          <w:ilvl w:val="0"/>
          <w:numId w:val="15"/>
        </w:numPr>
        <w:tabs>
          <w:tab w:val="clear" w:pos="360"/>
          <w:tab w:val="left" w:pos="1008"/>
        </w:tabs>
        <w:spacing w:before="2"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allocates responsibility and guidelines for the maintenance and operation of the open space and any facilities located thereon, including provisions for ongoing maintenance and long-term capital improvements;</w:t>
      </w:r>
    </w:p>
    <w:p>
      <w:pPr>
        <w:pageBreakBefore w:val="false"/>
        <w:numPr>
          <w:ilvl w:val="0"/>
          <w:numId w:val="15"/>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estimates the costs and staffing requirements needed for maintenance and operation of, and insurance for, the open space, and outlines how funding will be obtained or provided;</w:t>
      </w:r>
    </w:p>
    <w:p>
      <w:pPr>
        <w:pageBreakBefore w:val="false"/>
        <w:numPr>
          <w:ilvl w:val="0"/>
          <w:numId w:val="15"/>
        </w:numPr>
        <w:tabs>
          <w:tab w:val="clear" w:pos="360"/>
          <w:tab w:val="left" w:pos="1008"/>
        </w:tabs>
        <w:spacing w:before="0" w:after="0" w:line="202"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provides that changes to the plan must be approved by the County Council; and</w:t>
      </w:r>
    </w:p>
    <w:p>
      <w:pPr>
        <w:pageBreakBefore w:val="false"/>
        <w:tabs>
          <w:tab w:val="right" w:leader="none" w:pos="7128"/>
        </w:tabs>
        <w:spacing w:before="401"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35-15</w:t>
      </w:r>
    </w:p>
    <w:p>
      <w:pPr>
        <w:sectPr>
          <w:type w:val="nextPage"/>
          <w:pgSz w:w="12240" w:h="15840" w:orient="portrait"/>
          <w:pgMar w:bottom="1544" w:top="1940" w:right="4027" w:left="1013"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8" coordsize="21600,21600" o:spt="202" path="m,l,21600r21600,l21600,xe">
            <v:stroke joinstyle="miter"/>
            <v:path gradientshapeok="t" o:connecttype="rect"/>
          </v:shapetype>
          <v:shape id="_x0000_s7" type="#_x0000_t8" fillcolor="#F1F1F1" stroked="f" style="position:absolute;width:193.9pt;height:596.6pt;z-index:-993;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tabs>
          <w:tab w:val="left" w:leader="none" w:pos="1008"/>
        </w:tabs>
        <w:spacing w:before="401" w:after="0" w:line="204" w:lineRule="exact"/>
        <w:ind w:right="0" w:left="57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(d)	</w:t>
      </w:r>
      <w:r>
        <w:rPr>
          <w:rFonts w:ascii="Ebrima" w:hAnsi="Ebrima" w:eastAsia="Ebrima"/>
          <w:strike w:val="false"/>
          <w:color w:val="000000"/>
          <w:spacing w:val="-1"/>
          <w:w w:val="100"/>
          <w:sz w:val="15"/>
          <w:vertAlign w:val="baseline"/>
          <w:lang w:val="en-US"/>
        </w:rPr>
        <w:t xml:space="preserve">provides for enforcement of the plan.</w:t>
      </w:r>
    </w:p>
    <w:p>
      <w:pPr>
        <w:pageBreakBefore w:val="false"/>
        <w:tabs>
          <w:tab w:val="left" w:leader="none" w:pos="576"/>
        </w:tabs>
        <w:spacing w:before="3" w:after="0" w:line="204" w:lineRule="exact"/>
        <w:ind w:right="72" w:left="72" w:firstLine="72"/>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(4)	</w:t>
      </w:r>
      <w:r>
        <w:rPr>
          <w:rFonts w:ascii="Ebrima" w:hAnsi="Ebrima" w:eastAsia="Ebrima"/>
          <w:strike w:val="false"/>
          <w:color w:val="000000"/>
          <w:spacing w:val="1"/>
          <w:w w:val="100"/>
          <w:sz w:val="15"/>
          <w:vertAlign w:val="baseline"/>
          <w:lang w:val="en-US"/>
        </w:rPr>
        <w:t xml:space="preserve">If the party responsible for maintenance of the open space fails to maintain all or any portion in reasonable order and condition, the county may assume responsibility for its maintenance and enter the premises and take corrective action, including the provision of extended maintenance. The costs of such maintenance may be charged to the homeowners association or the individual property owners and may include administrative costs and penalties. Such costs may become a lien if unpaid. (Ord. 2022-32, 11/29/22)</w:t>
      </w:r>
    </w:p>
    <w:p>
      <w:pPr>
        <w:pageBreakBefore w:val="false"/>
        <w:spacing w:before="200"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35-5-11. Prohibited uses of open space.</w:t>
      </w:r>
    </w:p>
    <w:p>
      <w:pPr>
        <w:pageBreakBefore w:val="false"/>
        <w:tabs>
          <w:tab w:val="left" w:leader="none" w:pos="576"/>
        </w:tabs>
        <w:spacing w:before="0" w:after="0" w:line="198" w:lineRule="exact"/>
        <w:ind w:right="0" w:left="14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(1)	</w:t>
      </w:r>
      <w:r>
        <w:rPr>
          <w:rFonts w:ascii="Ebrima" w:hAnsi="Ebrima" w:eastAsia="Ebrima"/>
          <w:strike w:val="false"/>
          <w:color w:val="000000"/>
          <w:spacing w:val="-1"/>
          <w:w w:val="100"/>
          <w:sz w:val="15"/>
          <w:vertAlign w:val="baseline"/>
          <w:lang w:val="en-US"/>
        </w:rPr>
        <w:t xml:space="preserve">Uses of open space shall not include the following:</w:t>
      </w:r>
    </w:p>
    <w:p>
      <w:pPr>
        <w:pageBreakBefore w:val="false"/>
        <w:numPr>
          <w:ilvl w:val="0"/>
          <w:numId w:val="16"/>
        </w:numPr>
        <w:tabs>
          <w:tab w:val="clear" w:pos="432"/>
          <w:tab w:val="left" w:pos="1008"/>
        </w:tabs>
        <w:spacing w:before="0"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roads;</w:t>
      </w:r>
    </w:p>
    <w:p>
      <w:pPr>
        <w:pageBreakBefore w:val="false"/>
        <w:numPr>
          <w:ilvl w:val="0"/>
          <w:numId w:val="16"/>
        </w:numPr>
        <w:tabs>
          <w:tab w:val="clear" w:pos="432"/>
          <w:tab w:val="left" w:pos="1008"/>
        </w:tabs>
        <w:spacing w:before="5"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parking lots that occupy more than 15% of the open space;</w:t>
      </w:r>
    </w:p>
    <w:p>
      <w:pPr>
        <w:pageBreakBefore w:val="false"/>
        <w:numPr>
          <w:ilvl w:val="0"/>
          <w:numId w:val="16"/>
        </w:numPr>
        <w:tabs>
          <w:tab w:val="clear" w:pos="432"/>
          <w:tab w:val="left" w:pos="1008"/>
        </w:tabs>
        <w:spacing w:before="0" w:after="0" w:line="201"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dwellings;</w:t>
      </w:r>
    </w:p>
    <w:p>
      <w:pPr>
        <w:pageBreakBefore w:val="false"/>
        <w:numPr>
          <w:ilvl w:val="0"/>
          <w:numId w:val="16"/>
        </w:numPr>
        <w:tabs>
          <w:tab w:val="clear" w:pos="432"/>
          <w:tab w:val="left" w:pos="1008"/>
        </w:tabs>
        <w:spacing w:before="0"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commercial uses; or</w:t>
      </w:r>
    </w:p>
    <w:p>
      <w:pPr>
        <w:pageBreakBefore w:val="false"/>
        <w:numPr>
          <w:ilvl w:val="0"/>
          <w:numId w:val="16"/>
        </w:numPr>
        <w:tabs>
          <w:tab w:val="clear" w:pos="432"/>
          <w:tab w:val="left" w:pos="1008"/>
        </w:tabs>
        <w:spacing w:before="0"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land set aside for use that solely benefits any one person or entity.</w:t>
      </w:r>
    </w:p>
    <w:p>
      <w:pPr>
        <w:pageBreakBefore w:val="false"/>
        <w:tabs>
          <w:tab w:val="left" w:leader="none" w:pos="576"/>
        </w:tabs>
        <w:spacing w:before="10" w:after="0" w:line="204" w:lineRule="exact"/>
        <w:ind w:right="288" w:left="72" w:firstLine="72"/>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The instrument for permanent protection shall include clear restrictions on the use of the open space. (Ord. 2022-32, 11/29/22)</w:t>
      </w:r>
    </w:p>
    <w:p>
      <w:pPr>
        <w:pageBreakBefore w:val="false"/>
        <w:spacing w:before="193"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35-5-12. Requirements for conservation easements.</w:t>
      </w:r>
    </w:p>
    <w:p>
      <w:pPr>
        <w:pageBreakBefore w:val="false"/>
        <w:tabs>
          <w:tab w:val="left" w:leader="none" w:pos="576"/>
        </w:tabs>
        <w:spacing w:before="0" w:after="0" w:line="196" w:lineRule="exact"/>
        <w:ind w:right="0" w:left="144"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(1)	</w:t>
      </w:r>
      <w:r>
        <w:rPr>
          <w:rFonts w:ascii="Ebrima" w:hAnsi="Ebrima" w:eastAsia="Ebrima"/>
          <w:strike w:val="false"/>
          <w:color w:val="000000"/>
          <w:spacing w:val="-2"/>
          <w:w w:val="100"/>
          <w:sz w:val="15"/>
          <w:vertAlign w:val="baseline"/>
          <w:lang w:val="en-US"/>
        </w:rPr>
        <w:t xml:space="preserve">A conservation easement shall:</w:t>
      </w:r>
    </w:p>
    <w:p>
      <w:pPr>
        <w:pageBreakBefore w:val="false"/>
        <w:tabs>
          <w:tab w:val="left" w:leader="none" w:pos="1008"/>
        </w:tabs>
        <w:spacing w:before="0"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w:t>
      </w:r>
      <w:r>
        <w:rPr>
          <w:rFonts w:ascii="Ebrima" w:hAnsi="Ebrima" w:eastAsia="Ebrima"/>
          <w:strike w:val="false"/>
          <w:color w:val="000000"/>
          <w:spacing w:val="0"/>
          <w:w w:val="100"/>
          <w:sz w:val="15"/>
          <w:vertAlign w:val="baseline"/>
          <w:lang w:val="en-US"/>
        </w:rPr>
        <w:t xml:space="preserve">delineate primary and secondary conservation areas;</w:t>
      </w:r>
    </w:p>
    <w:p>
      <w:pPr>
        <w:pageBreakBefore w:val="false"/>
        <w:tabs>
          <w:tab w:val="left" w:leader="none" w:pos="1008"/>
        </w:tabs>
        <w:spacing w:before="0" w:after="0" w:line="207" w:lineRule="exact"/>
        <w:ind w:right="72" w:left="43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	</w:t>
      </w:r>
      <w:r>
        <w:rPr>
          <w:rFonts w:ascii="Ebrima" w:hAnsi="Ebrima" w:eastAsia="Ebrima"/>
          <w:strike w:val="false"/>
          <w:color w:val="000000"/>
          <w:spacing w:val="0"/>
          <w:w w:val="100"/>
          <w:sz w:val="15"/>
          <w:vertAlign w:val="baseline"/>
          <w:lang w:val="en-US"/>
        </w:rPr>
        <w:t xml:space="preserve">describe the features of the subject property that will be permanently protected per the Utah Land Conservation Easement Act;</w:t>
      </w:r>
    </w:p>
    <w:p>
      <w:pPr>
        <w:pageBreakBefore w:val="false"/>
        <w:tabs>
          <w:tab w:val="left" w:leader="none" w:pos="1008"/>
        </w:tabs>
        <w:spacing w:before="0" w:after="0" w:line="199"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	</w:t>
      </w:r>
      <w:r>
        <w:rPr>
          <w:rFonts w:ascii="Ebrima" w:hAnsi="Ebrima" w:eastAsia="Ebrima"/>
          <w:strike w:val="false"/>
          <w:color w:val="000000"/>
          <w:spacing w:val="0"/>
          <w:w w:val="100"/>
          <w:sz w:val="15"/>
          <w:vertAlign w:val="baseline"/>
          <w:lang w:val="en-US"/>
        </w:rPr>
        <w:t xml:space="preserve">identify the boundaries of the property by survey and a metes and bounds legal description;</w:t>
      </w:r>
    </w:p>
    <w:p>
      <w:pPr>
        <w:pageBreakBefore w:val="false"/>
        <w:tabs>
          <w:tab w:val="left" w:leader="none" w:pos="1008"/>
        </w:tabs>
        <w:spacing w:before="0" w:after="0" w:line="204" w:lineRule="exact"/>
        <w:ind w:right="0" w:left="576"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(d)	</w:t>
      </w:r>
      <w:r>
        <w:rPr>
          <w:rFonts w:ascii="Ebrima" w:hAnsi="Ebrima" w:eastAsia="Ebrima"/>
          <w:strike w:val="false"/>
          <w:color w:val="000000"/>
          <w:spacing w:val="-2"/>
          <w:w w:val="100"/>
          <w:sz w:val="15"/>
          <w:vertAlign w:val="baseline"/>
          <w:lang w:val="en-US"/>
        </w:rPr>
        <w:t xml:space="preserve">list restrictions;</w:t>
      </w:r>
    </w:p>
    <w:p>
      <w:pPr>
        <w:pageBreakBefore w:val="false"/>
        <w:tabs>
          <w:tab w:val="left" w:leader="none" w:pos="1008"/>
        </w:tabs>
        <w:spacing w:before="5" w:after="0" w:line="204" w:lineRule="exact"/>
        <w:ind w:right="288" w:left="43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	</w:t>
      </w:r>
      <w:r>
        <w:rPr>
          <w:rFonts w:ascii="Ebrima" w:hAnsi="Ebrima" w:eastAsia="Ebrima"/>
          <w:strike w:val="false"/>
          <w:color w:val="000000"/>
          <w:spacing w:val="0"/>
          <w:w w:val="100"/>
          <w:sz w:val="15"/>
          <w:vertAlign w:val="baseline"/>
          <w:lang w:val="en-US"/>
        </w:rPr>
        <w:t xml:space="preserve">protect the open space in perpetuity by a binding legal instrument to be recorded, which instrument shall be:</w:t>
      </w:r>
    </w:p>
    <w:p>
      <w:pPr>
        <w:pageBreakBefore w:val="false"/>
        <w:tabs>
          <w:tab w:val="left" w:leader="none" w:pos="1368"/>
        </w:tabs>
        <w:spacing w:before="0" w:after="0" w:line="204" w:lineRule="exact"/>
        <w:ind w:right="0" w:left="1008"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	</w:t>
      </w:r>
      <w:r>
        <w:rPr>
          <w:rFonts w:ascii="Ebrima" w:hAnsi="Ebrima" w:eastAsia="Ebrima"/>
          <w:strike w:val="false"/>
          <w:color w:val="000000"/>
          <w:spacing w:val="0"/>
          <w:w w:val="100"/>
          <w:sz w:val="15"/>
          <w:vertAlign w:val="baseline"/>
          <w:lang w:val="en-US"/>
        </w:rPr>
        <w:t xml:space="preserve">a permanent conservation easement in favor of either:</w:t>
      </w:r>
    </w:p>
    <w:p>
      <w:pPr>
        <w:pageBreakBefore w:val="false"/>
        <w:numPr>
          <w:ilvl w:val="0"/>
          <w:numId w:val="17"/>
        </w:numPr>
        <w:tabs>
          <w:tab w:val="clear" w:pos="360"/>
          <w:tab w:val="left" w:pos="1800"/>
        </w:tabs>
        <w:spacing w:before="5" w:after="0" w:line="204" w:lineRule="exact"/>
        <w:ind w:right="72" w:left="1296"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a land trust or similar conservation-oriented non-profit organization with legal authority to accept such easements. The organization shall be bona fide and in perpetual existence, and the conveyance instruments shall contain an appropriate provision for retransfer in the event the organization becomes unable to carry out its functions; or</w:t>
      </w:r>
    </w:p>
    <w:p>
      <w:pPr>
        <w:pageBreakBefore w:val="false"/>
        <w:numPr>
          <w:ilvl w:val="0"/>
          <w:numId w:val="17"/>
        </w:numPr>
        <w:tabs>
          <w:tab w:val="clear" w:pos="360"/>
          <w:tab w:val="left" w:pos="1800"/>
        </w:tabs>
        <w:spacing w:before="0" w:after="0" w:line="204" w:lineRule="exact"/>
        <w:ind w:right="72" w:left="1296"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governmental entity with interest in pursuing goals compatible with the purposes of this chapter;</w:t>
      </w:r>
    </w:p>
    <w:p>
      <w:pPr>
        <w:pageBreakBefore w:val="false"/>
        <w:tabs>
          <w:tab w:val="left" w:leader="none" w:pos="1368"/>
        </w:tabs>
        <w:spacing w:before="5" w:after="0" w:line="204" w:lineRule="exact"/>
        <w:ind w:right="72" w:left="86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(ii)	</w:t>
      </w:r>
      <w:r>
        <w:rPr>
          <w:rFonts w:ascii="Ebrima" w:hAnsi="Ebrima" w:eastAsia="Ebrima"/>
          <w:strike w:val="false"/>
          <w:color w:val="000000"/>
          <w:spacing w:val="0"/>
          <w:w w:val="100"/>
          <w:sz w:val="15"/>
          <w:vertAlign w:val="baseline"/>
          <w:lang w:val="en-US"/>
        </w:rPr>
        <w:t xml:space="preserve">a permanent restrictive covenant for conservation purposes in favor of a governmental entity; or</w:t>
      </w:r>
    </w:p>
    <w:p>
      <w:pPr>
        <w:pageBreakBefore w:val="false"/>
        <w:spacing w:before="0" w:after="0" w:line="204" w:lineRule="exact"/>
        <w:ind w:right="72" w:left="86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(iii) an equivalent legal tool that provides permanent protection, if approved by the Community Development Department;</w:t>
      </w:r>
    </w:p>
    <w:p>
      <w:pPr>
        <w:pageBreakBefore w:val="false"/>
        <w:tabs>
          <w:tab w:val="left" w:leader="none" w:pos="1008"/>
        </w:tabs>
        <w:spacing w:before="0" w:after="0" w:line="204" w:lineRule="exact"/>
        <w:ind w:right="72" w:left="43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(f)	</w:t>
      </w:r>
      <w:r>
        <w:rPr>
          <w:rFonts w:ascii="Ebrima" w:hAnsi="Ebrima" w:eastAsia="Ebrima"/>
          <w:strike w:val="false"/>
          <w:color w:val="000000"/>
          <w:spacing w:val="0"/>
          <w:w w:val="100"/>
          <w:sz w:val="15"/>
          <w:vertAlign w:val="baseline"/>
          <w:lang w:val="en-US"/>
        </w:rPr>
        <w:t xml:space="preserve">show the area and a notation as to the conservation easement on the final plat and be duly recorded with the County Recorder; and</w:t>
      </w:r>
    </w:p>
    <w:p>
      <w:pPr>
        <w:pageBreakBefore w:val="false"/>
        <w:tabs>
          <w:tab w:val="left" w:leader="none" w:pos="1008"/>
        </w:tabs>
        <w:spacing w:before="4" w:after="0" w:line="204" w:lineRule="exact"/>
        <w:ind w:right="72" w:left="43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(g)	</w:t>
      </w:r>
      <w:r>
        <w:rPr>
          <w:rFonts w:ascii="Ebrima" w:hAnsi="Ebrima" w:eastAsia="Ebrima"/>
          <w:strike w:val="false"/>
          <w:color w:val="000000"/>
          <w:spacing w:val="0"/>
          <w:w w:val="100"/>
          <w:sz w:val="15"/>
          <w:vertAlign w:val="baseline"/>
          <w:lang w:val="en-US"/>
        </w:rPr>
        <w:t xml:space="preserve">provide for amendments only with the express written permission of the property owners, the holder of the easement, and the County Council.</w:t>
      </w:r>
    </w:p>
    <w:p>
      <w:pPr>
        <w:pageBreakBefore w:val="false"/>
        <w:tabs>
          <w:tab w:val="left" w:leader="none" w:pos="576"/>
        </w:tabs>
        <w:spacing w:before="0" w:after="0" w:line="202" w:lineRule="exact"/>
        <w:ind w:right="0" w:left="14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(2)	</w:t>
      </w:r>
      <w:r>
        <w:rPr>
          <w:rFonts w:ascii="Ebrima" w:hAnsi="Ebrima" w:eastAsia="Ebrima"/>
          <w:strike w:val="false"/>
          <w:color w:val="000000"/>
          <w:spacing w:val="-1"/>
          <w:w w:val="100"/>
          <w:sz w:val="15"/>
          <w:vertAlign w:val="baseline"/>
          <w:lang w:val="en-US"/>
        </w:rPr>
        <w:t xml:space="preserve">The permanent restrictive covenants shall:</w:t>
      </w:r>
    </w:p>
    <w:p>
      <w:pPr>
        <w:pageBreakBefore w:val="false"/>
        <w:numPr>
          <w:ilvl w:val="0"/>
          <w:numId w:val="18"/>
        </w:numPr>
        <w:tabs>
          <w:tab w:val="clear" w:pos="432"/>
          <w:tab w:val="left" w:pos="1008"/>
        </w:tabs>
        <w:spacing w:before="0" w:after="0" w:line="202"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delineate the primary and secondary conservation areas;</w:t>
      </w:r>
    </w:p>
    <w:p>
      <w:pPr>
        <w:pageBreakBefore w:val="false"/>
        <w:numPr>
          <w:ilvl w:val="0"/>
          <w:numId w:val="18"/>
        </w:numPr>
        <w:tabs>
          <w:tab w:val="clear" w:pos="432"/>
          <w:tab w:val="left" w:pos="1008"/>
        </w:tabs>
        <w:spacing w:before="0" w:after="0" w:line="201"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describe the features of the subject property that will be permanently protected;</w:t>
      </w:r>
    </w:p>
    <w:p>
      <w:pPr>
        <w:pageBreakBefore w:val="false"/>
        <w:tabs>
          <w:tab w:val="right" w:leader="none" w:pos="7128"/>
        </w:tabs>
        <w:spacing w:before="392"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35-16</w:t>
      </w:r>
    </w:p>
    <w:p>
      <w:pPr>
        <w:sectPr>
          <w:type w:val="nextPage"/>
          <w:pgSz w:w="12240" w:h="15840" w:orient="portrait"/>
          <w:pgMar w:bottom="1544" w:top="1940" w:right="4024" w:left="1016"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9" coordsize="21600,21600" o:spt="202" path="m,l,21600r21600,l21600,xe">
            <v:stroke joinstyle="miter"/>
            <v:path gradientshapeok="t" o:connecttype="rect"/>
          </v:shapetype>
          <v:shape id="_x0000_s8" type="#_x0000_t9" fillcolor="#F1F1F1" stroked="f" style="position:absolute;width:193.9pt;height:596.6pt;z-index:-992;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19"/>
        </w:numPr>
        <w:tabs>
          <w:tab w:val="clear" w:pos="432"/>
          <w:tab w:val="left" w:pos="1008"/>
        </w:tabs>
        <w:spacing w:before="400" w:after="0" w:line="205"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identify the boundaries of the property by survey and a metes and bounds legal description;</w:t>
      </w:r>
    </w:p>
    <w:p>
      <w:pPr>
        <w:pageBreakBefore w:val="false"/>
        <w:numPr>
          <w:ilvl w:val="0"/>
          <w:numId w:val="19"/>
        </w:numPr>
        <w:tabs>
          <w:tab w:val="clear" w:pos="432"/>
          <w:tab w:val="left" w:pos="1008"/>
        </w:tabs>
        <w:spacing w:before="0" w:after="0" w:line="199"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list restrictions;</w:t>
      </w:r>
    </w:p>
    <w:p>
      <w:pPr>
        <w:pageBreakBefore w:val="false"/>
        <w:numPr>
          <w:ilvl w:val="0"/>
          <w:numId w:val="19"/>
        </w:numPr>
        <w:tabs>
          <w:tab w:val="clear" w:pos="432"/>
          <w:tab w:val="left" w:pos="1008"/>
        </w:tabs>
        <w:spacing w:before="4" w:after="0" w:line="205"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provide for the maintenance of the property;</w:t>
      </w:r>
    </w:p>
    <w:p>
      <w:pPr>
        <w:pageBreakBefore w:val="false"/>
        <w:numPr>
          <w:ilvl w:val="0"/>
          <w:numId w:val="19"/>
        </w:numPr>
        <w:tabs>
          <w:tab w:val="clear" w:pos="432"/>
          <w:tab w:val="left" w:pos="1008"/>
        </w:tabs>
        <w:spacing w:before="2" w:after="0" w:line="205"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be shown on the final plat and duly recorded with the County Recorder; and</w:t>
      </w:r>
    </w:p>
    <w:p>
      <w:pPr>
        <w:pageBreakBefore w:val="false"/>
        <w:numPr>
          <w:ilvl w:val="0"/>
          <w:numId w:val="19"/>
        </w:numPr>
        <w:tabs>
          <w:tab w:val="clear" w:pos="432"/>
          <w:tab w:val="left" w:pos="1008"/>
        </w:tabs>
        <w:spacing w:before="0" w:after="0" w:line="204" w:lineRule="exact"/>
        <w:ind w:right="72" w:left="57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provide for amendments only with the express written permission of the property owners and the County Council, which amendments to the covenant shall be recorded in the office of the County Recorder. (Ord. 2022-32, 11/29/22)</w:t>
      </w:r>
    </w:p>
    <w:p>
      <w:pPr>
        <w:pageBreakBefore w:val="false"/>
        <w:spacing w:before="407" w:after="0" w:line="192" w:lineRule="exact"/>
        <w:ind w:right="0" w:left="72" w:firstLine="0"/>
        <w:jc w:val="center"/>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PART 35-6</w:t>
      </w:r>
    </w:p>
    <w:p>
      <w:pPr>
        <w:pageBreakBefore w:val="false"/>
        <w:spacing w:before="0" w:after="0" w:line="192" w:lineRule="exact"/>
        <w:ind w:right="0" w:left="72" w:firstLine="0"/>
        <w:jc w:val="center"/>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DESIGN STANDARDS</w:t>
      </w:r>
    </w:p>
    <w:p>
      <w:pPr>
        <w:pageBreakBefore w:val="false"/>
        <w:spacing w:before="192" w:after="0" w:line="192" w:lineRule="exact"/>
        <w:ind w:right="0" w:left="72" w:firstLine="0"/>
        <w:jc w:val="left"/>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Section</w:t>
      </w:r>
    </w:p>
    <w:p>
      <w:pPr>
        <w:pageBreakBefore w:val="false"/>
        <w:tabs>
          <w:tab w:val="left" w:leader="none" w:pos="792"/>
        </w:tabs>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35-6-1.	</w:t>
      </w:r>
      <w:r>
        <w:rPr>
          <w:rFonts w:ascii="Ebrima" w:hAnsi="Ebrima" w:eastAsia="Ebrima"/>
          <w:b w:val="true"/>
          <w:strike w:val="false"/>
          <w:color w:val="000000"/>
          <w:spacing w:val="-2"/>
          <w:w w:val="100"/>
          <w:sz w:val="16"/>
          <w:vertAlign w:val="baseline"/>
          <w:lang w:val="en-US"/>
        </w:rPr>
        <w:t xml:space="preserve">Application.</w:t>
      </w:r>
    </w:p>
    <w:p>
      <w:pPr>
        <w:pageBreakBefore w:val="false"/>
        <w:tabs>
          <w:tab w:val="left" w:leader="none" w:pos="792"/>
        </w:tabs>
        <w:spacing w:before="0" w:after="0" w:line="192"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35-6-2.	</w:t>
      </w:r>
      <w:r>
        <w:rPr>
          <w:rFonts w:ascii="Ebrima" w:hAnsi="Ebrima" w:eastAsia="Ebrima"/>
          <w:b w:val="true"/>
          <w:strike w:val="false"/>
          <w:color w:val="000000"/>
          <w:spacing w:val="-1"/>
          <w:w w:val="100"/>
          <w:sz w:val="16"/>
          <w:vertAlign w:val="baseline"/>
          <w:lang w:val="en-US"/>
        </w:rPr>
        <w:t xml:space="preserve">Lots.</w:t>
      </w:r>
    </w:p>
    <w:p>
      <w:pPr>
        <w:pageBreakBefore w:val="false"/>
        <w:tabs>
          <w:tab w:val="left" w:leader="none" w:pos="792"/>
        </w:tabs>
        <w:spacing w:before="0" w:after="0" w:line="192"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35-6-3.	</w:t>
      </w:r>
      <w:r>
        <w:rPr>
          <w:rFonts w:ascii="Ebrima" w:hAnsi="Ebrima" w:eastAsia="Ebrima"/>
          <w:b w:val="true"/>
          <w:strike w:val="false"/>
          <w:color w:val="000000"/>
          <w:spacing w:val="-1"/>
          <w:w w:val="100"/>
          <w:sz w:val="16"/>
          <w:vertAlign w:val="baseline"/>
          <w:lang w:val="en-US"/>
        </w:rPr>
        <w:t xml:space="preserve">Roads.</w:t>
      </w:r>
    </w:p>
    <w:p>
      <w:pPr>
        <w:pageBreakBefore w:val="false"/>
        <w:tabs>
          <w:tab w:val="left" w:leader="none" w:pos="792"/>
        </w:tabs>
        <w:spacing w:before="0"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35-6-4.	</w:t>
      </w:r>
      <w:r>
        <w:rPr>
          <w:rFonts w:ascii="Ebrima" w:hAnsi="Ebrima" w:eastAsia="Ebrima"/>
          <w:b w:val="true"/>
          <w:strike w:val="false"/>
          <w:color w:val="000000"/>
          <w:spacing w:val="-3"/>
          <w:w w:val="100"/>
          <w:sz w:val="16"/>
          <w:vertAlign w:val="baseline"/>
          <w:lang w:val="en-US"/>
        </w:rPr>
        <w:t xml:space="preserve">Frontage on arterial and collector roads.</w:t>
      </w:r>
    </w:p>
    <w:p>
      <w:pPr>
        <w:pageBreakBefore w:val="false"/>
        <w:tabs>
          <w:tab w:val="left" w:leader="none" w:pos="792"/>
        </w:tabs>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35-6-5.	</w:t>
      </w:r>
      <w:r>
        <w:rPr>
          <w:rFonts w:ascii="Ebrima" w:hAnsi="Ebrima" w:eastAsia="Ebrima"/>
          <w:b w:val="true"/>
          <w:strike w:val="false"/>
          <w:color w:val="000000"/>
          <w:spacing w:val="-2"/>
          <w:w w:val="100"/>
          <w:sz w:val="16"/>
          <w:vertAlign w:val="baseline"/>
          <w:lang w:val="en-US"/>
        </w:rPr>
        <w:t xml:space="preserve">Sidewalks, curbs, and gutters.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35-6-6. Monuments.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5"/>
          <w:w w:val="100"/>
          <w:sz w:val="16"/>
          <w:vertAlign w:val="baseline"/>
          <w:lang w:val="en-US"/>
        </w:rPr>
      </w:pPr>
      <w:r>
        <w:rPr>
          <w:rFonts w:ascii="Ebrima" w:hAnsi="Ebrima" w:eastAsia="Ebrima"/>
          <w:b w:val="true"/>
          <w:strike w:val="false"/>
          <w:color w:val="000000"/>
          <w:spacing w:val="5"/>
          <w:w w:val="100"/>
          <w:sz w:val="16"/>
          <w:vertAlign w:val="baseline"/>
          <w:lang w:val="en-US"/>
        </w:rPr>
        <w:t xml:space="preserve">35-6-7. Easements.</w:t>
      </w:r>
    </w:p>
    <w:p>
      <w:pPr>
        <w:pageBreakBefore w:val="false"/>
        <w:tabs>
          <w:tab w:val="left" w:leader="none" w:pos="792"/>
        </w:tabs>
        <w:spacing w:before="0"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35-6-8.	</w:t>
      </w:r>
      <w:r>
        <w:rPr>
          <w:rFonts w:ascii="Ebrima" w:hAnsi="Ebrima" w:eastAsia="Ebrima"/>
          <w:b w:val="true"/>
          <w:strike w:val="false"/>
          <w:color w:val="000000"/>
          <w:spacing w:val="-3"/>
          <w:w w:val="100"/>
          <w:sz w:val="16"/>
          <w:vertAlign w:val="baseline"/>
          <w:lang w:val="en-US"/>
        </w:rPr>
        <w:t xml:space="preserve">Utilities to be underground.</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35-6-9. Sewer systems.</w:t>
      </w:r>
    </w:p>
    <w:p>
      <w:pPr>
        <w:pageBreakBefore w:val="false"/>
        <w:spacing w:before="4"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35-6-10. Sanitary sewer mains, laterals, and house connections – Future.</w:t>
      </w:r>
    </w:p>
    <w:p>
      <w:pPr>
        <w:pageBreakBefore w:val="false"/>
        <w:spacing w:before="0" w:after="0" w:line="188"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35-6-11. Water supply.</w:t>
      </w:r>
    </w:p>
    <w:p>
      <w:pPr>
        <w:pageBreakBefore w:val="false"/>
        <w:spacing w:before="5"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35-6-12. Storm drainage and floodplains.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35-6-13. Fire mitigation standards.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35-6-14. Street connectivity requirements.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35-6-15. Master planned and off-street trails.</w:t>
      </w:r>
    </w:p>
    <w:p>
      <w:pPr>
        <w:pageBreakBefore w:val="false"/>
        <w:spacing w:before="192" w:after="0" w:line="190"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35-6-1. Application.</w:t>
      </w:r>
    </w:p>
    <w:p>
      <w:pPr>
        <w:pageBreakBefore w:val="false"/>
        <w:numPr>
          <w:ilvl w:val="0"/>
          <w:numId w:val="20"/>
        </w:numPr>
        <w:tabs>
          <w:tab w:val="clear" w:pos="360"/>
          <w:tab w:val="left" w:pos="576"/>
        </w:tabs>
        <w:spacing w:before="0" w:after="0" w:line="195"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new subdivisions shall comply with the design standards outlined in this chapter.</w:t>
      </w:r>
    </w:p>
    <w:p>
      <w:pPr>
        <w:pageBreakBefore w:val="false"/>
        <w:numPr>
          <w:ilvl w:val="0"/>
          <w:numId w:val="20"/>
        </w:numPr>
        <w:tabs>
          <w:tab w:val="clear" w:pos="360"/>
          <w:tab w:val="left" w:pos="576"/>
        </w:tabs>
        <w:spacing w:before="3" w:after="0" w:line="205" w:lineRule="exact"/>
        <w:ind w:right="72"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design and development of subdivisions shall preserve, when possible, the natural terrain, natural drainage, existing topsoil, and trees.</w:t>
      </w:r>
    </w:p>
    <w:p>
      <w:pPr>
        <w:pageBreakBefore w:val="false"/>
        <w:numPr>
          <w:ilvl w:val="0"/>
          <w:numId w:val="20"/>
        </w:numPr>
        <w:tabs>
          <w:tab w:val="clear" w:pos="360"/>
          <w:tab w:val="left" w:pos="576"/>
        </w:tabs>
        <w:spacing w:before="2" w:after="0" w:line="205" w:lineRule="exact"/>
        <w:ind w:right="216"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Land subject to hazardous conditions shall not be subdivided until the hazards have been eliminated or will be eliminated by the construction of the subdivision. (Ord. 2022-32, 11/29/22)</w:t>
      </w:r>
    </w:p>
    <w:p>
      <w:pPr>
        <w:pageBreakBefore w:val="false"/>
        <w:spacing w:before="206"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35-6-2. Lots.</w:t>
      </w:r>
    </w:p>
    <w:p>
      <w:pPr>
        <w:pageBreakBefore w:val="false"/>
        <w:numPr>
          <w:ilvl w:val="0"/>
          <w:numId w:val="21"/>
        </w:numPr>
        <w:tabs>
          <w:tab w:val="clear" w:pos="360"/>
          <w:tab w:val="left" w:pos="576"/>
        </w:tabs>
        <w:spacing w:before="0" w:after="0" w:line="203" w:lineRule="exact"/>
        <w:ind w:right="72"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No single lot shall be divided by a municipality, service or improvement district, or county boundary line.</w:t>
      </w:r>
    </w:p>
    <w:p>
      <w:pPr>
        <w:pageBreakBefore w:val="false"/>
        <w:numPr>
          <w:ilvl w:val="0"/>
          <w:numId w:val="21"/>
        </w:numPr>
        <w:tabs>
          <w:tab w:val="clear" w:pos="360"/>
          <w:tab w:val="left" w:pos="576"/>
        </w:tabs>
        <w:spacing w:before="0" w:after="0" w:line="204"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lot shall not be divided by a road or another lot.</w:t>
      </w:r>
    </w:p>
    <w:p>
      <w:pPr>
        <w:pageBreakBefore w:val="false"/>
        <w:numPr>
          <w:ilvl w:val="0"/>
          <w:numId w:val="21"/>
        </w:numPr>
        <w:tabs>
          <w:tab w:val="clear" w:pos="360"/>
          <w:tab w:val="left" w:pos="576"/>
        </w:tabs>
        <w:spacing w:before="3" w:after="0" w:line="205" w:lineRule="exact"/>
        <w:ind w:right="72"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frontage of a wedge-shaped lot shall meet the minimum width requirements of the underlying zoning district at the front setback.</w:t>
      </w:r>
    </w:p>
    <w:p>
      <w:pPr>
        <w:pageBreakBefore w:val="false"/>
        <w:numPr>
          <w:ilvl w:val="0"/>
          <w:numId w:val="21"/>
        </w:numPr>
        <w:tabs>
          <w:tab w:val="clear" w:pos="360"/>
          <w:tab w:val="left" w:pos="576"/>
        </w:tabs>
        <w:spacing w:before="0" w:after="0" w:line="197"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Side lot lines shall be at substantially right angles or radial to road lines.</w:t>
      </w:r>
    </w:p>
    <w:p>
      <w:pPr>
        <w:pageBreakBefore w:val="false"/>
        <w:numPr>
          <w:ilvl w:val="0"/>
          <w:numId w:val="21"/>
        </w:numPr>
        <w:tabs>
          <w:tab w:val="clear" w:pos="360"/>
          <w:tab w:val="left" w:pos="576"/>
        </w:tabs>
        <w:spacing w:before="4" w:after="0" w:line="205" w:lineRule="exact"/>
        <w:ind w:right="72"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lots shall front on a publicly dedicated road except as may be approved by development agreement or upon private roads approved by the Planning Commission, subject to the standards set by the county.</w:t>
      </w:r>
    </w:p>
    <w:p>
      <w:pPr>
        <w:pageBreakBefore w:val="false"/>
        <w:tabs>
          <w:tab w:val="right" w:leader="none" w:pos="7128"/>
        </w:tabs>
        <w:spacing w:before="440"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35-17</w:t>
      </w:r>
    </w:p>
    <w:p>
      <w:pPr>
        <w:sectPr>
          <w:type w:val="nextPage"/>
          <w:pgSz w:w="12240" w:h="15840" w:orient="portrait"/>
          <w:pgMar w:bottom="1544" w:top="1940" w:right="4029" w:left="1011"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10" coordsize="21600,21600" o:spt="202" path="m,l,21600r21600,l21600,xe">
            <v:stroke joinstyle="miter"/>
            <v:path gradientshapeok="t" o:connecttype="rect"/>
          </v:shapetype>
          <v:shape id="_x0000_s9" type="#_x0000_t10" fillcolor="#F1F1F1" stroked="f" style="position:absolute;width:193.9pt;height:596.6pt;z-index:-991;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22"/>
        </w:numPr>
        <w:tabs>
          <w:tab w:val="clear" w:pos="504"/>
          <w:tab w:val="left" w:pos="648"/>
        </w:tabs>
        <w:spacing w:before="401" w:after="0" w:line="204" w:lineRule="exact"/>
        <w:ind w:right="0" w:left="144"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lots shall conform to area requirements of the zoning district in which they are located.</w:t>
      </w:r>
    </w:p>
    <w:p>
      <w:pPr>
        <w:pageBreakBefore w:val="false"/>
        <w:numPr>
          <w:ilvl w:val="0"/>
          <w:numId w:val="22"/>
        </w:numPr>
        <w:tabs>
          <w:tab w:val="clear" w:pos="504"/>
          <w:tab w:val="left" w:pos="648"/>
        </w:tabs>
        <w:spacing w:before="5" w:after="0" w:line="204" w:lineRule="exact"/>
        <w:ind w:right="72" w:left="144"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joining of a lot or lots to a parcel does not constitute a subdivision or subject the parcel to the requirements of this chapter.</w:t>
      </w:r>
    </w:p>
    <w:p>
      <w:pPr>
        <w:pageBreakBefore w:val="false"/>
        <w:numPr>
          <w:ilvl w:val="0"/>
          <w:numId w:val="22"/>
        </w:numPr>
        <w:tabs>
          <w:tab w:val="clear" w:pos="504"/>
          <w:tab w:val="left" w:pos="648"/>
        </w:tabs>
        <w:spacing w:before="2" w:after="0" w:line="204" w:lineRule="exact"/>
        <w:ind w:right="72" w:left="144"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Consolidating lots does not require an amended subdivision plat so long as the consolidated lot complies with all county ordinances. The new consolidated lot shall be surveyed, and a new legal description shall be recorded. (Ord. 2022-32, 11/29/22)</w:t>
      </w:r>
    </w:p>
    <w:p>
      <w:pPr>
        <w:pageBreakBefore w:val="false"/>
        <w:spacing w:before="198" w:after="0" w:line="205" w:lineRule="exact"/>
        <w:ind w:right="0" w:left="144" w:firstLine="0"/>
        <w:jc w:val="left"/>
        <w:textAlignment w:val="baseline"/>
        <w:rPr>
          <w:rFonts w:ascii="Ebrima" w:hAnsi="Ebrima" w:eastAsia="Ebrima"/>
          <w:b w:val="true"/>
          <w:strike w:val="false"/>
          <w:color w:val="000000"/>
          <w:spacing w:val="-7"/>
          <w:w w:val="100"/>
          <w:sz w:val="16"/>
          <w:vertAlign w:val="baseline"/>
          <w:lang w:val="en-US"/>
        </w:rPr>
      </w:pPr>
      <w:r>
        <w:rPr>
          <w:rFonts w:ascii="Ebrima" w:hAnsi="Ebrima" w:eastAsia="Ebrima"/>
          <w:b w:val="true"/>
          <w:strike w:val="false"/>
          <w:color w:val="000000"/>
          <w:spacing w:val="-7"/>
          <w:w w:val="100"/>
          <w:sz w:val="16"/>
          <w:vertAlign w:val="baseline"/>
          <w:lang w:val="en-US"/>
        </w:rPr>
        <w:t xml:space="preserve">35-6-3. Roads.</w:t>
      </w:r>
    </w:p>
    <w:p>
      <w:pPr>
        <w:pageBreakBefore w:val="false"/>
        <w:tabs>
          <w:tab w:val="left" w:leader="none" w:pos="576"/>
        </w:tabs>
        <w:spacing w:before="0" w:after="0" w:line="197" w:lineRule="exact"/>
        <w:ind w:right="0" w:left="14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(1)	</w:t>
      </w:r>
      <w:r>
        <w:rPr>
          <w:rFonts w:ascii="Ebrima" w:hAnsi="Ebrima" w:eastAsia="Ebrima"/>
          <w:strike w:val="false"/>
          <w:color w:val="000000"/>
          <w:spacing w:val="-1"/>
          <w:w w:val="100"/>
          <w:sz w:val="15"/>
          <w:vertAlign w:val="baseline"/>
          <w:lang w:val="en-US"/>
        </w:rPr>
        <w:t xml:space="preserve">Roads shall be designed per standards adopted by the county.</w:t>
      </w:r>
    </w:p>
    <w:p>
      <w:pPr>
        <w:pageBreakBefore w:val="false"/>
        <w:tabs>
          <w:tab w:val="left" w:leader="none" w:pos="576"/>
        </w:tabs>
        <w:spacing w:before="5" w:after="0" w:line="204" w:lineRule="exact"/>
        <w:ind w:right="72" w:left="144"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Roads shall bear the names of existing aligned roads. There shall be no duplication of road names. The Community Development Department shall approve all road names.</w:t>
      </w:r>
    </w:p>
    <w:p>
      <w:pPr>
        <w:pageBreakBefore w:val="false"/>
        <w:tabs>
          <w:tab w:val="left" w:leader="none" w:pos="576"/>
        </w:tabs>
        <w:spacing w:before="0" w:after="0" w:line="202" w:lineRule="exact"/>
        <w:ind w:right="0" w:left="14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(3)	</w:t>
      </w:r>
      <w:r>
        <w:rPr>
          <w:rFonts w:ascii="Ebrima" w:hAnsi="Ebrima" w:eastAsia="Ebrima"/>
          <w:strike w:val="false"/>
          <w:color w:val="000000"/>
          <w:spacing w:val="-1"/>
          <w:w w:val="100"/>
          <w:sz w:val="15"/>
          <w:vertAlign w:val="baseline"/>
          <w:lang w:val="en-US"/>
        </w:rPr>
        <w:t xml:space="preserve">The applicant shall bear the cost of all road and public safety signs.</w:t>
      </w:r>
    </w:p>
    <w:p>
      <w:pPr>
        <w:pageBreakBefore w:val="false"/>
        <w:tabs>
          <w:tab w:val="left" w:leader="none" w:pos="576"/>
        </w:tabs>
        <w:spacing w:before="0" w:after="0" w:line="201" w:lineRule="exact"/>
        <w:ind w:right="0" w:left="14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(4)	</w:t>
      </w:r>
      <w:r>
        <w:rPr>
          <w:rFonts w:ascii="Ebrima" w:hAnsi="Ebrima" w:eastAsia="Ebrima"/>
          <w:strike w:val="false"/>
          <w:color w:val="000000"/>
          <w:spacing w:val="-1"/>
          <w:w w:val="100"/>
          <w:sz w:val="15"/>
          <w:vertAlign w:val="baseline"/>
          <w:lang w:val="en-US"/>
        </w:rPr>
        <w:t xml:space="preserve">The applicant shall install temporary, legible road signs using the road names approved in the plat.</w:t>
      </w:r>
    </w:p>
    <w:p>
      <w:pPr>
        <w:pageBreakBefore w:val="false"/>
        <w:tabs>
          <w:tab w:val="left" w:leader="none" w:pos="576"/>
        </w:tabs>
        <w:spacing w:before="3" w:after="0" w:line="204" w:lineRule="exact"/>
        <w:ind w:right="0" w:left="14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(5)	</w:t>
      </w:r>
      <w:r>
        <w:rPr>
          <w:rFonts w:ascii="Ebrima" w:hAnsi="Ebrima" w:eastAsia="Ebrima"/>
          <w:strike w:val="false"/>
          <w:color w:val="000000"/>
          <w:spacing w:val="-1"/>
          <w:w w:val="100"/>
          <w:sz w:val="15"/>
          <w:vertAlign w:val="baseline"/>
          <w:lang w:val="en-US"/>
        </w:rPr>
        <w:t xml:space="preserve">Temporary road signs shall be maintained by the applicant until permanent road signs are installed.</w:t>
      </w:r>
    </w:p>
    <w:p>
      <w:pPr>
        <w:pageBreakBefore w:val="false"/>
        <w:tabs>
          <w:tab w:val="left" w:leader="none" w:pos="576"/>
        </w:tabs>
        <w:spacing w:before="0" w:after="0" w:line="201" w:lineRule="exact"/>
        <w:ind w:right="0" w:left="14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(6)	</w:t>
      </w:r>
      <w:r>
        <w:rPr>
          <w:rFonts w:ascii="Ebrima" w:hAnsi="Ebrima" w:eastAsia="Ebrima"/>
          <w:strike w:val="false"/>
          <w:color w:val="000000"/>
          <w:spacing w:val="-1"/>
          <w:w w:val="100"/>
          <w:sz w:val="15"/>
          <w:vertAlign w:val="baseline"/>
          <w:lang w:val="en-US"/>
        </w:rPr>
        <w:t xml:space="preserve">Dead-end stubbed roads shall be allowed only with the following conditions:</w:t>
      </w:r>
    </w:p>
    <w:p>
      <w:pPr>
        <w:pageBreakBefore w:val="false"/>
        <w:numPr>
          <w:ilvl w:val="0"/>
          <w:numId w:val="23"/>
        </w:numPr>
        <w:tabs>
          <w:tab w:val="clear" w:pos="360"/>
          <w:tab w:val="left" w:pos="1008"/>
        </w:tabs>
        <w:spacing w:before="6" w:after="0" w:line="204"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 “T,” or branch turnarounds shall not be allowed;</w:t>
      </w:r>
    </w:p>
    <w:p>
      <w:pPr>
        <w:pageBreakBefore w:val="false"/>
        <w:numPr>
          <w:ilvl w:val="0"/>
          <w:numId w:val="23"/>
        </w:numPr>
        <w:tabs>
          <w:tab w:val="clear" w:pos="360"/>
          <w:tab w:val="left" w:pos="1008"/>
        </w:tabs>
        <w:spacing w:before="0" w:after="0" w:line="203"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Cul-de-sac roads shall be designed per county standards;</w:t>
      </w:r>
    </w:p>
    <w:p>
      <w:pPr>
        <w:pageBreakBefore w:val="false"/>
        <w:numPr>
          <w:ilvl w:val="0"/>
          <w:numId w:val="23"/>
        </w:numPr>
        <w:tabs>
          <w:tab w:val="clear" w:pos="360"/>
          <w:tab w:val="left" w:pos="1008"/>
        </w:tabs>
        <w:spacing w:before="5" w:after="0" w:line="204" w:lineRule="exact"/>
        <w:ind w:right="72"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Length limits, connectivity requirements, and block length maximums shall comply with the Active Transportation Implementation Plan; and</w:t>
      </w:r>
    </w:p>
    <w:p>
      <w:pPr>
        <w:pageBreakBefore w:val="false"/>
        <w:numPr>
          <w:ilvl w:val="0"/>
          <w:numId w:val="23"/>
        </w:numPr>
        <w:tabs>
          <w:tab w:val="clear" w:pos="360"/>
          <w:tab w:val="left" w:pos="1008"/>
        </w:tabs>
        <w:spacing w:before="0" w:after="0" w:line="203"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Roads in commercial and industrial zoning districts shall be determined by the Community Development Department using the current edition of the Institute of Transportation Engineers’ Trip Generation Manual for road load and design for the transportation system.</w:t>
      </w:r>
    </w:p>
    <w:p>
      <w:pPr>
        <w:pageBreakBefore w:val="false"/>
        <w:tabs>
          <w:tab w:val="left" w:leader="none" w:pos="576"/>
        </w:tabs>
        <w:spacing w:before="2" w:after="0" w:line="204" w:lineRule="exact"/>
        <w:ind w:right="0" w:left="144"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(7)	</w:t>
      </w:r>
      <w:r>
        <w:rPr>
          <w:rFonts w:ascii="Ebrima" w:hAnsi="Ebrima" w:eastAsia="Ebrima"/>
          <w:strike w:val="false"/>
          <w:color w:val="000000"/>
          <w:spacing w:val="-2"/>
          <w:w w:val="100"/>
          <w:sz w:val="15"/>
          <w:vertAlign w:val="baseline"/>
          <w:lang w:val="en-US"/>
        </w:rPr>
        <w:t xml:space="preserve">Roads shall be constructed per county standards to the full width required by the road classification.</w:t>
      </w:r>
    </w:p>
    <w:p>
      <w:pPr>
        <w:pageBreakBefore w:val="false"/>
        <w:tabs>
          <w:tab w:val="left" w:leader="none" w:pos="576"/>
        </w:tabs>
        <w:spacing w:before="0" w:after="0" w:line="202" w:lineRule="exact"/>
        <w:ind w:right="0" w:left="144"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(8)	</w:t>
      </w:r>
      <w:r>
        <w:rPr>
          <w:rFonts w:ascii="Ebrima" w:hAnsi="Ebrima" w:eastAsia="Ebrima"/>
          <w:strike w:val="false"/>
          <w:color w:val="000000"/>
          <w:spacing w:val="-1"/>
          <w:w w:val="100"/>
          <w:sz w:val="15"/>
          <w:vertAlign w:val="baseline"/>
          <w:lang w:val="en-US"/>
        </w:rPr>
        <w:t xml:space="preserve">Roads shall be constructed to at least the following standards:</w:t>
      </w:r>
    </w:p>
    <w:p>
      <w:pPr>
        <w:pageBreakBefore w:val="false"/>
        <w:numPr>
          <w:ilvl w:val="0"/>
          <w:numId w:val="24"/>
        </w:numPr>
        <w:tabs>
          <w:tab w:val="clear" w:pos="360"/>
          <w:tab w:val="left" w:pos="1008"/>
        </w:tabs>
        <w:spacing w:before="2" w:after="0" w:line="204"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 multiple-use and agricultural zones, rural low-density roads with gravel surface;</w:t>
      </w:r>
    </w:p>
    <w:p>
      <w:pPr>
        <w:pageBreakBefore w:val="false"/>
        <w:numPr>
          <w:ilvl w:val="0"/>
          <w:numId w:val="24"/>
        </w:numPr>
        <w:tabs>
          <w:tab w:val="clear" w:pos="360"/>
          <w:tab w:val="left" w:pos="1008"/>
        </w:tabs>
        <w:spacing w:before="5" w:after="0" w:line="204" w:lineRule="exact"/>
        <w:ind w:right="72"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 rural residential, residential, and residential multi-family zones, rural higher density roads with asphaltic or concrete surface;</w:t>
      </w:r>
    </w:p>
    <w:p>
      <w:pPr>
        <w:pageBreakBefore w:val="false"/>
        <w:numPr>
          <w:ilvl w:val="0"/>
          <w:numId w:val="24"/>
        </w:numPr>
        <w:tabs>
          <w:tab w:val="clear" w:pos="360"/>
          <w:tab w:val="left" w:pos="1008"/>
        </w:tabs>
        <w:spacing w:before="0" w:after="0" w:line="204" w:lineRule="exact"/>
        <w:ind w:right="72"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 commercial or industrial zones, high-level traffic roads designed for commercial or industrial traffic loads and levels that serve the uses within the development; and</w:t>
      </w:r>
    </w:p>
    <w:p>
      <w:pPr>
        <w:pageBreakBefore w:val="false"/>
        <w:numPr>
          <w:ilvl w:val="0"/>
          <w:numId w:val="24"/>
        </w:numPr>
        <w:tabs>
          <w:tab w:val="clear" w:pos="360"/>
          <w:tab w:val="left" w:pos="1008"/>
        </w:tabs>
        <w:spacing w:before="0" w:after="0" w:line="203"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 mining, quarry, sand, and gravel excavation zones, municipal solid waste zones, and construction debris overlay zones, roads that mitigate impacts to surrounding land uses and minimize maintenance by the county.</w:t>
      </w:r>
    </w:p>
    <w:p>
      <w:pPr>
        <w:pageBreakBefore w:val="false"/>
        <w:tabs>
          <w:tab w:val="left" w:leader="none" w:pos="576"/>
        </w:tabs>
        <w:spacing w:before="5" w:after="0" w:line="204" w:lineRule="exact"/>
        <w:ind w:right="72" w:left="144"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(9)	</w:t>
      </w:r>
      <w:r>
        <w:rPr>
          <w:rFonts w:ascii="Ebrima" w:hAnsi="Ebrima" w:eastAsia="Ebrima"/>
          <w:strike w:val="false"/>
          <w:color w:val="000000"/>
          <w:spacing w:val="0"/>
          <w:w w:val="100"/>
          <w:sz w:val="15"/>
          <w:vertAlign w:val="baseline"/>
          <w:lang w:val="en-US"/>
        </w:rPr>
        <w:t xml:space="preserve">All subdivisions with internal roads with a maximum trip generation of 400 trips per day as calculated by the current edition of the Institute of Transportation Engineers’ Trip Generation Manual shall have more than one access route, each of which shall provide egress to different locations. The design of access routes shall consider traffic circulation and employ looped road networks. Roads shall be designed with stub roads for connection to future phases and future subdivisions when required by the County Engineer.</w:t>
      </w:r>
    </w:p>
    <w:p>
      <w:pPr>
        <w:pageBreakBefore w:val="false"/>
        <w:spacing w:before="5" w:after="0" w:line="204" w:lineRule="exact"/>
        <w:ind w:right="72" w:left="144"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(10) No building permits shall be issued until all curb, gutter, sidewalk, trails, and road infrastructure is installed or bonded, and the final plat is recorded.</w:t>
      </w:r>
    </w:p>
    <w:p>
      <w:pPr>
        <w:pageBreakBefore w:val="false"/>
        <w:spacing w:before="0" w:after="0" w:line="204" w:lineRule="exact"/>
        <w:ind w:right="72" w:left="144"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(11) Any dedication established by this Section does not impose liability upon the county for public streets and other public places that are dedicated in this manner but are unimproved unless:</w:t>
      </w:r>
    </w:p>
    <w:p>
      <w:pPr>
        <w:pageBreakBefore w:val="false"/>
        <w:numPr>
          <w:ilvl w:val="0"/>
          <w:numId w:val="25"/>
        </w:numPr>
        <w:tabs>
          <w:tab w:val="clear" w:pos="360"/>
          <w:tab w:val="left" w:pos="1008"/>
        </w:tabs>
        <w:spacing w:before="0" w:after="0" w:line="202"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adequate financial assurance has been provided in accordance with this chapter; and</w:t>
      </w:r>
    </w:p>
    <w:p>
      <w:pPr>
        <w:pageBreakBefore w:val="false"/>
        <w:numPr>
          <w:ilvl w:val="0"/>
          <w:numId w:val="25"/>
        </w:numPr>
        <w:tabs>
          <w:tab w:val="clear" w:pos="360"/>
          <w:tab w:val="left" w:pos="1008"/>
        </w:tabs>
        <w:spacing w:before="2" w:after="0" w:line="204"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county has accepted the dedication. (Ord. 2022-32, 11/29/22)</w:t>
      </w:r>
    </w:p>
    <w:p>
      <w:pPr>
        <w:pageBreakBefore w:val="false"/>
        <w:tabs>
          <w:tab w:val="right" w:leader="none" w:pos="7056"/>
        </w:tabs>
        <w:spacing w:before="579" w:after="0" w:line="223" w:lineRule="exact"/>
        <w:ind w:right="0" w:left="144"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35-18</w:t>
      </w:r>
    </w:p>
    <w:p>
      <w:pPr>
        <w:sectPr>
          <w:type w:val="nextPage"/>
          <w:pgSz w:w="12240" w:h="15840" w:orient="portrait"/>
          <w:pgMar w:bottom="1544" w:top="1940" w:right="4024" w:left="1016" w:header="720" w:footer="720"/>
          <w:titlePg w:val="false"/>
          <w:textDirection w:val="lrTb"/>
        </w:sectPr>
      </w:pPr>
    </w:p>
    <w:p>
      <w:pPr>
        <w:pageBreakBefore w:val="false"/>
        <w:spacing w:before="779" w:after="0" w:line="223" w:lineRule="exact"/>
        <w:ind w:right="72" w:left="72" w:firstLine="0"/>
        <w:jc w:val="center"/>
        <w:textAlignment w:val="baseline"/>
        <w:rPr>
          <w:rFonts w:ascii="Ebrima" w:hAnsi="Ebrima" w:eastAsia="Ebrima"/>
          <w:strike w:val="false"/>
          <w:color w:val="000000"/>
          <w:spacing w:val="-4"/>
          <w:w w:val="100"/>
          <w:sz w:val="17"/>
          <w:vertAlign w:val="baseline"/>
          <w:lang w:val="en-US"/>
        </w:rPr>
      </w:pPr>
      <w:r>
        <w:pict>
          <v:shapetype id="_x0000_t11" coordsize="21600,21600" o:spt="202" path="m,l,21600r21600,l21600,xe">
            <v:stroke joinstyle="miter"/>
            <v:path gradientshapeok="t" o:connecttype="rect"/>
          </v:shapetype>
          <v:shape id="_x0000_s10" type="#_x0000_t11" fillcolor="#F1F1F1" stroked="f" style="position:absolute;width:193.9pt;height:596.6pt;z-index:-990;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395" w:after="0" w:line="204" w:lineRule="exact"/>
        <w:ind w:right="72"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35-6-4. Frontage on arterial and collector roads.</w:t>
      </w:r>
    </w:p>
    <w:p>
      <w:pPr>
        <w:pageBreakBefore w:val="false"/>
        <w:spacing w:before="0" w:after="0" w:line="203" w:lineRule="exact"/>
        <w:ind w:right="72" w:left="21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No residential dwelling lot shall directly access arterial or major collector roads. Subdivision design shall</w:t>
      </w:r>
    </w:p>
    <w:p>
      <w:pPr>
        <w:pageBreakBefore w:val="false"/>
        <w:spacing w:before="1" w:after="0" w:line="205" w:lineRule="exact"/>
        <w:ind w:right="72" w:left="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provide local access roads to lots along arterial and major collector roads. (Ord. 2022-32, 11/29/22)</w:t>
      </w:r>
    </w:p>
    <w:p>
      <w:pPr>
        <w:pageBreakBefore w:val="false"/>
        <w:spacing w:before="194" w:after="0" w:line="204" w:lineRule="exact"/>
        <w:ind w:right="72"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35-6-5. Sidewalks, curbs, and gutters.</w:t>
      </w:r>
    </w:p>
    <w:p>
      <w:pPr>
        <w:pageBreakBefore w:val="false"/>
        <w:numPr>
          <w:ilvl w:val="0"/>
          <w:numId w:val="26"/>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Sidewalks, curbs, and gutters shall be provided per the requirements of the zoning district, the Planning Commission, or the County Engineer.</w:t>
      </w:r>
    </w:p>
    <w:p>
      <w:pPr>
        <w:pageBreakBefore w:val="false"/>
        <w:numPr>
          <w:ilvl w:val="0"/>
          <w:numId w:val="26"/>
        </w:numPr>
        <w:tabs>
          <w:tab w:val="clear" w:pos="360"/>
          <w:tab w:val="left" w:pos="576"/>
        </w:tabs>
        <w:spacing w:before="0" w:after="0" w:line="201"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Sidewalks, curbs, and gutters shall be installed per APWA standards.</w:t>
      </w:r>
    </w:p>
    <w:p>
      <w:pPr>
        <w:pageBreakBefore w:val="false"/>
        <w:numPr>
          <w:ilvl w:val="0"/>
          <w:numId w:val="26"/>
        </w:numPr>
        <w:tabs>
          <w:tab w:val="clear" w:pos="360"/>
          <w:tab w:val="left" w:pos="576"/>
        </w:tabs>
        <w:spacing w:before="2" w:after="0" w:line="205"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Active Transportation Facilities Requirements on Local Streets.</w:t>
      </w:r>
    </w:p>
    <w:p>
      <w:pPr>
        <w:pageBreakBefore w:val="false"/>
        <w:tabs>
          <w:tab w:val="right" w:leader="none" w:pos="7128"/>
        </w:tabs>
        <w:spacing w:before="1" w:after="0" w:line="205" w:lineRule="exact"/>
        <w:ind w:right="72" w:left="432"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(a)	</w:t>
      </w:r>
      <w:r>
        <w:rPr>
          <w:rFonts w:ascii="Ebrima" w:hAnsi="Ebrima" w:eastAsia="Ebrima"/>
          <w:strike w:val="false"/>
          <w:color w:val="000000"/>
          <w:spacing w:val="-2"/>
          <w:w w:val="100"/>
          <w:sz w:val="15"/>
          <w:vertAlign w:val="baseline"/>
          <w:lang w:val="en-US"/>
        </w:rPr>
        <w:t xml:space="preserve">Requirements for active transportation facilities on local streets are divided into higher
</w:t>
        <w:br/>
      </w:r>
      <w:r>
        <w:rPr>
          <w:rFonts w:ascii="Ebrima" w:hAnsi="Ebrima" w:eastAsia="Ebrima"/>
          <w:strike w:val="false"/>
          <w:color w:val="000000"/>
          <w:spacing w:val="-2"/>
          <w:w w:val="100"/>
          <w:sz w:val="15"/>
          <w:vertAlign w:val="baseline"/>
          <w:lang w:val="en-US"/>
        </w:rPr>
        <w:t xml:space="preserve">density, lower density, and non-residential. For these requirements, density is determined by zoning category – zone R-1-21 and more intense zones are “higher density.” In comparison, zone RR-1 and less intense zones are “lower density.” See Table 2.2 in the Active Transportation Implementation Plan.</w:t>
      </w:r>
    </w:p>
    <w:p>
      <w:pPr>
        <w:pageBreakBefore w:val="false"/>
        <w:tabs>
          <w:tab w:val="right" w:leader="none" w:pos="7128"/>
        </w:tabs>
        <w:spacing w:before="0" w:after="0" w:line="204" w:lineRule="exact"/>
        <w:ind w:right="72" w:left="43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	</w:t>
      </w:r>
      <w:r>
        <w:rPr>
          <w:rFonts w:ascii="Ebrima" w:hAnsi="Ebrima" w:eastAsia="Ebrima"/>
          <w:strike w:val="false"/>
          <w:color w:val="000000"/>
          <w:spacing w:val="0"/>
          <w:w w:val="100"/>
          <w:sz w:val="15"/>
          <w:vertAlign w:val="baseline"/>
          <w:lang w:val="en-US"/>
        </w:rPr>
        <w:t xml:space="preserve">In conservation subdivisions, the density category is determined according to the average lot
</w:t>
        <w:br/>
      </w:r>
      <w:r>
        <w:rPr>
          <w:rFonts w:ascii="Ebrima" w:hAnsi="Ebrima" w:eastAsia="Ebrima"/>
          <w:strike w:val="false"/>
          <w:color w:val="000000"/>
          <w:spacing w:val="0"/>
          <w:w w:val="100"/>
          <w:sz w:val="15"/>
          <w:vertAlign w:val="baseline"/>
          <w:lang w:val="en-US"/>
        </w:rPr>
        <w:t xml:space="preserve">size in the clustered portion of the development. If the average lot size is .5 acre or greater, the development is lower density. If the average lot size is less than .5 acre, the development is higher density.</w:t>
      </w:r>
    </w:p>
    <w:p>
      <w:pPr>
        <w:pageBreakBefore w:val="false"/>
        <w:tabs>
          <w:tab w:val="right" w:leader="none" w:pos="7128"/>
        </w:tabs>
        <w:spacing w:before="0" w:after="0" w:line="204" w:lineRule="exact"/>
        <w:ind w:right="72" w:left="43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	</w:t>
      </w:r>
      <w:r>
        <w:rPr>
          <w:rFonts w:ascii="Ebrima" w:hAnsi="Ebrima" w:eastAsia="Ebrima"/>
          <w:strike w:val="false"/>
          <w:color w:val="000000"/>
          <w:spacing w:val="0"/>
          <w:w w:val="100"/>
          <w:sz w:val="15"/>
          <w:vertAlign w:val="baseline"/>
          <w:lang w:val="en-US"/>
        </w:rPr>
        <w:t xml:space="preserve">Applicants must create an active transportation circulation plan. The active transportation
</w:t>
        <w:br/>
      </w:r>
      <w:r>
        <w:rPr>
          <w:rFonts w:ascii="Ebrima" w:hAnsi="Ebrima" w:eastAsia="Ebrima"/>
          <w:strike w:val="false"/>
          <w:color w:val="000000"/>
          <w:spacing w:val="0"/>
          <w:w w:val="100"/>
          <w:sz w:val="15"/>
          <w:vertAlign w:val="baseline"/>
          <w:lang w:val="en-US"/>
        </w:rPr>
        <w:t xml:space="preserve">circulation plan identifies how pedestrians and cyclists will move around the neighborhood. Examples of active transportation circulation plans are shown for higher density (Figure 2-3 of the Active Transportation Implementation Plan) and lower density (Figure 2-4 of the Active Transportation Implementation Plan) subdivisions. For the design of the required facilities, see Section 2.5 of the Active Transportation Implementation Plan.</w:t>
      </w:r>
    </w:p>
    <w:p>
      <w:pPr>
        <w:pageBreakBefore w:val="false"/>
        <w:tabs>
          <w:tab w:val="right" w:leader="none" w:pos="7128"/>
        </w:tabs>
        <w:spacing w:before="0" w:after="0" w:line="204" w:lineRule="exact"/>
        <w:ind w:right="72" w:left="43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	</w:t>
      </w:r>
      <w:r>
        <w:rPr>
          <w:rFonts w:ascii="Ebrima" w:hAnsi="Ebrima" w:eastAsia="Ebrima"/>
          <w:strike w:val="false"/>
          <w:color w:val="000000"/>
          <w:spacing w:val="0"/>
          <w:w w:val="100"/>
          <w:sz w:val="15"/>
          <w:vertAlign w:val="baseline"/>
          <w:lang w:val="en-US"/>
        </w:rPr>
        <w:t xml:space="preserve">Residential subdivisions zoned R-1-21 or higher density shall adhere to the following
</w:t>
        <w:br/>
      </w:r>
      <w:r>
        <w:rPr>
          <w:rFonts w:ascii="Ebrima" w:hAnsi="Ebrima" w:eastAsia="Ebrima"/>
          <w:strike w:val="false"/>
          <w:color w:val="000000"/>
          <w:spacing w:val="0"/>
          <w:w w:val="100"/>
          <w:sz w:val="15"/>
          <w:vertAlign w:val="baseline"/>
          <w:lang w:val="en-US"/>
        </w:rPr>
        <w:t xml:space="preserve">requirements:</w:t>
      </w:r>
    </w:p>
    <w:p>
      <w:pPr>
        <w:pageBreakBefore w:val="false"/>
        <w:numPr>
          <w:ilvl w:val="0"/>
          <w:numId w:val="27"/>
        </w:numPr>
        <w:tabs>
          <w:tab w:val="clear" w:pos="360"/>
          <w:tab w:val="left" w:pos="1440"/>
        </w:tabs>
        <w:spacing w:before="0" w:after="0" w:line="205" w:lineRule="exact"/>
        <w:ind w:right="72" w:left="864" w:firstLine="216"/>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Active transportation facilities must be on both sides of every local street. Active transportation facility options for local streets for higher density subdivisions include shared use paths with standard buffers, neighborhood shared-use paths, and standard sidewalks.</w:t>
      </w:r>
    </w:p>
    <w:p>
      <w:pPr>
        <w:pageBreakBefore w:val="false"/>
        <w:numPr>
          <w:ilvl w:val="0"/>
          <w:numId w:val="27"/>
        </w:numPr>
        <w:tabs>
          <w:tab w:val="clear" w:pos="360"/>
          <w:tab w:val="left" w:pos="1440"/>
        </w:tabs>
        <w:spacing w:before="0" w:after="0" w:line="204" w:lineRule="exact"/>
        <w:ind w:right="72" w:left="864" w:firstLine="216"/>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Higher-level streets (connector, community spine, and highway/freeway street types and collector/arterial functional class), either existing or new and within the development or bordering it, must implement the active transportation facility requirements for the Street Type in the Active Transportation Implementation Plan Section 2.2.</w:t>
      </w:r>
    </w:p>
    <w:p>
      <w:pPr>
        <w:pageBreakBefore w:val="false"/>
        <w:numPr>
          <w:ilvl w:val="0"/>
          <w:numId w:val="27"/>
        </w:numPr>
        <w:tabs>
          <w:tab w:val="clear" w:pos="360"/>
          <w:tab w:val="left" w:pos="1440"/>
        </w:tabs>
        <w:spacing w:before="3" w:after="0" w:line="205" w:lineRule="exact"/>
        <w:ind w:right="72" w:left="864" w:firstLine="216"/>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applicant must provide appropriate active transportation crossings of major streets. See design guidelines, Section 2.4 of the Active Transportation Implementation Plan.</w:t>
      </w:r>
    </w:p>
    <w:p>
      <w:pPr>
        <w:pageBreakBefore w:val="false"/>
        <w:numPr>
          <w:ilvl w:val="0"/>
          <w:numId w:val="27"/>
        </w:numPr>
        <w:tabs>
          <w:tab w:val="clear" w:pos="360"/>
          <w:tab w:val="left" w:pos="1440"/>
        </w:tabs>
        <w:spacing w:before="0" w:after="0" w:line="204" w:lineRule="exact"/>
        <w:ind w:right="72" w:left="864" w:firstLine="216"/>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applicant must ensure that any connections shown in the Vision Network (Figure 2-1 of the Active Transportation Implementation Plan) running through the subdivision are implemented with active transportation facilities with existing or future connections to adjoining areas.</w:t>
      </w:r>
    </w:p>
    <w:p>
      <w:pPr>
        <w:pageBreakBefore w:val="false"/>
        <w:numPr>
          <w:ilvl w:val="0"/>
          <w:numId w:val="27"/>
        </w:numPr>
        <w:tabs>
          <w:tab w:val="clear" w:pos="360"/>
          <w:tab w:val="left" w:pos="1440"/>
        </w:tabs>
        <w:spacing w:before="0" w:after="0" w:line="205" w:lineRule="exact"/>
        <w:ind w:right="72" w:left="864" w:firstLine="216"/>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applicant must prepare an Active Transportation Circulation Plan showing how the above four requirements are being met and must identify any other active transportation infrastructure and amenities. See the example in Figure 2-3 of the Active Transportation Implementation Plan.</w:t>
      </w:r>
    </w:p>
    <w:p>
      <w:pPr>
        <w:pageBreakBefore w:val="false"/>
        <w:tabs>
          <w:tab w:val="right" w:leader="none" w:pos="7128"/>
        </w:tabs>
        <w:spacing w:before="0" w:after="0" w:line="204" w:lineRule="exact"/>
        <w:ind w:right="72" w:left="43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	</w:t>
      </w:r>
      <w:r>
        <w:rPr>
          <w:rFonts w:ascii="Ebrima" w:hAnsi="Ebrima" w:eastAsia="Ebrima"/>
          <w:strike w:val="false"/>
          <w:color w:val="000000"/>
          <w:spacing w:val="0"/>
          <w:w w:val="100"/>
          <w:sz w:val="15"/>
          <w:vertAlign w:val="baseline"/>
          <w:lang w:val="en-US"/>
        </w:rPr>
        <w:t xml:space="preserve">Residential subdivisions zoned with lower density than R-1-21 shall adhere to the following
</w:t>
        <w:br/>
      </w:r>
      <w:r>
        <w:rPr>
          <w:rFonts w:ascii="Ebrima" w:hAnsi="Ebrima" w:eastAsia="Ebrima"/>
          <w:strike w:val="false"/>
          <w:color w:val="000000"/>
          <w:spacing w:val="0"/>
          <w:w w:val="100"/>
          <w:sz w:val="15"/>
          <w:vertAlign w:val="baseline"/>
          <w:lang w:val="en-US"/>
        </w:rPr>
        <w:t xml:space="preserve">requirements:</w:t>
      </w:r>
    </w:p>
    <w:p>
      <w:pPr>
        <w:pageBreakBefore w:val="false"/>
        <w:tabs>
          <w:tab w:val="right" w:leader="none" w:pos="7128"/>
        </w:tabs>
        <w:spacing w:before="589" w:after="0" w:line="223" w:lineRule="exact"/>
        <w:ind w:right="72"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35-19</w:t>
      </w:r>
    </w:p>
    <w:sectPr>
      <w:type w:val="nextPage"/>
      <w:pgSz w:w="12240" w:h="15840" w:orient="portrait"/>
      <w:pgMar w:bottom="1544" w:top="1940" w:right="4024" w:left="1016"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Ebrima">
    <w:charset w:val="00"/>
    <w:pitch w:val="variable"/>
    <w:family w:val="swiss"/>
    <w:panose1 w:val="02020603050405020304"/>
  </w:font>
  <w:font w:name="Segoe UI">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3"/>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
    <w:lvl w:ilvl="0">
      <w:start w:val="4"/>
      <w:numFmt w:val="decimal"/>
      <w:lvlText w:val="(%1)"/>
      <w:lvlJc w:val="left"/>
      <w:pPr>
        <w:tabs>
          <w:tab w:val="left" w:pos="288"/>
        </w:tabs>
        <w:ind w:left="720"/>
      </w:pPr>
      <w:rPr>
        <w:rFonts w:ascii="Ebrima" w:hAnsi="Ebrima" w:eastAsia="Ebrima"/>
        <w:strike w:val="false"/>
        <w:color w:val="000000"/>
        <w:spacing w:val="0"/>
        <w:w w:val="100"/>
        <w:sz w:val="15"/>
        <w:vertAlign w:val="baseline"/>
        <w:lang w:val="en-US"/>
      </w:rPr>
    </w:lvl>
  </w:abstractNum>
  <w:abstractNum w:abstractNumId="3">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4">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5">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6">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7">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8">
    <w:lvl w:ilvl="0">
      <w:start w:val="5"/>
      <w:numFmt w:val="lowerLetter"/>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9">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0">
    <w:lvl w:ilvl="0">
      <w:start w:val="1"/>
      <w:numFmt w:val="decimal"/>
      <w:lvlText w:val="(%1)"/>
      <w:lvlJc w:val="left"/>
      <w:pPr>
        <w:tabs>
          <w:tab w:val="left" w:pos="360"/>
        </w:tabs>
        <w:ind w:left="720"/>
      </w:pPr>
      <w:rPr>
        <w:rFonts w:ascii="Ebrima" w:hAnsi="Ebrima" w:eastAsia="Ebrima"/>
        <w:strike w:val="false"/>
        <w:color w:val="000000"/>
        <w:spacing w:val="1"/>
        <w:w w:val="100"/>
        <w:sz w:val="15"/>
        <w:vertAlign w:val="baseline"/>
        <w:lang w:val="en-US"/>
      </w:rPr>
    </w:lvl>
  </w:abstractNum>
  <w:abstractNum w:abstractNumId="11">
    <w:lvl w:ilvl="0">
      <w:start w:val="8"/>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2">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3">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4">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5">
    <w:lvl w:ilvl="0">
      <w:start w:val="1"/>
      <w:numFmt w:val="lowerLetter"/>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6">
    <w:lvl w:ilvl="0">
      <w:start w:val="1"/>
      <w:numFmt w:val="decimal"/>
      <w:lvlText w:val="%1."/>
      <w:lvlJc w:val="left"/>
      <w:pPr>
        <w:tabs>
          <w:tab w:val="left" w:pos="360"/>
        </w:tabs>
        <w:ind w:left="720"/>
      </w:pPr>
      <w:rPr>
        <w:rFonts w:ascii="Ebrima" w:hAnsi="Ebrima" w:eastAsia="Ebrima"/>
        <w:strike w:val="false"/>
        <w:color w:val="000000"/>
        <w:spacing w:val="-2"/>
        <w:w w:val="100"/>
        <w:sz w:val="15"/>
        <w:vertAlign w:val="baseline"/>
        <w:lang w:val="en-US"/>
      </w:rPr>
    </w:lvl>
  </w:abstractNum>
  <w:abstractNum w:abstractNumId="17">
    <w:lvl w:ilvl="0">
      <w:start w:val="1"/>
      <w:numFmt w:val="lowerLetter"/>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8">
    <w:lvl w:ilvl="0">
      <w:start w:val="3"/>
      <w:numFmt w:val="lowerLetter"/>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9">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0">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1">
    <w:lvl w:ilvl="0">
      <w:start w:val="6"/>
      <w:numFmt w:val="decimal"/>
      <w:lvlText w:val="(%1)"/>
      <w:lvlJc w:val="left"/>
      <w:pPr>
        <w:tabs>
          <w:tab w:val="left" w:pos="504"/>
        </w:tabs>
        <w:ind w:left="720"/>
      </w:pPr>
      <w:rPr>
        <w:rFonts w:ascii="Ebrima" w:hAnsi="Ebrima" w:eastAsia="Ebrima"/>
        <w:strike w:val="false"/>
        <w:color w:val="000000"/>
        <w:spacing w:val="0"/>
        <w:w w:val="100"/>
        <w:sz w:val="15"/>
        <w:vertAlign w:val="baseline"/>
        <w:lang w:val="en-US"/>
      </w:rPr>
    </w:lvl>
  </w:abstractNum>
  <w:abstractNum w:abstractNumId="22">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3">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4">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5">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6">
    <w:lvl w:ilvl="0">
      <w:start w:val="1"/>
      <w:numFmt w:val="lowerRoman"/>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eastAsia="PMingLiU" w:hAnsi="Times New Roman" w:cs="Times New Roman"/>
        <w:sz w:val="22"/>
        <w:szCs w:val="22"/>
        <w:lang w:val="en-US" w:eastAsia="en-US" w:bidi="ar-SA"/>
      </w:rPr>
    </w:rPrDefault>
    <w:pPrDefault/>
  </w:docDefaults>
  <w:style w:styleId="Normal" w:default="1" w:type="paragraph">
    <w:name w:val="Normal"/>
  </w:style>
</w:styles>
</file>

<file path=word/_rels/document.xml.rels>&#65279;<?xml version="1.0" encoding="utf-8"?><Relationships xmlns="http://schemas.openxmlformats.org/package/2006/relationships"><Relationship Type="http://schemas.openxmlformats.org/officeDocument/2006/relationships/image" Target="media/image1.png" Id="drId3" /><Relationship Type="http://schemas.openxmlformats.org/officeDocument/2006/relationships/numbering" Target="numbering.xml" Id="drId4" /><Relationship Type="http://schemas.openxmlformats.org/officeDocument/2006/relationships/settings" Target="settings.xml" Id="drId1" /><Relationship Type="http://schemas.openxmlformats.org/officeDocument/2006/relationships/styles" Target="styles.xml" Id="drId0" /><Relationship Type="http://schemas.openxmlformats.org/wordprocessingml/2006/fontTable" Target="fontTable.xml" Id="drId2" /></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