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Types>
</file>

<file path=_rels/.rels>&#65279;<?xml version="1.0" encoding="utf-8"?><Relationships xmlns="http://schemas.openxmlformats.org/package/2006/relationships"><Relationship Type="http://schemas.openxmlformats.org/officeDocument/2006/relationships/officeDocument" Target="word/document.xml" Id="prId0" /><Relationship Type="http://schemas.openxmlformats.org/package/2006/relationships/metadata/core-properties" Target="docProps/core.xml" Id="prId1"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tbl>
      <w:tblPr>
        <w:jc w:val="left"/>
        <w:tblLayout w:type="fixed"/>
        <w:tblCellMar>
          <w:left w:w="0" w:type="dxa"/>
          <w:right w:w="0" w:type="dxa"/>
        </w:tblCellMar>
      </w:tblPr>
      <w:tblGrid>
        <w:gridCol w:w="3951"/>
        <w:gridCol w:w="5129"/>
      </w:tblGrid>
      <w:tr>
        <w:trPr>
          <w:trHeight w:val="1439" w:hRule="exact"/>
        </w:trPr>
        <w:tc>
          <w:tcPr>
            <w:tcW w:w="3951" w:type="auto"/>
            <w:gridSpan w:val="1"/>
            <w:tcBorders>
              <w:top w:val="none" w:sz="0" w:color="000000"/>
              <w:left w:val="none" w:sz="0" w:color="000000"/>
              <w:bottom w:val="none" w:sz="0" w:color="000000"/>
              <w:right w:val="none" w:sz="0" w:color="000000"/>
            </w:tcBorders>
            <w:textDirection w:val="lrTb"/>
            <w:vAlign w:val="top"/>
          </w:tcPr>
          <w:p>
            <w:pPr>
              <w:pageBreakBefore w:val="false"/>
              <w:spacing w:before="66" w:after="24" w:line="240" w:lineRule="auto"/>
              <w:ind w:right="0" w:left="0"/>
              <w:jc w:val="center"/>
              <w:textAlignment w:val="baseline"/>
            </w:pPr>
            <w:r>
              <w:drawing>
                <wp:inline>
                  <wp:extent cx="2508885" cy="853440"/>
                  <wp:docPr id="1" name="Picture"/>
                  <a:graphic>
                    <a:graphicData uri="http://schemas.openxmlformats.org/drawingml/2006/picture">
                      <pic:pic>
                        <pic:nvPicPr>
                          <pic:cNvPr id="2" name="test1"/>
                          <pic:cNvPicPr preferRelativeResize="false"/>
                        </pic:nvPicPr>
                        <pic:blipFill>
                          <a:blip r:embed="drId2"/>
                          <a:stretch>
                            <a:fillRect/>
                          </a:stretch>
                        </pic:blipFill>
                        <pic:spPr>
                          <a:xfrm>
                            <a:off x="0" y="0"/>
                            <a:ext cx="2508885" cy="853440"/>
                          </a:xfrm>
                          <a:prstGeom prst="rect">
                            <a:avLst/>
                          </a:prstGeom>
                        </pic:spPr>
                      </pic:pic>
                    </a:graphicData>
                  </a:graphic>
                </wp:inline>
              </w:drawing>
            </w:r>
          </w:p>
        </w:tc>
        <w:tc>
          <w:tcPr>
            <w:tcW w:w="9080" w:type="auto"/>
            <w:gridSpan w:val="1"/>
            <w:tcBorders>
              <w:top w:val="none" w:sz="0" w:color="000000"/>
              <w:left w:val="none" w:sz="0" w:color="000000"/>
              <w:bottom w:val="none" w:sz="0" w:color="000000"/>
              <w:right w:val="none" w:sz="0" w:color="000000"/>
            </w:tcBorders>
            <w:textDirection w:val="lrTb"/>
            <w:vAlign w:val="top"/>
          </w:tcPr>
          <w:p>
            <w:pPr>
              <w:pageBreakBefore w:val="false"/>
              <w:spacing w:before="0" w:after="0" w:line="310" w:lineRule="exact"/>
              <w:ind w:right="36" w:left="432" w:firstLine="0"/>
              <w:jc w:val="left"/>
              <w:textAlignment w:val="baseline"/>
              <w:rPr>
                <w:rFonts w:ascii="Ebrima" w:hAnsi="Ebrima" w:eastAsia="Ebrima"/>
                <w:b w:val="true"/>
                <w:strike w:val="false"/>
                <w:color w:val="000000"/>
                <w:spacing w:val="0"/>
                <w:w w:val="100"/>
                <w:sz w:val="24"/>
                <w:vertAlign w:val="baseline"/>
                <w:lang w:val="en-US"/>
              </w:rPr>
            </w:pPr>
            <w:r>
              <w:rPr>
                <w:rFonts w:ascii="Ebrima" w:hAnsi="Ebrima" w:eastAsia="Ebrima"/>
                <w:b w:val="true"/>
                <w:strike w:val="false"/>
                <w:color w:val="000000"/>
                <w:spacing w:val="0"/>
                <w:w w:val="100"/>
                <w:sz w:val="24"/>
                <w:vertAlign w:val="baseline"/>
                <w:lang w:val="en-US"/>
              </w:rPr>
              <w:t xml:space="preserve">Planning and Zoning</w:t>
            </w:r>
          </w:p>
          <w:p>
            <w:pPr>
              <w:pageBreakBefore w:val="false"/>
              <w:spacing w:before="0" w:after="0" w:line="298" w:lineRule="exact"/>
              <w:ind w:right="36" w:left="432" w:firstLine="0"/>
              <w:jc w:val="left"/>
              <w:textAlignment w:val="baseline"/>
              <w:rPr>
                <w:rFonts w:ascii="Ebrima" w:hAnsi="Ebrima" w:eastAsia="Ebrima"/>
                <w:strike w:val="false"/>
                <w:color w:val="000000"/>
                <w:spacing w:val="-3"/>
                <w:w w:val="100"/>
                <w:sz w:val="22"/>
                <w:vertAlign w:val="baseline"/>
                <w:lang w:val="en-US"/>
              </w:rPr>
            </w:pPr>
            <w:r>
              <w:rPr>
                <w:rFonts w:ascii="Ebrima" w:hAnsi="Ebrima" w:eastAsia="Ebrima"/>
                <w:strike w:val="false"/>
                <w:color w:val="000000"/>
                <w:spacing w:val="-3"/>
                <w:w w:val="100"/>
                <w:sz w:val="22"/>
                <w:vertAlign w:val="baseline"/>
                <w:lang w:val="en-US"/>
              </w:rPr>
              <w:t xml:space="preserve">47 S. Main Street </w:t>
            </w:r>
            <w:r>
              <w:rPr>
                <w:rFonts w:ascii="Ebrima" w:hAnsi="Ebrima" w:eastAsia="Ebrima"/>
                <w:b w:val="true"/>
                <w:strike w:val="false"/>
                <w:color w:val="000000"/>
                <w:spacing w:val="-3"/>
                <w:w w:val="100"/>
                <w:sz w:val="24"/>
                <w:vertAlign w:val="baseline"/>
                <w:lang w:val="en-US"/>
              </w:rPr>
              <w:t xml:space="preserve">∙ </w:t>
            </w:r>
            <w:r>
              <w:rPr>
                <w:rFonts w:ascii="Ebrima" w:hAnsi="Ebrima" w:eastAsia="Ebrima"/>
                <w:strike w:val="false"/>
                <w:color w:val="000000"/>
                <w:spacing w:val="-3"/>
                <w:w w:val="100"/>
                <w:sz w:val="22"/>
                <w:vertAlign w:val="baseline"/>
                <w:lang w:val="en-US"/>
              </w:rPr>
              <w:t xml:space="preserve">Room 208 </w:t>
            </w:r>
            <w:r>
              <w:rPr>
                <w:rFonts w:ascii="Ebrima" w:hAnsi="Ebrima" w:eastAsia="Ebrima"/>
                <w:b w:val="true"/>
                <w:strike w:val="false"/>
                <w:color w:val="000000"/>
                <w:spacing w:val="-3"/>
                <w:w w:val="100"/>
                <w:sz w:val="24"/>
                <w:vertAlign w:val="baseline"/>
                <w:lang w:val="en-US"/>
              </w:rPr>
              <w:t xml:space="preserve">∙ </w:t>
            </w:r>
            <w:r>
              <w:rPr>
                <w:rFonts w:ascii="Ebrima" w:hAnsi="Ebrima" w:eastAsia="Ebrima"/>
                <w:strike w:val="false"/>
                <w:color w:val="000000"/>
                <w:spacing w:val="-3"/>
                <w:w w:val="100"/>
                <w:sz w:val="22"/>
                <w:vertAlign w:val="baseline"/>
                <w:lang w:val="en-US"/>
              </w:rPr>
              <w:t xml:space="preserve">Tooele, UT 84074</w:t>
            </w:r>
          </w:p>
          <w:p>
            <w:pPr>
              <w:pageBreakBefore w:val="false"/>
              <w:spacing w:before="0" w:after="0" w:line="295" w:lineRule="exact"/>
              <w:ind w:right="36" w:left="432" w:firstLine="0"/>
              <w:jc w:val="left"/>
              <w:textAlignment w:val="baseline"/>
              <w:rPr>
                <w:rFonts w:ascii="Ebrima" w:hAnsi="Ebrima" w:eastAsia="Ebrima"/>
                <w:strike w:val="false"/>
                <w:color w:val="000000"/>
                <w:spacing w:val="0"/>
                <w:w w:val="100"/>
                <w:sz w:val="22"/>
                <w:vertAlign w:val="baseline"/>
                <w:lang w:val="en-US"/>
              </w:rPr>
            </w:pPr>
            <w:r>
              <w:rPr>
                <w:rFonts w:ascii="Ebrima" w:hAnsi="Ebrima" w:eastAsia="Ebrima"/>
                <w:strike w:val="false"/>
                <w:color w:val="000000"/>
                <w:spacing w:val="0"/>
                <w:w w:val="100"/>
                <w:sz w:val="22"/>
                <w:vertAlign w:val="baseline"/>
                <w:lang w:val="en-US"/>
              </w:rPr>
              <w:t xml:space="preserve">Phone: (435) 843-3160 </w:t>
            </w:r>
            <w:r>
              <w:rPr>
                <w:rFonts w:ascii="Ebrima" w:hAnsi="Ebrima" w:eastAsia="Ebrima"/>
                <w:b w:val="true"/>
                <w:strike w:val="false"/>
                <w:color w:val="000000"/>
                <w:spacing w:val="0"/>
                <w:w w:val="100"/>
                <w:sz w:val="24"/>
                <w:vertAlign w:val="baseline"/>
                <w:lang w:val="en-US"/>
              </w:rPr>
              <w:t xml:space="preserve">∙ </w:t>
            </w:r>
            <w:r>
              <w:rPr>
                <w:rFonts w:ascii="Ebrima" w:hAnsi="Ebrima" w:eastAsia="Ebrima"/>
                <w:strike w:val="false"/>
                <w:color w:val="000000"/>
                <w:spacing w:val="0"/>
                <w:w w:val="100"/>
                <w:sz w:val="22"/>
                <w:vertAlign w:val="baseline"/>
                <w:lang w:val="en-US"/>
              </w:rPr>
              <w:t xml:space="preserve">Fax: (435) 843-3252</w:t>
            </w:r>
          </w:p>
          <w:p>
            <w:pPr>
              <w:pageBreakBefore w:val="false"/>
              <w:spacing w:before="0" w:after="14" w:line="253" w:lineRule="exact"/>
              <w:ind w:right="36" w:left="432" w:firstLine="0"/>
              <w:jc w:val="both"/>
              <w:textAlignment w:val="baseline"/>
              <w:rPr>
                <w:rFonts w:ascii="Ebrima" w:hAnsi="Ebrima" w:eastAsia="Ebrima"/>
                <w:b w:val="true"/>
                <w:strike w:val="false"/>
                <w:color w:val="16365D"/>
                <w:spacing w:val="-1"/>
                <w:w w:val="100"/>
                <w:sz w:val="20"/>
                <w:vertAlign w:val="baseline"/>
                <w:lang w:val="en-US"/>
              </w:rPr>
            </w:pPr>
            <w:hyperlink r:id="drId4">
              <w:r>
                <w:rPr>
                  <w:rFonts w:ascii="Ebrima" w:hAnsi="Ebrima" w:eastAsia="Ebrima"/>
                  <w:b w:val="true"/>
                  <w:strike w:val="false"/>
                  <w:color w:val="0000FF"/>
                  <w:spacing w:val="-1"/>
                  <w:w w:val="100"/>
                  <w:sz w:val="20"/>
                  <w:u w:val="single"/>
                  <w:vertAlign w:val="baseline"/>
                  <w:lang w:val="en-US"/>
                </w:rPr>
                <w:t xml:space="preserve">tooeleco.org/tooele-county-government/county-departments/community-development/</w:t>
              </w:r>
            </w:hyperlink>
            <w:r>
              <w:rPr>
                <w:rFonts w:ascii="Ebrima" w:hAnsi="Ebrima" w:eastAsia="Ebrima"/>
                <w:b w:val="true"/>
                <w:strike w:val="false"/>
                <w:color w:val="16365D"/>
                <w:spacing w:val="-1"/>
                <w:w w:val="100"/>
                <w:sz w:val="20"/>
                <w:vertAlign w:val="baseline"/>
                <w:lang w:val="en-US"/>
              </w:rPr>
              <w:t xml:space="preserve">
</w:t>
            </w:r>
          </w:p>
        </w:tc>
      </w:tr>
    </w:tbl>
    <w:p>
      <w:pPr>
        <w:spacing w:before="0" w:after="124" w:line="20" w:lineRule="exact"/>
      </w:pPr>
    </w:p>
    <w:p>
      <w:pPr>
        <w:spacing w:before="0" w:after="124" w:line="20" w:lineRule="exact"/>
        <w:sectPr>
          <w:type w:val="nextPage"/>
          <w:pgSz w:w="12240" w:h="15840" w:orient="portrait"/>
          <w:pgMar w:bottom="384" w:top="620" w:right="1778" w:left="1382" w:header="720" w:footer="720"/>
          <w:titlePg w:val="false"/>
          <w:textDirection w:val="lrTb"/>
        </w:sectPr>
      </w:pPr>
    </w:p>
    <w:p>
      <w:pPr>
        <w:pageBreakBefore w:val="false"/>
        <w:spacing w:before="511" w:after="0" w:line="288" w:lineRule="exact"/>
        <w:ind w:right="0" w:left="0" w:firstLine="0"/>
        <w:jc w:val="left"/>
        <w:textAlignment w:val="baseline"/>
        <w:rPr>
          <w:rFonts w:ascii="Times New Roman" w:hAnsi="Times New Roman" w:eastAsia="Times New Roman"/>
          <w:strike w:val="false"/>
          <w:color w:val="000000"/>
          <w:w w:val="100"/>
          <w:sz w:val="24"/>
          <w:vertAlign w:val="baseline"/>
          <w:lang w:val="en-US"/>
        </w:rPr>
      </w:pPr>
      <w:r>
        <w:pict>
          <v:shapetype id="_x0000_t1" coordsize="21600,21600" o:spt="202" path="m,l,21600r21600,l21600,xe">
            <v:stroke joinstyle="miter"/>
            <v:path gradientshapeok="t" o:connecttype="rect"/>
          </v:shapetype>
          <v:shape id="_x0000_s0" type="#_x0000_t1" filled="f" stroked="f" style="position:absolute;width:507.15pt;height:25.95pt;z-index:-1000;margin-left:0pt;margin-top:0pt;mso-wrap-distance-left:0pt;mso-wrap-distance-right:0pt">
            <v:fill opacity="1" o:opacity2="1" recolor="f" rotate="f" type="solid"/>
            <v:textbox inset="0pt, 0pt, 0pt, 0pt">
              <w:txbxContent>
                <w:tbl>
                  <w:tblPr>
                    <w:jc w:val="left"/>
                    <w:tblLayout w:type="fixed"/>
                    <w:tblCellMar>
                      <w:left w:w="0" w:type="dxa"/>
                      <w:right w:w="0" w:type="dxa"/>
                    </w:tblCellMar>
                  </w:tblPr>
                  <w:tblGrid>
                    <w:gridCol w:w="250"/>
                    <w:gridCol w:w="590"/>
                    <w:gridCol w:w="306"/>
                    <w:gridCol w:w="975"/>
                    <w:gridCol w:w="197"/>
                    <w:gridCol w:w="513"/>
                    <w:gridCol w:w="1"/>
                    <w:gridCol w:w="4435"/>
                    <w:gridCol w:w="20"/>
                    <w:gridCol w:w="705"/>
                    <w:gridCol w:w="1401"/>
                    <w:gridCol w:w="696"/>
                    <w:gridCol w:w="24"/>
                    <w:gridCol w:w="30"/>
                  </w:tblGrid>
                  <w:tr>
                    <w:trPr>
                      <w:trHeight w:val="380" w:hRule="exact"/>
                    </w:trPr>
                    <w:tc>
                      <w:tcPr>
                        <w:tcW w:w="250" w:type="auto"/>
                        <w:gridSpan w:val="1"/>
                        <w:tcBorders>
                          <w:top w:val="none" w:sz="0" w:color="000000"/>
                          <w:left w:val="none" w:sz="0" w:color="000000"/>
                          <w:bottom w:val="none" w:sz="0" w:color="000000"/>
                          <w:right w:val="none" w:sz="0" w:color="000000"/>
                        </w:tcBorders>
                        <w:textDirection w:val="lrTb"/>
                        <w:vAlign w:val="top"/>
                      </w:tcPr>
                      <w:p/>
                    </w:tc>
                    <w:tc>
                      <w:tcPr>
                        <w:tcW w:w="840" w:type="auto"/>
                        <w:gridSpan w:val="1"/>
                        <w:tcBorders>
                          <w:top w:val="none" w:sz="0" w:color="000000"/>
                          <w:left w:val="none" w:sz="0" w:color="000000"/>
                          <w:bottom w:val="double" w:sz="9" w:color="DDDEDE"/>
                          <w:right w:val="none" w:sz="0" w:color="000000"/>
                        </w:tcBorders>
                        <w:textDirection w:val="lrTb"/>
                        <w:vAlign w:val="top"/>
                      </w:tcPr>
                      <w:p/>
                    </w:tc>
                    <w:tc>
                      <w:tcPr>
                        <w:tcW w:w="1146" w:type="auto"/>
                        <w:gridSpan w:val="1"/>
                        <w:tcBorders>
                          <w:top w:val="none" w:sz="0" w:color="020000"/>
                          <w:left w:val="none" w:sz="0" w:color="000000"/>
                          <w:bottom w:val="double" w:sz="9" w:color="DDDEDE"/>
                          <w:right w:val="none" w:sz="0" w:color="000000"/>
                        </w:tcBorders>
                        <w:textDirection w:val="lrTb"/>
                        <w:vAlign w:val="top"/>
                      </w:tcPr>
                      <w:p/>
                    </w:tc>
                    <w:tc>
                      <w:tcPr>
                        <w:tcW w:w="2121" w:type="auto"/>
                        <w:gridSpan w:val="1"/>
                        <w:tcBorders>
                          <w:top w:val="none" w:sz="0" w:color="020000"/>
                          <w:left w:val="none" w:sz="0" w:color="000000"/>
                          <w:bottom w:val="double" w:sz="9" w:color="DDDEDE"/>
                          <w:right w:val="none" w:sz="0" w:color="000000"/>
                        </w:tcBorders>
                        <w:textDirection w:val="lrTb"/>
                        <w:vAlign w:val="top"/>
                      </w:tcPr>
                      <w:p/>
                    </w:tc>
                    <w:tc>
                      <w:tcPr>
                        <w:tcW w:w="2318" w:type="auto"/>
                        <w:gridSpan w:val="1"/>
                        <w:tcBorders>
                          <w:top w:val="none" w:sz="0" w:color="000000"/>
                          <w:left w:val="none" w:sz="0" w:color="000000"/>
                          <w:bottom w:val="double" w:sz="9" w:color="DDDEDE"/>
                          <w:right w:val="none" w:sz="0" w:color="000000"/>
                        </w:tcBorders>
                        <w:textDirection w:val="lrTb"/>
                        <w:vAlign w:val="top"/>
                      </w:tcPr>
                      <w:p/>
                    </w:tc>
                    <w:tc>
                      <w:tcPr>
                        <w:tcW w:w="2832" w:type="auto"/>
                        <w:gridSpan w:val="2"/>
                        <w:vMerge w:val="restart"/>
                        <w:tcBorders>
                          <w:top w:val="none" w:sz="0" w:color="000000"/>
                          <w:left w:val="none" w:sz="0" w:color="000000"/>
                          <w:bottom w:val="single" w:sz="0" w:color="000000"/>
                          <w:right w:val="none" w:sz="0" w:color="000000"/>
                        </w:tcBorders>
                        <w:textDirection w:val="lrTb"/>
                        <w:vAlign w:val="top"/>
                      </w:tcPr>
                      <w:p>
                        <w:pPr>
                          <w:pageBreakBefore w:val="false"/>
                          <w:spacing w:before="0" w:after="0" w:line="240" w:lineRule="auto"/>
                          <w:ind w:right="0" w:left="0"/>
                          <w:jc w:val="center"/>
                          <w:textAlignment w:val="baseline"/>
                        </w:pPr>
                        <w:r>
                          <w:drawing>
                            <wp:inline>
                              <wp:extent cx="325755" cy="289560"/>
                              <wp:docPr id="3" name="Picture"/>
                              <a:graphic>
                                <a:graphicData uri="http://schemas.openxmlformats.org/drawingml/2006/picture">
                                  <pic:pic>
                                    <pic:nvPicPr>
                                      <pic:cNvPr id="4" name="test1"/>
                                      <pic:cNvPicPr preferRelativeResize="false"/>
                                    </pic:nvPicPr>
                                    <pic:blipFill>
                                      <a:blip r:embed="drId5"/>
                                      <a:stretch>
                                        <a:fillRect/>
                                      </a:stretch>
                                    </pic:blipFill>
                                    <pic:spPr>
                                      <a:xfrm>
                                        <a:off x="0" y="0"/>
                                        <a:ext cx="325755" cy="289560"/>
                                      </a:xfrm>
                                      <a:prstGeom prst="rect">
                                        <a:avLst/>
                                      </a:prstGeom>
                                    </pic:spPr>
                                  </pic:pic>
                                </a:graphicData>
                              </a:graphic>
                            </wp:inline>
                          </w:drawing>
                        </w:r>
                      </w:p>
                    </w:tc>
                    <w:tc>
                      <w:tcPr>
                        <w:tcW w:w="7267" w:type="auto"/>
                        <w:gridSpan w:val="1"/>
                        <w:vMerge w:val="restart"/>
                        <w:tcBorders>
                          <w:top w:val="none" w:sz="0" w:color="000000"/>
                          <w:left w:val="none" w:sz="0" w:color="000000"/>
                          <w:bottom w:val="single" w:sz="0" w:color="000000"/>
                          <w:right w:val="none" w:sz="0" w:color="000000"/>
                        </w:tcBorders>
                        <w:textDirection w:val="lrTb"/>
                        <w:vAlign w:val="center"/>
                      </w:tcPr>
                      <w:p>
                        <w:pPr>
                          <w:pageBreakBefore w:val="false"/>
                          <w:spacing w:before="67" w:after="123" w:line="266" w:lineRule="exact"/>
                          <w:ind w:right="0" w:left="0" w:firstLine="0"/>
                          <w:jc w:val="center"/>
                          <w:textAlignment w:val="baseline"/>
                          <w:rPr>
                            <w:rFonts w:ascii="Calibri" w:hAnsi="Calibri" w:eastAsia="Calibri"/>
                            <w:b w:val="true"/>
                            <w:strike w:val="false"/>
                            <w:color w:val="000000"/>
                            <w:spacing w:val="0"/>
                            <w:w w:val="100"/>
                            <w:sz w:val="24"/>
                            <w:vertAlign w:val="baseline"/>
                            <w:lang w:val="en-US"/>
                          </w:rPr>
                        </w:pPr>
                        <w:r>
                          <w:rPr>
                            <w:rFonts w:ascii="Calibri" w:hAnsi="Calibri" w:eastAsia="Calibri"/>
                            <w:b w:val="true"/>
                            <w:strike w:val="false"/>
                            <w:color w:val="000000"/>
                            <w:spacing w:val="0"/>
                            <w:w w:val="100"/>
                            <w:sz w:val="24"/>
                            <w:vertAlign w:val="baseline"/>
                            <w:lang w:val="en-US"/>
                          </w:rPr>
                          <w:t xml:space="preserve">TCLUO 2024-118</w:t>
                        </w:r>
                      </w:p>
                    </w:tc>
                    <w:tc>
                      <w:tcPr>
                        <w:tcW w:w="7287" w:type="auto"/>
                        <w:gridSpan w:val="1"/>
                        <w:tcBorders>
                          <w:top w:val="single" w:sz="7" w:color="000000"/>
                          <w:left w:val="none" w:sz="0" w:color="000000"/>
                          <w:bottom w:val="single" w:sz="7" w:color="000000"/>
                          <w:right w:val="none" w:sz="0" w:color="000000"/>
                        </w:tcBorders>
                        <w:textDirection w:val="lrTb"/>
                        <w:vAlign w:val="top"/>
                      </w:tcPr>
                      <w:p/>
                    </w:tc>
                    <w:tc>
                      <w:tcPr>
                        <w:tcW w:w="7992" w:type="auto"/>
                        <w:gridSpan w:val="1"/>
                        <w:tcBorders>
                          <w:top w:val="single" w:sz="7" w:color="000000"/>
                          <w:left w:val="none" w:sz="0" w:color="000000"/>
                          <w:bottom w:val="single" w:sz="7" w:color="000000"/>
                          <w:right w:val="none" w:sz="0" w:color="000000"/>
                        </w:tcBorders>
                        <w:textDirection w:val="lrTb"/>
                        <w:vAlign w:val="top"/>
                      </w:tcPr>
                      <w:p/>
                    </w:tc>
                    <w:tc>
                      <w:tcPr>
                        <w:tcW w:w="9393" w:type="auto"/>
                        <w:gridSpan w:val="1"/>
                        <w:tcBorders>
                          <w:top w:val="single" w:sz="4" w:color="F8F5F6"/>
                          <w:left w:val="none" w:sz="0" w:color="000000"/>
                          <w:bottom w:val="single" w:sz="4" w:color="F8F5F6"/>
                          <w:right w:val="none" w:sz="0" w:color="000000"/>
                        </w:tcBorders>
                        <w:textDirection w:val="lrTb"/>
                        <w:vAlign w:val="top"/>
                      </w:tcPr>
                      <w:p/>
                    </w:tc>
                    <w:tc>
                      <w:tcPr>
                        <w:tcW w:w="10089" w:type="auto"/>
                        <w:gridSpan w:val="1"/>
                        <w:tcBorders>
                          <w:top w:val="single" w:sz="4" w:color="F8F5F6"/>
                          <w:left w:val="none" w:sz="0" w:color="000000"/>
                          <w:bottom w:val="single" w:sz="4" w:color="F8F5F6"/>
                          <w:right w:val="none" w:sz="0" w:color="000000"/>
                        </w:tcBorders>
                        <w:textDirection w:val="lrTb"/>
                        <w:vAlign w:val="top"/>
                      </w:tcPr>
                      <w:p/>
                    </w:tc>
                    <w:tc>
                      <w:tcPr>
                        <w:tcW w:w="10113" w:type="auto"/>
                        <w:gridSpan w:val="1"/>
                        <w:tcBorders>
                          <w:top w:val="single" w:sz="7" w:color="000000"/>
                          <w:left w:val="none" w:sz="0" w:color="000000"/>
                          <w:bottom w:val="single" w:sz="7" w:color="000000"/>
                          <w:right w:val="none" w:sz="0" w:color="000000"/>
                        </w:tcBorders>
                        <w:textDirection w:val="lrTb"/>
                        <w:vAlign w:val="top"/>
                      </w:tcPr>
                      <w:p/>
                    </w:tc>
                    <w:tc>
                      <w:tcPr>
                        <w:tcW w:w="10143" w:type="auto"/>
                        <w:gridSpan w:val="1"/>
                        <w:tcBorders>
                          <w:top w:val="none" w:sz="0" w:color="000000"/>
                          <w:left w:val="none" w:sz="0" w:color="000000"/>
                          <w:bottom w:val="single" w:sz="7" w:color="000000"/>
                          <w:right w:val="none" w:sz="0" w:color="000000"/>
                        </w:tcBorders>
                        <w:textDirection w:val="lrTb"/>
                        <w:vAlign w:val="top"/>
                      </w:tcPr>
                      <w:p/>
                    </w:tc>
                  </w:tr>
                  <w:tr>
                    <w:trPr>
                      <w:trHeight w:val="33" w:hRule="exact"/>
                    </w:trPr>
                    <w:tc>
                      <w:tcPr>
                        <w:tcW w:w="250" w:type="auto"/>
                        <w:gridSpan w:val="1"/>
                        <w:vMerge w:val="restart"/>
                        <w:tcBorders>
                          <w:top w:val="none" w:sz="0" w:color="000000"/>
                          <w:left w:val="none" w:sz="0" w:color="020000"/>
                          <w:bottom w:val="single" w:sz="0" w:color="000000"/>
                          <w:right w:val="none" w:sz="0" w:color="020000"/>
                        </w:tcBorders>
                        <w:textDirection w:val="lrTb"/>
                        <w:vAlign w:val="top"/>
                      </w:tcPr>
                      <w:p>
                        <w:pPr>
                          <w:pageBreakBefore w:val="false"/>
                          <w:spacing w:before="0" w:after="0" w:line="116" w:lineRule="exact"/>
                          <w:ind w:right="0" w:left="5"/>
                          <w:jc w:val="center"/>
                          <w:textAlignment w:val="baseline"/>
                        </w:pPr>
                        <w:r>
                          <w:drawing>
                            <wp:inline>
                              <wp:extent cx="155575" cy="73660"/>
                              <wp:docPr id="5" name="Picture"/>
                              <a:graphic>
                                <a:graphicData uri="http://schemas.openxmlformats.org/drawingml/2006/picture">
                                  <pic:pic>
                                    <pic:nvPicPr>
                                      <pic:cNvPr id="6" name="test1"/>
                                      <pic:cNvPicPr preferRelativeResize="false"/>
                                    </pic:nvPicPr>
                                    <pic:blipFill>
                                      <a:blip r:embed="drId6"/>
                                      <a:stretch>
                                        <a:fillRect/>
                                      </a:stretch>
                                    </pic:blipFill>
                                    <pic:spPr>
                                      <a:xfrm>
                                        <a:off x="0" y="0"/>
                                        <a:ext cx="155575" cy="73660"/>
                                      </a:xfrm>
                                      <a:prstGeom prst="rect">
                                        <a:avLst/>
                                      </a:prstGeom>
                                    </pic:spPr>
                                  </pic:pic>
                                </a:graphicData>
                              </a:graphic>
                            </wp:inline>
                          </w:drawing>
                        </w:r>
                      </w:p>
                    </w:tc>
                    <w:tc>
                      <w:tcPr>
                        <w:tcW w:w="840" w:type="auto"/>
                        <w:gridSpan w:val="1"/>
                        <w:tcBorders>
                          <w:top w:val="double" w:sz="9" w:color="DDDEDE"/>
                          <w:left w:val="none" w:sz="0" w:color="020000"/>
                          <w:bottom w:val="single" w:sz="4" w:color="E4E4E4"/>
                          <w:right w:val="none" w:sz="0" w:color="020000"/>
                        </w:tcBorders>
                        <w:textDirection w:val="lrTb"/>
                        <w:vAlign w:val="top"/>
                      </w:tcPr>
                      <w:p/>
                    </w:tc>
                    <w:tc>
                      <w:tcPr>
                        <w:tcW w:w="1146" w:type="auto"/>
                        <w:gridSpan w:val="1"/>
                        <w:tcBorders>
                          <w:top w:val="double" w:sz="9" w:color="DDDEDE"/>
                          <w:left w:val="none" w:sz="0" w:color="020000"/>
                          <w:bottom w:val="single" w:sz="4" w:color="E4E4E4"/>
                          <w:right w:val="none" w:sz="0" w:color="020000"/>
                        </w:tcBorders>
                        <w:textDirection w:val="lrTb"/>
                        <w:vAlign w:val="top"/>
                      </w:tcPr>
                      <w:p/>
                    </w:tc>
                    <w:tc>
                      <w:tcPr>
                        <w:tcW w:w="2121" w:type="auto"/>
                        <w:gridSpan w:val="1"/>
                        <w:tcBorders>
                          <w:top w:val="double" w:sz="9" w:color="DDDEDE"/>
                          <w:left w:val="none" w:sz="0" w:color="020000"/>
                          <w:bottom w:val="single" w:sz="4" w:color="EBEBEB"/>
                          <w:right w:val="none" w:sz="0" w:color="020000"/>
                        </w:tcBorders>
                        <w:textDirection w:val="lrTb"/>
                        <w:vAlign w:val="top"/>
                      </w:tcPr>
                      <w:p/>
                    </w:tc>
                    <w:tc>
                      <w:tcPr>
                        <w:tcW w:w="2318" w:type="auto"/>
                        <w:gridSpan w:val="1"/>
                        <w:tcBorders>
                          <w:top w:val="double" w:sz="9" w:color="DDDEDE"/>
                          <w:left w:val="none" w:sz="0" w:color="020000"/>
                          <w:bottom w:val="single" w:sz="2" w:color="E4E4E4"/>
                          <w:right w:val="none" w:sz="0" w:color="020000"/>
                        </w:tcBorders>
                        <w:textDirection w:val="lrTb"/>
                        <w:vAlign w:val="top"/>
                      </w:tcPr>
                      <w:p/>
                    </w:tc>
                    <w:tc>
                      <w:tcPr>
                        <w:tcW w:w="2832" w:type="auto"/>
                        <w:gridSpan w:val="2"/>
                        <w:vMerge w:val="continue"/>
                        <w:tcBorders>
                          <w:top w:val="single" w:sz="0" w:color="000000"/>
                          <w:left w:val="none" w:sz="0" w:color="020000"/>
                          <w:bottom w:val="single" w:sz="0" w:color="000000"/>
                          <w:right w:val="none" w:sz="0" w:color="000000"/>
                        </w:tcBorders>
                        <w:textDirection w:val="lrTb"/>
                        <w:vAlign w:val="top"/>
                      </w:tcPr>
                      <w:p/>
                    </w:tc>
                    <w:tc>
                      <w:tcPr>
                        <w:tcW w:w="7267" w:type="auto"/>
                        <w:gridSpan w:val="1"/>
                        <w:vMerge w:val="continue"/>
                        <w:tcBorders>
                          <w:top w:val="single" w:sz="0" w:color="000000"/>
                          <w:left w:val="none" w:sz="0" w:color="000000"/>
                          <w:bottom w:val="single" w:sz="0" w:color="000000"/>
                          <w:right w:val="none" w:sz="0" w:color="020000"/>
                        </w:tcBorders>
                        <w:textDirection w:val="lrTb"/>
                        <w:vAlign w:val="center"/>
                      </w:tcPr>
                      <w:p/>
                    </w:tc>
                    <w:tc>
                      <w:tcPr>
                        <w:tcW w:w="7287" w:type="auto"/>
                        <w:gridSpan w:val="1"/>
                        <w:tcBorders>
                          <w:top w:val="single" w:sz="7" w:color="000000"/>
                          <w:left w:val="none" w:sz="0" w:color="020000"/>
                          <w:bottom w:val="double" w:sz="4" w:color="F8F5F6"/>
                          <w:right w:val="none" w:sz="0" w:color="020000"/>
                        </w:tcBorders>
                        <w:textDirection w:val="lrTb"/>
                        <w:vAlign w:val="top"/>
                      </w:tcPr>
                      <w:p/>
                    </w:tc>
                    <w:tc>
                      <w:tcPr>
                        <w:tcW w:w="7992" w:type="auto"/>
                        <w:gridSpan w:val="1"/>
                        <w:tcBorders>
                          <w:top w:val="single" w:sz="7" w:color="000000"/>
                          <w:left w:val="none" w:sz="0" w:color="020000"/>
                          <w:bottom w:val="single" w:sz="4" w:color="EDF4F6"/>
                          <w:right w:val="none" w:sz="0" w:color="020000"/>
                        </w:tcBorders>
                        <w:textDirection w:val="lrTb"/>
                        <w:vAlign w:val="top"/>
                      </w:tcPr>
                      <w:p/>
                    </w:tc>
                    <w:tc>
                      <w:tcPr>
                        <w:tcW w:w="9393" w:type="auto"/>
                        <w:gridSpan w:val="1"/>
                        <w:tcBorders>
                          <w:top w:val="single" w:sz="4" w:color="F8F5F6"/>
                          <w:left w:val="none" w:sz="0" w:color="020000"/>
                          <w:bottom w:val="single" w:sz="4" w:color="EDF4F6"/>
                          <w:right w:val="none" w:sz="0" w:color="020000"/>
                        </w:tcBorders>
                        <w:textDirection w:val="lrTb"/>
                        <w:vAlign w:val="top"/>
                      </w:tcPr>
                      <w:p/>
                    </w:tc>
                    <w:tc>
                      <w:tcPr>
                        <w:tcW w:w="10089" w:type="auto"/>
                        <w:gridSpan w:val="1"/>
                        <w:tcBorders>
                          <w:top w:val="single" w:sz="4" w:color="F8F5F6"/>
                          <w:left w:val="none" w:sz="0" w:color="020000"/>
                          <w:bottom w:val="double" w:sz="4" w:color="F8F5F6"/>
                          <w:right w:val="none" w:sz="0" w:color="020000"/>
                        </w:tcBorders>
                        <w:textDirection w:val="lrTb"/>
                        <w:vAlign w:val="top"/>
                      </w:tcPr>
                      <w:p/>
                    </w:tc>
                    <w:tc>
                      <w:tcPr>
                        <w:tcW w:w="10143" w:type="auto"/>
                        <w:gridSpan w:val="2"/>
                        <w:vMerge w:val="restart"/>
                        <w:tcBorders>
                          <w:top w:val="single" w:sz="7" w:color="000000"/>
                          <w:left w:val="none" w:sz="0" w:color="020000"/>
                          <w:bottom w:val="single" w:sz="0" w:color="000000"/>
                          <w:right w:val="none" w:sz="0" w:color="020000"/>
                        </w:tcBorders>
                        <w:textDirection w:val="lrTb"/>
                        <w:vAlign w:val="top"/>
                      </w:tcPr>
                      <w:p>
                        <w:pPr>
                          <w:pageBreakBefore w:val="false"/>
                          <w:spacing w:before="0" w:after="0" w:line="67" w:lineRule="exact"/>
                          <w:ind w:right="0" w:left="6"/>
                          <w:jc w:val="center"/>
                          <w:textAlignment w:val="baseline"/>
                        </w:pPr>
                        <w:r>
                          <w:drawing>
                            <wp:inline>
                              <wp:extent cx="30480" cy="42545"/>
                              <wp:docPr id="7" name="Picture"/>
                              <a:graphic>
                                <a:graphicData uri="http://schemas.openxmlformats.org/drawingml/2006/picture">
                                  <pic:pic>
                                    <pic:nvPicPr>
                                      <pic:cNvPr id="8" name="test1"/>
                                      <pic:cNvPicPr preferRelativeResize="false"/>
                                    </pic:nvPicPr>
                                    <pic:blipFill>
                                      <a:blip r:embed="drId7"/>
                                      <a:stretch>
                                        <a:fillRect/>
                                      </a:stretch>
                                    </pic:blipFill>
                                    <pic:spPr>
                                      <a:xfrm>
                                        <a:off x="0" y="0"/>
                                        <a:ext cx="30480" cy="42545"/>
                                      </a:xfrm>
                                      <a:prstGeom prst="rect">
                                        <a:avLst/>
                                      </a:prstGeom>
                                    </pic:spPr>
                                  </pic:pic>
                                </a:graphicData>
                              </a:graphic>
                            </wp:inline>
                          </w:drawing>
                        </w:r>
                      </w:p>
                    </w:tc>
                  </w:tr>
                  <w:tr>
                    <w:trPr>
                      <w:trHeight w:val="48" w:hRule="exact"/>
                    </w:trPr>
                    <w:tc>
                      <w:tcPr>
                        <w:tcW w:w="250" w:type="auto"/>
                        <w:gridSpan w:val="1"/>
                        <w:vMerge w:val="continue"/>
                        <w:tcBorders>
                          <w:top w:val="single" w:sz="0" w:color="000000"/>
                          <w:left w:val="none" w:sz="0" w:color="020000"/>
                          <w:bottom w:val="single" w:sz="0" w:color="000000"/>
                          <w:right w:val="none" w:sz="0" w:color="020000"/>
                        </w:tcBorders>
                        <w:textDirection w:val="lrTb"/>
                        <w:vAlign w:val="top"/>
                      </w:tcPr>
                      <w:p/>
                    </w:tc>
                    <w:tc>
                      <w:tcPr>
                        <w:tcW w:w="840" w:type="auto"/>
                        <w:gridSpan w:val="1"/>
                        <w:tcBorders>
                          <w:top w:val="single" w:sz="4" w:color="E4E4E4"/>
                          <w:left w:val="none" w:sz="0" w:color="020000"/>
                          <w:bottom w:val="single" w:sz="4" w:color="EBEBEB"/>
                          <w:right w:val="none" w:sz="0" w:color="020000"/>
                        </w:tcBorders>
                        <w:textDirection w:val="lrTb"/>
                        <w:vAlign w:val="top"/>
                      </w:tcPr>
                      <w:p/>
                    </w:tc>
                    <w:tc>
                      <w:tcPr>
                        <w:tcW w:w="1146" w:type="auto"/>
                        <w:gridSpan w:val="1"/>
                        <w:tcBorders>
                          <w:top w:val="single" w:sz="4" w:color="E4E4E4"/>
                          <w:left w:val="none" w:sz="0" w:color="020000"/>
                          <w:bottom w:val="single" w:sz="4" w:color="E4E4E4"/>
                          <w:right w:val="none" w:sz="0" w:color="020000"/>
                        </w:tcBorders>
                        <w:textDirection w:val="lrTb"/>
                        <w:vAlign w:val="top"/>
                      </w:tcPr>
                      <w:p/>
                    </w:tc>
                    <w:tc>
                      <w:tcPr>
                        <w:tcW w:w="2121" w:type="auto"/>
                        <w:gridSpan w:val="1"/>
                        <w:tcBorders>
                          <w:top w:val="single" w:sz="4" w:color="EBEBEB"/>
                          <w:left w:val="none" w:sz="0" w:color="020000"/>
                          <w:bottom w:val="single" w:sz="4" w:color="EBEBEB"/>
                          <w:right w:val="none" w:sz="0" w:color="020000"/>
                        </w:tcBorders>
                        <w:textDirection w:val="lrTb"/>
                        <w:vAlign w:val="top"/>
                      </w:tcPr>
                      <w:p/>
                    </w:tc>
                    <w:tc>
                      <w:tcPr>
                        <w:tcW w:w="2318" w:type="auto"/>
                        <w:gridSpan w:val="1"/>
                        <w:tcBorders>
                          <w:top w:val="single" w:sz="2" w:color="E4E4E4"/>
                          <w:left w:val="none" w:sz="0" w:color="020000"/>
                          <w:bottom w:val="single" w:sz="2" w:color="E4E4E4"/>
                          <w:right w:val="none" w:sz="0" w:color="020000"/>
                        </w:tcBorders>
                        <w:textDirection w:val="lrTb"/>
                        <w:vAlign w:val="top"/>
                      </w:tcPr>
                      <w:p/>
                    </w:tc>
                    <w:tc>
                      <w:tcPr>
                        <w:tcW w:w="2832" w:type="auto"/>
                        <w:gridSpan w:val="2"/>
                        <w:vMerge w:val="continue"/>
                        <w:tcBorders>
                          <w:top w:val="single" w:sz="0" w:color="000000"/>
                          <w:left w:val="none" w:sz="0" w:color="020000"/>
                          <w:bottom w:val="none" w:sz="0" w:color="020000"/>
                          <w:right w:val="none" w:sz="0" w:color="000000"/>
                        </w:tcBorders>
                        <w:textDirection w:val="lrTb"/>
                        <w:vAlign w:val="top"/>
                      </w:tcPr>
                      <w:p/>
                    </w:tc>
                    <w:tc>
                      <w:tcPr>
                        <w:tcW w:w="7267" w:type="auto"/>
                        <w:gridSpan w:val="1"/>
                        <w:vMerge w:val="continue"/>
                        <w:tcBorders>
                          <w:top w:val="single" w:sz="0" w:color="000000"/>
                          <w:left w:val="none" w:sz="0" w:color="000000"/>
                          <w:bottom w:val="none" w:sz="0" w:color="000000"/>
                          <w:right w:val="none" w:sz="0" w:color="020000"/>
                        </w:tcBorders>
                        <w:textDirection w:val="lrTb"/>
                        <w:vAlign w:val="center"/>
                      </w:tcPr>
                      <w:p/>
                    </w:tc>
                    <w:tc>
                      <w:tcPr>
                        <w:tcW w:w="7287" w:type="auto"/>
                        <w:gridSpan w:val="1"/>
                        <w:tcBorders>
                          <w:top w:val="double" w:sz="4" w:color="F8F5F6"/>
                          <w:left w:val="none" w:sz="0" w:color="020000"/>
                          <w:bottom w:val="double" w:sz="4" w:color="F8F5F6"/>
                          <w:right w:val="none" w:sz="0" w:color="020000"/>
                        </w:tcBorders>
                        <w:textDirection w:val="lrTb"/>
                        <w:vAlign w:val="top"/>
                      </w:tcPr>
                      <w:p/>
                    </w:tc>
                    <w:tc>
                      <w:tcPr>
                        <w:tcW w:w="7992" w:type="auto"/>
                        <w:gridSpan w:val="1"/>
                        <w:tcBorders>
                          <w:top w:val="single" w:sz="4" w:color="EDF4F6"/>
                          <w:left w:val="none" w:sz="0" w:color="020000"/>
                          <w:bottom w:val="single" w:sz="4" w:color="EDF4F6"/>
                          <w:right w:val="none" w:sz="0" w:color="020000"/>
                        </w:tcBorders>
                        <w:textDirection w:val="lrTb"/>
                        <w:vAlign w:val="top"/>
                      </w:tcPr>
                      <w:p/>
                    </w:tc>
                    <w:tc>
                      <w:tcPr>
                        <w:tcW w:w="9393" w:type="auto"/>
                        <w:gridSpan w:val="1"/>
                        <w:tcBorders>
                          <w:top w:val="single" w:sz="4" w:color="EDF4F6"/>
                          <w:left w:val="none" w:sz="0" w:color="020000"/>
                          <w:bottom w:val="single" w:sz="4" w:color="EDF4F6"/>
                          <w:right w:val="none" w:sz="0" w:color="020000"/>
                        </w:tcBorders>
                        <w:textDirection w:val="lrTb"/>
                        <w:vAlign w:val="top"/>
                      </w:tcPr>
                      <w:p/>
                    </w:tc>
                    <w:tc>
                      <w:tcPr>
                        <w:tcW w:w="10089" w:type="auto"/>
                        <w:gridSpan w:val="1"/>
                        <w:tcBorders>
                          <w:top w:val="double" w:sz="4" w:color="F8F5F6"/>
                          <w:left w:val="none" w:sz="0" w:color="020000"/>
                          <w:bottom w:val="double" w:sz="4" w:color="F8F5F6"/>
                          <w:right w:val="none" w:sz="0" w:color="020000"/>
                        </w:tcBorders>
                        <w:textDirection w:val="lrTb"/>
                        <w:vAlign w:val="top"/>
                      </w:tcPr>
                      <w:p/>
                    </w:tc>
                    <w:tc>
                      <w:tcPr>
                        <w:tcW w:w="10143" w:type="auto"/>
                        <w:gridSpan w:val="2"/>
                        <w:vMerge w:val="continue"/>
                        <w:tcBorders>
                          <w:top w:val="single" w:sz="0" w:color="000000"/>
                          <w:left w:val="none" w:sz="0" w:color="020000"/>
                          <w:bottom w:val="none" w:sz="0" w:color="020000"/>
                          <w:right w:val="none" w:sz="0" w:color="020000"/>
                        </w:tcBorders>
                        <w:textDirection w:val="lrTb"/>
                        <w:vAlign w:val="top"/>
                      </w:tcPr>
                      <w:p/>
                    </w:tc>
                  </w:tr>
                  <w:tr>
                    <w:trPr>
                      <w:trHeight w:val="24" w:hRule="exact"/>
                    </w:trPr>
                    <w:tc>
                      <w:tcPr>
                        <w:tcW w:w="250" w:type="auto"/>
                        <w:gridSpan w:val="1"/>
                        <w:vMerge w:val="continue"/>
                        <w:tcBorders>
                          <w:top w:val="single" w:sz="0" w:color="000000"/>
                          <w:left w:val="none" w:sz="0" w:color="020000"/>
                          <w:bottom w:val="single" w:sz="0" w:color="000000"/>
                          <w:right w:val="none" w:sz="0" w:color="020000"/>
                        </w:tcBorders>
                        <w:textDirection w:val="lrTb"/>
                        <w:vAlign w:val="top"/>
                      </w:tcPr>
                      <w:p/>
                    </w:tc>
                    <w:tc>
                      <w:tcPr>
                        <w:tcW w:w="840" w:type="auto"/>
                        <w:gridSpan w:val="1"/>
                        <w:tcBorders>
                          <w:top w:val="single" w:sz="4" w:color="EBEBEB"/>
                          <w:left w:val="none" w:sz="0" w:color="020000"/>
                          <w:bottom w:val="single" w:sz="9" w:color="F8F5F6"/>
                          <w:right w:val="none" w:sz="0" w:color="020000"/>
                        </w:tcBorders>
                        <w:textDirection w:val="lrTb"/>
                        <w:vAlign w:val="top"/>
                      </w:tcPr>
                      <w:p/>
                    </w:tc>
                    <w:tc>
                      <w:tcPr>
                        <w:tcW w:w="1146" w:type="auto"/>
                        <w:gridSpan w:val="1"/>
                        <w:tcBorders>
                          <w:top w:val="single" w:sz="4" w:color="E4E4E4"/>
                          <w:left w:val="none" w:sz="0" w:color="020000"/>
                          <w:bottom w:val="single" w:sz="9" w:color="F8F5F6"/>
                          <w:right w:val="none" w:sz="0" w:color="020000"/>
                        </w:tcBorders>
                        <w:textDirection w:val="lrTb"/>
                        <w:vAlign w:val="top"/>
                      </w:tcPr>
                      <w:p/>
                    </w:tc>
                    <w:tc>
                      <w:tcPr>
                        <w:tcW w:w="2121" w:type="auto"/>
                        <w:gridSpan w:val="1"/>
                        <w:tcBorders>
                          <w:top w:val="single" w:sz="4" w:color="EBEBEB"/>
                          <w:left w:val="none" w:sz="0" w:color="020000"/>
                          <w:bottom w:val="single" w:sz="9" w:color="F8F5F6"/>
                          <w:right w:val="none" w:sz="0" w:color="020000"/>
                        </w:tcBorders>
                        <w:textDirection w:val="lrTb"/>
                        <w:vAlign w:val="top"/>
                      </w:tcPr>
                      <w:p/>
                    </w:tc>
                    <w:tc>
                      <w:tcPr>
                        <w:tcW w:w="2318" w:type="auto"/>
                        <w:gridSpan w:val="1"/>
                        <w:tcBorders>
                          <w:top w:val="single" w:sz="2" w:color="E4E4E4"/>
                          <w:left w:val="none" w:sz="0" w:color="020000"/>
                          <w:bottom w:val="single" w:sz="9" w:color="F8F5F6"/>
                          <w:right w:val="none" w:sz="0" w:color="020000"/>
                        </w:tcBorders>
                        <w:textDirection w:val="lrTb"/>
                        <w:vAlign w:val="top"/>
                      </w:tcPr>
                      <w:p/>
                    </w:tc>
                    <w:tc>
                      <w:tcPr>
                        <w:tcW w:w="2831" w:type="auto"/>
                        <w:gridSpan w:val="1"/>
                        <w:tcBorders>
                          <w:top w:val="none" w:sz="0" w:color="020000"/>
                          <w:left w:val="none" w:sz="0" w:color="020000"/>
                          <w:bottom w:val="single" w:sz="9" w:color="F8F5F6"/>
                          <w:right w:val="none" w:sz="0" w:color="020000"/>
                        </w:tcBorders>
                        <w:textDirection w:val="lrTb"/>
                        <w:vAlign w:val="top"/>
                      </w:tcPr>
                      <w:p/>
                    </w:tc>
                    <w:tc>
                      <w:tcPr>
                        <w:tcW w:w="2832" w:type="auto"/>
                        <w:gridSpan w:val="1"/>
                        <w:tcBorders>
                          <w:top w:val="none" w:sz="0" w:color="020000"/>
                          <w:left w:val="none" w:sz="0" w:color="020000"/>
                          <w:bottom w:val="none" w:sz="0" w:color="000000"/>
                          <w:right w:val="none" w:sz="0" w:color="020000"/>
                        </w:tcBorders>
                        <w:textDirection w:val="lrTb"/>
                        <w:vAlign w:val="top"/>
                      </w:tcPr>
                      <w:p/>
                    </w:tc>
                    <w:tc>
                      <w:tcPr>
                        <w:tcW w:w="7267" w:type="auto"/>
                        <w:gridSpan w:val="1"/>
                        <w:tcBorders>
                          <w:top w:val="none" w:sz="0" w:color="000000"/>
                          <w:left w:val="none" w:sz="0" w:color="020000"/>
                          <w:bottom w:val="none" w:sz="0" w:color="000000"/>
                          <w:right w:val="none" w:sz="0" w:color="020000"/>
                        </w:tcBorders>
                        <w:textDirection w:val="lrTb"/>
                        <w:vAlign w:val="top"/>
                      </w:tcPr>
                      <w:p/>
                    </w:tc>
                    <w:tc>
                      <w:tcPr>
                        <w:tcW w:w="7287" w:type="auto"/>
                        <w:gridSpan w:val="1"/>
                        <w:tcBorders>
                          <w:top w:val="double" w:sz="4" w:color="F8F5F6"/>
                          <w:left w:val="none" w:sz="0" w:color="020000"/>
                          <w:bottom w:val="none" w:sz="0" w:color="020000"/>
                          <w:right w:val="none" w:sz="0" w:color="020000"/>
                        </w:tcBorders>
                        <w:textDirection w:val="lrTb"/>
                        <w:vAlign w:val="top"/>
                      </w:tcPr>
                      <w:p/>
                    </w:tc>
                    <w:tc>
                      <w:tcPr>
                        <w:tcW w:w="7992" w:type="auto"/>
                        <w:gridSpan w:val="1"/>
                        <w:tcBorders>
                          <w:top w:val="single" w:sz="4" w:color="EDF4F6"/>
                          <w:left w:val="none" w:sz="0" w:color="020000"/>
                          <w:bottom w:val="none" w:sz="0" w:color="020000"/>
                          <w:right w:val="none" w:sz="0" w:color="020000"/>
                        </w:tcBorders>
                        <w:textDirection w:val="lrTb"/>
                        <w:vAlign w:val="top"/>
                      </w:tcPr>
                      <w:p/>
                    </w:tc>
                    <w:tc>
                      <w:tcPr>
                        <w:tcW w:w="9393" w:type="auto"/>
                        <w:gridSpan w:val="1"/>
                        <w:tcBorders>
                          <w:top w:val="single" w:sz="4" w:color="EDF4F6"/>
                          <w:left w:val="none" w:sz="0" w:color="020000"/>
                          <w:bottom w:val="none" w:sz="0" w:color="000000"/>
                          <w:right w:val="none" w:sz="0" w:color="020000"/>
                        </w:tcBorders>
                        <w:textDirection w:val="lrTb"/>
                        <w:vAlign w:val="top"/>
                      </w:tcPr>
                      <w:p/>
                    </w:tc>
                    <w:tc>
                      <w:tcPr>
                        <w:tcW w:w="10089" w:type="auto"/>
                        <w:gridSpan w:val="1"/>
                        <w:tcBorders>
                          <w:top w:val="double" w:sz="4" w:color="F8F5F6"/>
                          <w:left w:val="none" w:sz="0" w:color="020000"/>
                          <w:bottom w:val="none" w:sz="0" w:color="000000"/>
                          <w:right w:val="none" w:sz="0" w:color="020000"/>
                        </w:tcBorders>
                        <w:textDirection w:val="lrTb"/>
                        <w:vAlign w:val="top"/>
                      </w:tcPr>
                      <w:p/>
                    </w:tc>
                    <w:tc>
                      <w:tcPr>
                        <w:tcW w:w="10113" w:type="auto"/>
                        <w:gridSpan w:val="1"/>
                        <w:tcBorders>
                          <w:top w:val="none" w:sz="0" w:color="020000"/>
                          <w:left w:val="none" w:sz="0" w:color="020000"/>
                          <w:bottom w:val="none" w:sz="0" w:color="020000"/>
                          <w:right w:val="none" w:sz="0" w:color="020000"/>
                        </w:tcBorders>
                        <w:textDirection w:val="lrTb"/>
                        <w:vAlign w:val="top"/>
                      </w:tcPr>
                      <w:p/>
                    </w:tc>
                    <w:tc>
                      <w:tcPr>
                        <w:tcW w:w="10143" w:type="auto"/>
                        <w:gridSpan w:val="1"/>
                        <w:tcBorders>
                          <w:top w:val="none" w:sz="0" w:color="020000"/>
                          <w:left w:val="none" w:sz="0" w:color="020000"/>
                          <w:bottom w:val="none" w:sz="0" w:color="000000"/>
                          <w:right w:val="none" w:sz="0" w:color="020000"/>
                        </w:tcBorders>
                        <w:textDirection w:val="lrTb"/>
                        <w:vAlign w:val="top"/>
                      </w:tcPr>
                      <w:p/>
                    </w:tc>
                  </w:tr>
                  <w:tr>
                    <w:trPr>
                      <w:trHeight w:val="15" w:hRule="exact"/>
                    </w:trPr>
                    <w:tc>
                      <w:tcPr>
                        <w:tcW w:w="250" w:type="auto"/>
                        <w:gridSpan w:val="1"/>
                        <w:vMerge w:val="continue"/>
                        <w:tcBorders>
                          <w:top w:val="single" w:sz="0" w:color="000000"/>
                          <w:left w:val="none" w:sz="0" w:color="020000"/>
                          <w:bottom w:val="none" w:sz="0" w:color="000000"/>
                          <w:right w:val="none" w:sz="0" w:color="000000"/>
                        </w:tcBorders>
                        <w:textDirection w:val="lrTb"/>
                        <w:vAlign w:val="top"/>
                      </w:tcPr>
                      <w:p/>
                    </w:tc>
                    <w:tc>
                      <w:tcPr>
                        <w:tcW w:w="840" w:type="auto"/>
                        <w:gridSpan w:val="1"/>
                        <w:tcBorders>
                          <w:top w:val="single" w:sz="9" w:color="F8F5F6"/>
                          <w:left w:val="none" w:sz="0" w:color="000000"/>
                          <w:bottom w:val="none" w:sz="0" w:color="000000"/>
                          <w:right w:val="none" w:sz="0" w:color="000000"/>
                        </w:tcBorders>
                        <w:textDirection w:val="lrTb"/>
                        <w:vAlign w:val="top"/>
                      </w:tcPr>
                      <w:p/>
                    </w:tc>
                    <w:tc>
                      <w:tcPr>
                        <w:tcW w:w="1146" w:type="auto"/>
                        <w:gridSpan w:val="1"/>
                        <w:tcBorders>
                          <w:top w:val="single" w:sz="9" w:color="F8F5F6"/>
                          <w:left w:val="none" w:sz="0" w:color="000000"/>
                          <w:bottom w:val="none" w:sz="0" w:color="020000"/>
                          <w:right w:val="none" w:sz="0" w:color="000000"/>
                        </w:tcBorders>
                        <w:textDirection w:val="lrTb"/>
                        <w:vAlign w:val="top"/>
                      </w:tcPr>
                      <w:p/>
                    </w:tc>
                    <w:tc>
                      <w:tcPr>
                        <w:tcW w:w="2121" w:type="auto"/>
                        <w:gridSpan w:val="1"/>
                        <w:tcBorders>
                          <w:top w:val="single" w:sz="9" w:color="F8F5F6"/>
                          <w:left w:val="none" w:sz="0" w:color="000000"/>
                          <w:bottom w:val="none" w:sz="0" w:color="020000"/>
                          <w:right w:val="none" w:sz="0" w:color="000000"/>
                        </w:tcBorders>
                        <w:textDirection w:val="lrTb"/>
                        <w:vAlign w:val="top"/>
                      </w:tcPr>
                      <w:p/>
                    </w:tc>
                    <w:tc>
                      <w:tcPr>
                        <w:tcW w:w="2318" w:type="auto"/>
                        <w:gridSpan w:val="1"/>
                        <w:tcBorders>
                          <w:top w:val="single" w:sz="9" w:color="F8F5F6"/>
                          <w:left w:val="none" w:sz="0" w:color="000000"/>
                          <w:bottom w:val="none" w:sz="0" w:color="000000"/>
                          <w:right w:val="none" w:sz="0" w:color="000000"/>
                        </w:tcBorders>
                        <w:textDirection w:val="lrTb"/>
                        <w:vAlign w:val="top"/>
                      </w:tcPr>
                      <w:p/>
                    </w:tc>
                    <w:tc>
                      <w:tcPr>
                        <w:tcW w:w="2831" w:type="auto"/>
                        <w:gridSpan w:val="1"/>
                        <w:tcBorders>
                          <w:top w:val="single" w:sz="9" w:color="F8F5F6"/>
                          <w:left w:val="none" w:sz="0" w:color="000000"/>
                          <w:bottom w:val="none" w:sz="0" w:color="000000"/>
                          <w:right w:val="none" w:sz="0" w:color="000000"/>
                        </w:tcBorders>
                        <w:textDirection w:val="lrTb"/>
                        <w:vAlign w:val="top"/>
                      </w:tcPr>
                      <w:p/>
                    </w:tc>
                    <w:tc>
                      <w:tcPr>
                        <w:tcW w:w="2832" w:type="auto"/>
                        <w:gridSpan w:val="1"/>
                        <w:tcBorders>
                          <w:top w:val="none" w:sz="0" w:color="000000"/>
                          <w:left w:val="none" w:sz="0" w:color="000000"/>
                          <w:bottom w:val="none" w:sz="0" w:color="000000"/>
                          <w:right w:val="none" w:sz="0" w:color="000000"/>
                        </w:tcBorders>
                        <w:textDirection w:val="lrTb"/>
                        <w:vAlign w:val="top"/>
                      </w:tcPr>
                      <w:p/>
                    </w:tc>
                    <w:tc>
                      <w:tcPr>
                        <w:tcW w:w="7267" w:type="auto"/>
                        <w:gridSpan w:val="1"/>
                        <w:tcBorders>
                          <w:top w:val="none" w:sz="0" w:color="000000"/>
                          <w:left w:val="none" w:sz="0" w:color="000000"/>
                          <w:bottom w:val="none" w:sz="0" w:color="000000"/>
                          <w:right w:val="none" w:sz="0" w:color="000000"/>
                        </w:tcBorders>
                        <w:textDirection w:val="lrTb"/>
                        <w:vAlign w:val="top"/>
                      </w:tcPr>
                      <w:p/>
                    </w:tc>
                    <w:tc>
                      <w:tcPr>
                        <w:tcW w:w="7287" w:type="auto"/>
                        <w:gridSpan w:val="1"/>
                        <w:tcBorders>
                          <w:top w:val="none" w:sz="0" w:color="020000"/>
                          <w:left w:val="none" w:sz="0" w:color="000000"/>
                          <w:bottom w:val="none" w:sz="0" w:color="020000"/>
                          <w:right w:val="none" w:sz="0" w:color="000000"/>
                        </w:tcBorders>
                        <w:textDirection w:val="lrTb"/>
                        <w:vAlign w:val="top"/>
                      </w:tcPr>
                      <w:p/>
                    </w:tc>
                    <w:tc>
                      <w:tcPr>
                        <w:tcW w:w="7992" w:type="auto"/>
                        <w:gridSpan w:val="1"/>
                        <w:tcBorders>
                          <w:top w:val="none" w:sz="0" w:color="020000"/>
                          <w:left w:val="none" w:sz="0" w:color="000000"/>
                          <w:bottom w:val="none" w:sz="0" w:color="020000"/>
                          <w:right w:val="none" w:sz="0" w:color="000000"/>
                        </w:tcBorders>
                        <w:textDirection w:val="lrTb"/>
                        <w:vAlign w:val="top"/>
                      </w:tcPr>
                      <w:p/>
                    </w:tc>
                    <w:tc>
                      <w:tcPr>
                        <w:tcW w:w="9393" w:type="auto"/>
                        <w:gridSpan w:val="1"/>
                        <w:tcBorders>
                          <w:top w:val="none" w:sz="0" w:color="000000"/>
                          <w:left w:val="none" w:sz="0" w:color="000000"/>
                          <w:bottom w:val="none" w:sz="0" w:color="000000"/>
                          <w:right w:val="none" w:sz="0" w:color="000000"/>
                        </w:tcBorders>
                        <w:textDirection w:val="lrTb"/>
                        <w:vAlign w:val="top"/>
                      </w:tcPr>
                      <w:p/>
                    </w:tc>
                    <w:tc>
                      <w:tcPr>
                        <w:tcW w:w="10089" w:type="auto"/>
                        <w:gridSpan w:val="1"/>
                        <w:tcBorders>
                          <w:top w:val="none" w:sz="0" w:color="000000"/>
                          <w:left w:val="none" w:sz="0" w:color="000000"/>
                          <w:bottom w:val="none" w:sz="0" w:color="000000"/>
                          <w:right w:val="none" w:sz="0" w:color="000000"/>
                        </w:tcBorders>
                        <w:textDirection w:val="lrTb"/>
                        <w:vAlign w:val="top"/>
                      </w:tcPr>
                      <w:p/>
                    </w:tc>
                    <w:tc>
                      <w:tcPr>
                        <w:tcW w:w="10113" w:type="auto"/>
                        <w:gridSpan w:val="1"/>
                        <w:tcBorders>
                          <w:top w:val="none" w:sz="0" w:color="020000"/>
                          <w:left w:val="none" w:sz="0" w:color="000000"/>
                          <w:bottom w:val="none" w:sz="0" w:color="020000"/>
                          <w:right w:val="none" w:sz="0" w:color="000000"/>
                        </w:tcBorders>
                        <w:textDirection w:val="lrTb"/>
                        <w:vAlign w:val="top"/>
                      </w:tcPr>
                      <w:p/>
                    </w:tc>
                    <w:tc>
                      <w:tcPr>
                        <w:tcW w:w="10143" w:type="auto"/>
                        <w:gridSpan w:val="1"/>
                        <w:tcBorders>
                          <w:top w:val="none" w:sz="0" w:color="000000"/>
                          <w:left w:val="none" w:sz="0" w:color="000000"/>
                          <w:bottom w:val="none" w:sz="0" w:color="000000"/>
                          <w:right w:val="none" w:sz="0" w:color="000000"/>
                        </w:tcBorders>
                        <w:textDirection w:val="lrTb"/>
                        <w:vAlign w:val="top"/>
                      </w:tcPr>
                      <w:p/>
                    </w:tc>
                  </w:tr>
                </w:tbl>
              </w:txbxContent>
            </v:textbox>
          </v:shape>
        </w:pict>
      </w:r>
    </w:p>
    <w:p>
      <w:pPr>
        <w:sectPr>
          <w:type w:val="continuous"/>
          <w:pgSz w:w="12240" w:h="15840" w:orient="portrait"/>
          <w:pgMar w:bottom="384" w:top="620" w:right="1121" w:left="979" w:header="720" w:footer="720"/>
          <w:titlePg w:val="false"/>
          <w:textDirection w:val="lrTb"/>
        </w:sectPr>
      </w:pPr>
    </w:p>
    <w:p>
      <w:pPr>
        <w:pageBreakBefore w:val="false"/>
        <w:spacing w:before="46" w:after="0" w:line="407" w:lineRule="exact"/>
        <w:ind w:right="0" w:left="0" w:firstLine="0"/>
        <w:jc w:val="center"/>
        <w:textAlignment w:val="baseline"/>
        <w:rPr>
          <w:rFonts w:ascii="Calibri" w:hAnsi="Calibri" w:eastAsia="Calibri"/>
          <w:b w:val="true"/>
          <w:strike w:val="false"/>
          <w:color w:val="000000"/>
          <w:spacing w:val="9"/>
          <w:w w:val="95"/>
          <w:sz w:val="40"/>
          <w:vertAlign w:val="baseline"/>
          <w:lang w:val="en-US"/>
        </w:rPr>
      </w:pPr>
      <w:r>
        <w:rPr>
          <w:rFonts w:ascii="Calibri" w:hAnsi="Calibri" w:eastAsia="Calibri"/>
          <w:b w:val="true"/>
          <w:strike w:val="false"/>
          <w:color w:val="000000"/>
          <w:spacing w:val="9"/>
          <w:w w:val="95"/>
          <w:sz w:val="40"/>
          <w:vertAlign w:val="baseline"/>
          <w:lang w:val="en-US"/>
        </w:rPr>
        <w:t xml:space="preserve">Text Amendment Summary and Recommendation</w:t>
      </w:r>
    </w:p>
    <w:p>
      <w:pPr>
        <w:pageBreakBefore w:val="false"/>
        <w:tabs>
          <w:tab w:val="left" w:leader="none" w:pos="6480"/>
        </w:tabs>
        <w:spacing w:before="421" w:after="0" w:line="232" w:lineRule="exact"/>
        <w:ind w:right="0" w:left="0" w:firstLine="0"/>
        <w:jc w:val="left"/>
        <w:textAlignment w:val="baseline"/>
        <w:rPr>
          <w:rFonts w:ascii="Calibri" w:hAnsi="Calibri" w:eastAsia="Calibri"/>
          <w:b w:val="true"/>
          <w:strike w:val="false"/>
          <w:color w:val="000000"/>
          <w:spacing w:val="0"/>
          <w:w w:val="100"/>
          <w:sz w:val="22"/>
          <w:vertAlign w:val="baseline"/>
          <w:lang w:val="en-US"/>
        </w:rPr>
      </w:pPr>
      <w:r>
        <w:rPr>
          <w:rFonts w:ascii="Calibri" w:hAnsi="Calibri" w:eastAsia="Calibri"/>
          <w:b w:val="true"/>
          <w:strike w:val="false"/>
          <w:color w:val="000000"/>
          <w:spacing w:val="0"/>
          <w:w w:val="100"/>
          <w:sz w:val="22"/>
          <w:vertAlign w:val="baseline"/>
          <w:lang w:val="en-US"/>
        </w:rPr>
        <w:t xml:space="preserve">Public Body: </w:t>
      </w:r>
      <w:r>
        <w:rPr>
          <w:rFonts w:ascii="Calibri" w:hAnsi="Calibri" w:eastAsia="Calibri"/>
          <w:strike w:val="false"/>
          <w:color w:val="000000"/>
          <w:spacing w:val="0"/>
          <w:w w:val="100"/>
          <w:sz w:val="22"/>
          <w:vertAlign w:val="baseline"/>
          <w:lang w:val="en-US"/>
        </w:rPr>
        <w:t xml:space="preserve">Tooele County Planning Commission	</w:t>
      </w:r>
      <w:r>
        <w:rPr>
          <w:rFonts w:ascii="Calibri" w:hAnsi="Calibri" w:eastAsia="Calibri"/>
          <w:b w:val="true"/>
          <w:strike w:val="false"/>
          <w:color w:val="000000"/>
          <w:spacing w:val="0"/>
          <w:w w:val="100"/>
          <w:sz w:val="22"/>
          <w:vertAlign w:val="baseline"/>
          <w:lang w:val="en-US"/>
        </w:rPr>
        <w:t xml:space="preserve">Meeting Date: September 4, 2024</w:t>
      </w:r>
    </w:p>
    <w:p>
      <w:pPr>
        <w:pageBreakBefore w:val="false"/>
        <w:spacing w:before="80" w:after="0" w:line="232" w:lineRule="exact"/>
        <w:ind w:right="0" w:left="0" w:firstLine="0"/>
        <w:jc w:val="left"/>
        <w:textAlignment w:val="baseline"/>
        <w:rPr>
          <w:rFonts w:ascii="Calibri" w:hAnsi="Calibri" w:eastAsia="Calibri"/>
          <w:b w:val="true"/>
          <w:strike w:val="false"/>
          <w:color w:val="000000"/>
          <w:spacing w:val="0"/>
          <w:w w:val="100"/>
          <w:sz w:val="22"/>
          <w:vertAlign w:val="baseline"/>
          <w:lang w:val="en-US"/>
        </w:rPr>
      </w:pPr>
      <w:r>
        <w:rPr>
          <w:rFonts w:ascii="Calibri" w:hAnsi="Calibri" w:eastAsia="Calibri"/>
          <w:b w:val="true"/>
          <w:strike w:val="false"/>
          <w:color w:val="000000"/>
          <w:spacing w:val="0"/>
          <w:w w:val="100"/>
          <w:sz w:val="22"/>
          <w:vertAlign w:val="baseline"/>
          <w:lang w:val="en-US"/>
        </w:rPr>
        <w:t xml:space="preserve">Request: </w:t>
      </w:r>
      <w:r>
        <w:rPr>
          <w:rFonts w:ascii="Calibri" w:hAnsi="Calibri" w:eastAsia="Calibri"/>
          <w:strike w:val="false"/>
          <w:color w:val="000000"/>
          <w:spacing w:val="0"/>
          <w:w w:val="100"/>
          <w:sz w:val="22"/>
          <w:vertAlign w:val="baseline"/>
          <w:lang w:val="en-US"/>
        </w:rPr>
        <w:t xml:space="preserve">Land use ordinance update to Chapter 35 “Subdivisions”</w:t>
      </w:r>
    </w:p>
    <w:p>
      <w:pPr>
        <w:pageBreakBefore w:val="false"/>
        <w:spacing w:before="76" w:after="0" w:line="231" w:lineRule="exact"/>
        <w:ind w:right="0" w:left="0" w:firstLine="0"/>
        <w:jc w:val="left"/>
        <w:textAlignment w:val="baseline"/>
        <w:rPr>
          <w:rFonts w:ascii="Calibri" w:hAnsi="Calibri" w:eastAsia="Calibri"/>
          <w:b w:val="true"/>
          <w:strike w:val="false"/>
          <w:color w:val="000000"/>
          <w:spacing w:val="0"/>
          <w:w w:val="100"/>
          <w:sz w:val="22"/>
          <w:vertAlign w:val="baseline"/>
          <w:lang w:val="en-US"/>
        </w:rPr>
      </w:pPr>
      <w:r>
        <w:rPr>
          <w:rFonts w:ascii="Calibri" w:hAnsi="Calibri" w:eastAsia="Calibri"/>
          <w:b w:val="true"/>
          <w:strike w:val="false"/>
          <w:color w:val="000000"/>
          <w:spacing w:val="0"/>
          <w:w w:val="100"/>
          <w:sz w:val="22"/>
          <w:vertAlign w:val="baseline"/>
          <w:lang w:val="en-US"/>
        </w:rPr>
        <w:t xml:space="preserve">Planner: </w:t>
      </w:r>
      <w:r>
        <w:rPr>
          <w:rFonts w:ascii="Calibri" w:hAnsi="Calibri" w:eastAsia="Calibri"/>
          <w:strike w:val="false"/>
          <w:color w:val="000000"/>
          <w:spacing w:val="0"/>
          <w:w w:val="100"/>
          <w:sz w:val="22"/>
          <w:vertAlign w:val="baseline"/>
          <w:lang w:val="en-US"/>
        </w:rPr>
        <w:t xml:space="preserve">Trish DuClos</w:t>
      </w:r>
    </w:p>
    <w:p>
      <w:pPr>
        <w:pageBreakBefore w:val="false"/>
        <w:spacing w:before="76" w:after="0" w:line="231" w:lineRule="exact"/>
        <w:ind w:right="0" w:left="0" w:firstLine="0"/>
        <w:jc w:val="left"/>
        <w:textAlignment w:val="baseline"/>
        <w:rPr>
          <w:rFonts w:ascii="Calibri" w:hAnsi="Calibri" w:eastAsia="Calibri"/>
          <w:b w:val="true"/>
          <w:strike w:val="false"/>
          <w:color w:val="000000"/>
          <w:spacing w:val="0"/>
          <w:w w:val="100"/>
          <w:sz w:val="22"/>
          <w:vertAlign w:val="baseline"/>
          <w:lang w:val="en-US"/>
        </w:rPr>
      </w:pPr>
      <w:r>
        <w:rPr>
          <w:rFonts w:ascii="Calibri" w:hAnsi="Calibri" w:eastAsia="Calibri"/>
          <w:b w:val="true"/>
          <w:strike w:val="false"/>
          <w:color w:val="000000"/>
          <w:spacing w:val="0"/>
          <w:w w:val="100"/>
          <w:sz w:val="22"/>
          <w:vertAlign w:val="baseline"/>
          <w:lang w:val="en-US"/>
        </w:rPr>
        <w:t xml:space="preserve">Planning Commission Recommendation: </w:t>
      </w:r>
      <w:r>
        <w:rPr>
          <w:rFonts w:ascii="Calibri" w:hAnsi="Calibri" w:eastAsia="Calibri"/>
          <w:strike w:val="false"/>
          <w:color w:val="000000"/>
          <w:spacing w:val="0"/>
          <w:w w:val="100"/>
          <w:sz w:val="22"/>
          <w:vertAlign w:val="baseline"/>
          <w:lang w:val="en-US"/>
        </w:rPr>
        <w:t xml:space="preserve">Not yet received.</w:t>
      </w:r>
    </w:p>
    <w:p>
      <w:pPr>
        <w:pageBreakBefore w:val="false"/>
        <w:spacing w:before="81" w:after="0" w:line="231" w:lineRule="exact"/>
        <w:ind w:right="0" w:left="0" w:firstLine="0"/>
        <w:jc w:val="left"/>
        <w:textAlignment w:val="baseline"/>
        <w:rPr>
          <w:rFonts w:ascii="Calibri" w:hAnsi="Calibri" w:eastAsia="Calibri"/>
          <w:b w:val="true"/>
          <w:strike w:val="false"/>
          <w:color w:val="000000"/>
          <w:spacing w:val="0"/>
          <w:w w:val="100"/>
          <w:sz w:val="22"/>
          <w:vertAlign w:val="baseline"/>
          <w:lang w:val="en-US"/>
        </w:rPr>
      </w:pPr>
      <w:r>
        <w:rPr>
          <w:rFonts w:ascii="Calibri" w:hAnsi="Calibri" w:eastAsia="Calibri"/>
          <w:b w:val="true"/>
          <w:strike w:val="false"/>
          <w:color w:val="000000"/>
          <w:spacing w:val="0"/>
          <w:w w:val="100"/>
          <w:sz w:val="22"/>
          <w:vertAlign w:val="baseline"/>
          <w:lang w:val="en-US"/>
        </w:rPr>
        <w:t xml:space="preserve">Applicant Name: </w:t>
      </w:r>
      <w:r>
        <w:rPr>
          <w:rFonts w:ascii="Calibri" w:hAnsi="Calibri" w:eastAsia="Calibri"/>
          <w:strike w:val="false"/>
          <w:color w:val="000000"/>
          <w:spacing w:val="0"/>
          <w:w w:val="100"/>
          <w:sz w:val="22"/>
          <w:vertAlign w:val="baseline"/>
          <w:lang w:val="en-US"/>
        </w:rPr>
        <w:t xml:space="preserve">Tooele County</w:t>
      </w:r>
    </w:p>
    <w:p>
      <w:pPr>
        <w:pageBreakBefore w:val="false"/>
        <w:spacing w:before="400" w:after="14" w:line="334" w:lineRule="exact"/>
        <w:ind w:right="0" w:left="0" w:firstLine="0"/>
        <w:jc w:val="center"/>
        <w:textAlignment w:val="baseline"/>
        <w:rPr>
          <w:rFonts w:ascii="Calibri" w:hAnsi="Calibri" w:eastAsia="Calibri"/>
          <w:b w:val="true"/>
          <w:strike w:val="false"/>
          <w:color w:val="000000"/>
          <w:spacing w:val="-1"/>
          <w:w w:val="100"/>
          <w:sz w:val="30"/>
          <w:vertAlign w:val="baseline"/>
          <w:lang w:val="en-US"/>
        </w:rPr>
      </w:pPr>
      <w:r>
        <w:rPr>
          <w:rFonts w:ascii="Calibri" w:hAnsi="Calibri" w:eastAsia="Calibri"/>
          <w:b w:val="true"/>
          <w:strike w:val="false"/>
          <w:color w:val="000000"/>
          <w:spacing w:val="-1"/>
          <w:w w:val="100"/>
          <w:sz w:val="30"/>
          <w:vertAlign w:val="baseline"/>
          <w:lang w:val="en-US"/>
        </w:rPr>
        <w:t xml:space="preserve">PROJECT DESCRIPTION</w:t>
      </w:r>
    </w:p>
    <w:p>
      <w:pPr>
        <w:pageBreakBefore w:val="false"/>
        <w:spacing w:before="267" w:after="0" w:line="270" w:lineRule="exact"/>
        <w:ind w:right="72" w:left="0" w:firstLine="0"/>
        <w:jc w:val="left"/>
        <w:textAlignment w:val="baseline"/>
        <w:rPr>
          <w:rFonts w:ascii="Ebrima" w:hAnsi="Ebrima" w:eastAsia="Ebrima"/>
          <w:strike w:val="false"/>
          <w:color w:val="000000"/>
          <w:spacing w:val="0"/>
          <w:w w:val="100"/>
          <w:sz w:val="20"/>
          <w:vertAlign w:val="baseline"/>
          <w:lang w:val="en-US"/>
        </w:rPr>
      </w:pPr>
      <w:r>
        <w:pict>
          <v:line strokeweight="0.95pt" strokecolor="#000000" from="48.95pt,304.55pt" to="556pt,304.55pt" style="position:absolute;mso-position-horizontal-relative:page;mso-position-vertical-relative:page;">
            <v:stroke dashstyle="solid"/>
          </v:line>
        </w:pict>
      </w:r>
      <w:r>
        <w:rPr>
          <w:rFonts w:ascii="Ebrima" w:hAnsi="Ebrima" w:eastAsia="Ebrima"/>
          <w:strike w:val="false"/>
          <w:color w:val="000000"/>
          <w:spacing w:val="0"/>
          <w:w w:val="100"/>
          <w:sz w:val="20"/>
          <w:vertAlign w:val="baseline"/>
          <w:lang w:val="en-US"/>
        </w:rPr>
        <w:t xml:space="preserve">Tooele County Community Development is requesting a Land Use Ordinance update to Chapter 35 “Subdivisions.” The changes are to update minor title changes, as well as updating processes and time lines to reflect state code requirements.</w:t>
      </w:r>
    </w:p>
    <w:p>
      <w:pPr>
        <w:pageBreakBefore w:val="false"/>
        <w:spacing w:before="505" w:after="10" w:line="334" w:lineRule="exact"/>
        <w:ind w:right="0" w:left="0" w:firstLine="0"/>
        <w:jc w:val="center"/>
        <w:textAlignment w:val="baseline"/>
        <w:rPr>
          <w:rFonts w:ascii="Calibri" w:hAnsi="Calibri" w:eastAsia="Calibri"/>
          <w:b w:val="true"/>
          <w:strike w:val="false"/>
          <w:color w:val="000000"/>
          <w:spacing w:val="0"/>
          <w:w w:val="100"/>
          <w:sz w:val="30"/>
          <w:vertAlign w:val="baseline"/>
          <w:lang w:val="en-US"/>
        </w:rPr>
      </w:pPr>
      <w:r>
        <w:rPr>
          <w:rFonts w:ascii="Calibri" w:hAnsi="Calibri" w:eastAsia="Calibri"/>
          <w:b w:val="true"/>
          <w:strike w:val="false"/>
          <w:color w:val="000000"/>
          <w:spacing w:val="0"/>
          <w:w w:val="100"/>
          <w:sz w:val="30"/>
          <w:vertAlign w:val="baseline"/>
          <w:lang w:val="en-US"/>
        </w:rPr>
        <w:t xml:space="preserve">PLANNING COMMISSION RESPONSE</w:t>
      </w:r>
    </w:p>
    <w:p>
      <w:pPr>
        <w:pageBreakBefore w:val="false"/>
        <w:spacing w:before="288" w:after="0" w:line="270" w:lineRule="exact"/>
        <w:ind w:right="0" w:left="0" w:firstLine="0"/>
        <w:jc w:val="left"/>
        <w:textAlignment w:val="baseline"/>
        <w:rPr>
          <w:rFonts w:ascii="Ebrima" w:hAnsi="Ebrima" w:eastAsia="Ebrima"/>
          <w:strike w:val="false"/>
          <w:color w:val="000000"/>
          <w:spacing w:val="-1"/>
          <w:w w:val="100"/>
          <w:sz w:val="20"/>
          <w:vertAlign w:val="baseline"/>
          <w:lang w:val="en-US"/>
        </w:rPr>
      </w:pPr>
      <w:r>
        <w:pict>
          <v:line strokeweight="0.95pt" strokecolor="#000000" from="48.95pt,401.3pt" to="556pt,401.3pt" style="position:absolute;mso-position-horizontal-relative:page;mso-position-vertical-relative:page;">
            <v:stroke dashstyle="solid"/>
          </v:line>
        </w:pict>
      </w:r>
      <w:r>
        <w:rPr>
          <w:rFonts w:ascii="Ebrima" w:hAnsi="Ebrima" w:eastAsia="Ebrima"/>
          <w:strike w:val="false"/>
          <w:color w:val="000000"/>
          <w:spacing w:val="-1"/>
          <w:w w:val="100"/>
          <w:sz w:val="20"/>
          <w:vertAlign w:val="baseline"/>
          <w:lang w:val="en-US"/>
        </w:rPr>
        <w:t xml:space="preserve">Not yet received.</w:t>
      </w:r>
    </w:p>
    <w:p>
      <w:pPr>
        <w:pageBreakBefore w:val="false"/>
        <w:spacing w:before="280" w:after="14" w:line="334" w:lineRule="exact"/>
        <w:ind w:right="0" w:left="0" w:firstLine="0"/>
        <w:jc w:val="center"/>
        <w:textAlignment w:val="baseline"/>
        <w:rPr>
          <w:rFonts w:ascii="Calibri" w:hAnsi="Calibri" w:eastAsia="Calibri"/>
          <w:b w:val="true"/>
          <w:strike w:val="false"/>
          <w:color w:val="000000"/>
          <w:spacing w:val="0"/>
          <w:w w:val="100"/>
          <w:sz w:val="30"/>
          <w:vertAlign w:val="baseline"/>
          <w:lang w:val="en-US"/>
        </w:rPr>
      </w:pPr>
      <w:r>
        <w:rPr>
          <w:rFonts w:ascii="Calibri" w:hAnsi="Calibri" w:eastAsia="Calibri"/>
          <w:b w:val="true"/>
          <w:strike w:val="false"/>
          <w:color w:val="000000"/>
          <w:spacing w:val="0"/>
          <w:w w:val="100"/>
          <w:sz w:val="30"/>
          <w:vertAlign w:val="baseline"/>
          <w:lang w:val="en-US"/>
        </w:rPr>
        <w:t xml:space="preserve">PLANNING STAFF ANALYSIS</w:t>
      </w:r>
    </w:p>
    <w:p>
      <w:pPr>
        <w:pageBreakBefore w:val="false"/>
        <w:spacing w:before="263" w:after="0" w:line="270" w:lineRule="exact"/>
        <w:ind w:right="72" w:left="0" w:firstLine="0"/>
        <w:jc w:val="both"/>
        <w:textAlignment w:val="baseline"/>
        <w:rPr>
          <w:rFonts w:ascii="Ebrima" w:hAnsi="Ebrima" w:eastAsia="Ebrima"/>
          <w:strike w:val="false"/>
          <w:color w:val="000000"/>
          <w:spacing w:val="0"/>
          <w:w w:val="100"/>
          <w:sz w:val="20"/>
          <w:vertAlign w:val="baseline"/>
          <w:lang w:val="en-US"/>
        </w:rPr>
      </w:pPr>
      <w:r>
        <w:pict>
          <v:line strokeweight="0.95pt" strokecolor="#000000" from="48.95pt,460.8pt" to="556pt,460.8pt" style="position:absolute;mso-position-horizontal-relative:page;mso-position-vertical-relative:page;">
            <v:stroke dashstyle="solid"/>
          </v:line>
        </w:pict>
      </w:r>
      <w:r>
        <w:rPr>
          <w:rFonts w:ascii="Ebrima" w:hAnsi="Ebrima" w:eastAsia="Ebrima"/>
          <w:strike w:val="false"/>
          <w:color w:val="000000"/>
          <w:spacing w:val="0"/>
          <w:w w:val="100"/>
          <w:sz w:val="20"/>
          <w:vertAlign w:val="baseline"/>
          <w:lang w:val="en-US"/>
        </w:rPr>
        <w:t xml:space="preserve">Staff has identified conflicting timelines and Title names with the subdivision code. The requested changes reflect the updated requirements from state code (17-27a-6).</w:t>
      </w:r>
    </w:p>
    <w:p>
      <w:pPr>
        <w:pageBreakBefore w:val="false"/>
        <w:spacing w:before="273" w:after="0" w:line="270" w:lineRule="exact"/>
        <w:ind w:right="0" w:left="0" w:firstLine="0"/>
        <w:jc w:val="left"/>
        <w:textAlignment w:val="baseline"/>
        <w:rPr>
          <w:rFonts w:ascii="Ebrima" w:hAnsi="Ebrima" w:eastAsia="Ebrima"/>
          <w:strike w:val="false"/>
          <w:color w:val="000000"/>
          <w:spacing w:val="0"/>
          <w:w w:val="100"/>
          <w:sz w:val="20"/>
          <w:vertAlign w:val="baseline"/>
          <w:lang w:val="en-US"/>
        </w:rPr>
      </w:pPr>
      <w:r>
        <w:rPr>
          <w:rFonts w:ascii="Ebrima" w:hAnsi="Ebrima" w:eastAsia="Ebrima"/>
          <w:strike w:val="false"/>
          <w:color w:val="000000"/>
          <w:spacing w:val="0"/>
          <w:w w:val="100"/>
          <w:sz w:val="20"/>
          <w:vertAlign w:val="baseline"/>
          <w:lang w:val="en-US"/>
        </w:rPr>
        <w:t xml:space="preserve">Requested changes are attached to this staff report and marked in red.</w:t>
      </w:r>
    </w:p>
    <w:p>
      <w:pPr>
        <w:pageBreakBefore w:val="false"/>
        <w:spacing w:before="303" w:after="15" w:line="334" w:lineRule="exact"/>
        <w:ind w:right="0" w:left="0" w:firstLine="0"/>
        <w:jc w:val="center"/>
        <w:textAlignment w:val="baseline"/>
        <w:rPr>
          <w:rFonts w:ascii="Calibri" w:hAnsi="Calibri" w:eastAsia="Calibri"/>
          <w:b w:val="true"/>
          <w:strike w:val="false"/>
          <w:color w:val="000000"/>
          <w:spacing w:val="0"/>
          <w:w w:val="100"/>
          <w:sz w:val="30"/>
          <w:vertAlign w:val="baseline"/>
          <w:lang w:val="en-US"/>
        </w:rPr>
      </w:pPr>
      <w:r>
        <w:rPr>
          <w:rFonts w:ascii="Calibri" w:hAnsi="Calibri" w:eastAsia="Calibri"/>
          <w:b w:val="true"/>
          <w:strike w:val="false"/>
          <w:color w:val="000000"/>
          <w:spacing w:val="0"/>
          <w:w w:val="100"/>
          <w:sz w:val="30"/>
          <w:vertAlign w:val="baseline"/>
          <w:lang w:val="en-US"/>
        </w:rPr>
        <w:t xml:space="preserve">PLANNING STAFF RECOMMENDATION</w:t>
      </w:r>
    </w:p>
    <w:p>
      <w:pPr>
        <w:pageBreakBefore w:val="false"/>
        <w:spacing w:before="289" w:after="0" w:line="270" w:lineRule="exact"/>
        <w:ind w:right="792" w:left="0" w:firstLine="0"/>
        <w:jc w:val="left"/>
        <w:textAlignment w:val="baseline"/>
        <w:rPr>
          <w:rFonts w:ascii="Ebrima" w:hAnsi="Ebrima" w:eastAsia="Ebrima"/>
          <w:strike w:val="false"/>
          <w:color w:val="000000"/>
          <w:spacing w:val="0"/>
          <w:w w:val="100"/>
          <w:sz w:val="20"/>
          <w:vertAlign w:val="baseline"/>
          <w:lang w:val="en-US"/>
        </w:rPr>
      </w:pPr>
      <w:r>
        <w:pict>
          <v:line strokeweight="1.2pt" strokecolor="#000000" from="48.95pt,560.9pt" to="556pt,560.9pt" style="position:absolute;mso-position-horizontal-relative:page;mso-position-vertical-relative:page;">
            <v:stroke dashstyle="solid"/>
          </v:line>
        </w:pict>
      </w:r>
      <w:r>
        <w:rPr>
          <w:rFonts w:ascii="Ebrima" w:hAnsi="Ebrima" w:eastAsia="Ebrima"/>
          <w:strike w:val="false"/>
          <w:color w:val="000000"/>
          <w:spacing w:val="0"/>
          <w:w w:val="100"/>
          <w:sz w:val="20"/>
          <w:vertAlign w:val="baseline"/>
          <w:lang w:val="en-US"/>
        </w:rPr>
        <w:t xml:space="preserve">Planning Staff encourages the Planning Commission to review the proposed ordinance updates regarding Tooele County Land Use Ordinances before making a motion.</w:t>
      </w:r>
    </w:p>
    <w:p>
      <w:pPr>
        <w:pageBreakBefore w:val="false"/>
        <w:spacing w:before="2782" w:after="0" w:line="226" w:lineRule="exact"/>
        <w:ind w:right="0" w:left="0" w:firstLine="0"/>
        <w:jc w:val="center"/>
        <w:textAlignment w:val="baseline"/>
        <w:rPr>
          <w:rFonts w:ascii="Times New Roman" w:hAnsi="Times New Roman" w:eastAsia="Times New Roman"/>
          <w:strike w:val="false"/>
          <w:color w:val="4F81BC"/>
          <w:spacing w:val="-2"/>
          <w:w w:val="100"/>
          <w:sz w:val="20"/>
          <w:vertAlign w:val="baseline"/>
          <w:lang w:val="en-US"/>
        </w:rPr>
      </w:pPr>
      <w:r>
        <w:rPr>
          <w:rFonts w:ascii="Times New Roman" w:hAnsi="Times New Roman" w:eastAsia="Times New Roman"/>
          <w:strike w:val="false"/>
          <w:color w:val="4F81BC"/>
          <w:spacing w:val="-2"/>
          <w:w w:val="100"/>
          <w:sz w:val="20"/>
          <w:vertAlign w:val="baseline"/>
          <w:lang w:val="en-US"/>
        </w:rPr>
        <w:t xml:space="preserve">Page 1 of 1</w:t>
      </w:r>
    </w:p>
    <w:p>
      <w:pPr>
        <w:sectPr>
          <w:type w:val="continuous"/>
          <w:pgSz w:w="12240" w:h="15840" w:orient="portrait"/>
          <w:pgMar w:bottom="384" w:top="620" w:right="1121" w:left="979" w:header="720" w:footer="720"/>
          <w:titlePg w:val="false"/>
          <w:textDirection w:val="lrTb"/>
        </w:sectPr>
      </w:pPr>
    </w:p>
    <w:p>
      <w:pPr>
        <w:pageBreakBefore w:val="false"/>
        <w:spacing w:before="915" w:after="0" w:line="384" w:lineRule="exact"/>
        <w:ind w:right="0" w:left="0" w:firstLine="0"/>
        <w:jc w:val="center"/>
        <w:textAlignment w:val="baseline"/>
        <w:rPr>
          <w:rFonts w:ascii="Ebrima" w:hAnsi="Ebrima" w:eastAsia="Ebrima"/>
          <w:b w:val="true"/>
          <w:strike w:val="false"/>
          <w:color w:val="000000"/>
          <w:spacing w:val="0"/>
          <w:w w:val="100"/>
          <w:sz w:val="16"/>
          <w:vertAlign w:val="baseline"/>
          <w:lang w:val="en-US"/>
        </w:rPr>
      </w:pPr>
      <w:r>
        <w:pict>
          <v:shapetype id="_x0000_t2" coordsize="21600,21600" o:spt="202" path="m,l,21600r21600,l21600,xe">
            <v:stroke joinstyle="miter"/>
            <v:path gradientshapeok="t" o:connecttype="rect"/>
          </v:shapetype>
          <v:shape id="_x0000_s1" type="#_x0000_t2" fillcolor="#F1F1F1" stroked="f" style="position:absolute;width:193.9pt;height:596.6pt;z-index:-999;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b w:val="true"/>
          <w:strike w:val="false"/>
          <w:color w:val="000000"/>
          <w:spacing w:val="0"/>
          <w:w w:val="100"/>
          <w:sz w:val="16"/>
          <w:vertAlign w:val="baseline"/>
          <w:lang w:val="en-US"/>
        </w:rPr>
        <w:t xml:space="preserve">CHAPTER 35
</w:t>
        <w:br/>
      </w:r>
      <w:r>
        <w:rPr>
          <w:rFonts w:ascii="Ebrima" w:hAnsi="Ebrima" w:eastAsia="Ebrima"/>
          <w:b w:val="true"/>
          <w:strike w:val="false"/>
          <w:color w:val="000000"/>
          <w:spacing w:val="0"/>
          <w:w w:val="100"/>
          <w:sz w:val="16"/>
          <w:vertAlign w:val="baseline"/>
          <w:lang w:val="en-US"/>
        </w:rPr>
        <w:t xml:space="preserve">SUBDIVISIONS</w:t>
      </w:r>
    </w:p>
    <w:p>
      <w:pPr>
        <w:pageBreakBefore w:val="false"/>
        <w:spacing w:before="367" w:after="0" w:line="198" w:lineRule="exact"/>
        <w:ind w:right="0" w:left="0" w:firstLine="0"/>
        <w:jc w:val="left"/>
        <w:textAlignment w:val="baseline"/>
        <w:rPr>
          <w:rFonts w:ascii="Ebrima" w:hAnsi="Ebrima" w:eastAsia="Ebrima"/>
          <w:b w:val="true"/>
          <w:strike w:val="false"/>
          <w:color w:val="000000"/>
          <w:spacing w:val="-7"/>
          <w:w w:val="100"/>
          <w:sz w:val="16"/>
          <w:vertAlign w:val="baseline"/>
          <w:lang w:val="en-US"/>
        </w:rPr>
      </w:pPr>
      <w:r>
        <w:rPr>
          <w:rFonts w:ascii="Ebrima" w:hAnsi="Ebrima" w:eastAsia="Ebrima"/>
          <w:b w:val="true"/>
          <w:strike w:val="false"/>
          <w:color w:val="000000"/>
          <w:spacing w:val="-7"/>
          <w:w w:val="100"/>
          <w:sz w:val="16"/>
          <w:vertAlign w:val="baseline"/>
          <w:lang w:val="en-US"/>
        </w:rPr>
        <w:t xml:space="preserve">Part</w:t>
      </w:r>
    </w:p>
    <w:p>
      <w:pPr>
        <w:pageBreakBefore w:val="false"/>
        <w:tabs>
          <w:tab w:val="left" w:leader="none" w:pos="504"/>
        </w:tabs>
        <w:spacing w:before="0" w:after="0" w:line="192" w:lineRule="exact"/>
        <w:ind w:right="0" w:left="0"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35-1	</w:t>
      </w:r>
      <w:r>
        <w:rPr>
          <w:rFonts w:ascii="Ebrima" w:hAnsi="Ebrima" w:eastAsia="Ebrima"/>
          <w:b w:val="true"/>
          <w:strike w:val="false"/>
          <w:color w:val="000000"/>
          <w:spacing w:val="-3"/>
          <w:w w:val="100"/>
          <w:sz w:val="16"/>
          <w:vertAlign w:val="baseline"/>
          <w:lang w:val="en-US"/>
        </w:rPr>
        <w:t xml:space="preserve">General.</w:t>
      </w:r>
    </w:p>
    <w:p>
      <w:pPr>
        <w:pageBreakBefore w:val="false"/>
        <w:spacing w:before="0" w:after="0" w:line="194" w:lineRule="exact"/>
        <w:ind w:right="0" w:left="0"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35-2 Subdivision Application Procedures.</w:t>
      </w:r>
    </w:p>
    <w:p>
      <w:pPr>
        <w:pageBreakBefore w:val="false"/>
        <w:spacing w:before="0" w:after="0" w:line="192" w:lineRule="exact"/>
        <w:ind w:right="0" w:left="0"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35-3 Minor Subdivisions.</w:t>
      </w:r>
    </w:p>
    <w:p>
      <w:pPr>
        <w:pageBreakBefore w:val="false"/>
        <w:spacing w:before="0" w:after="0" w:line="190" w:lineRule="exact"/>
        <w:ind w:right="0" w:left="0"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35-4 Major Subdivisions.</w:t>
      </w:r>
    </w:p>
    <w:p>
      <w:pPr>
        <w:pageBreakBefore w:val="false"/>
        <w:spacing w:before="0" w:after="0" w:line="192" w:lineRule="exact"/>
        <w:ind w:right="0" w:left="0"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35-5 Conservation Subdivisions.</w:t>
      </w:r>
    </w:p>
    <w:p>
      <w:pPr>
        <w:pageBreakBefore w:val="false"/>
        <w:spacing w:before="0" w:after="0" w:line="192" w:lineRule="exact"/>
        <w:ind w:right="0" w:left="0"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35-6 Design Standards.</w:t>
      </w:r>
    </w:p>
    <w:p>
      <w:pPr>
        <w:pageBreakBefore w:val="false"/>
        <w:spacing w:before="0" w:after="0" w:line="194" w:lineRule="exact"/>
        <w:ind w:right="0" w:left="0"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35-7 Financial Assurances.</w:t>
      </w:r>
    </w:p>
    <w:p>
      <w:pPr>
        <w:pageBreakBefore w:val="false"/>
        <w:spacing w:before="0" w:after="0" w:line="201" w:lineRule="exact"/>
        <w:ind w:right="0" w:left="0"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35-8 Vacation, Alteration, and Amendment of Subdivision Plats.</w:t>
      </w:r>
    </w:p>
    <w:p>
      <w:pPr>
        <w:pageBreakBefore w:val="false"/>
        <w:spacing w:before="408" w:after="0" w:line="192" w:lineRule="exact"/>
        <w:ind w:right="0" w:left="0" w:firstLine="0"/>
        <w:jc w:val="center"/>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PART 35-1
</w:t>
        <w:br/>
      </w:r>
      <w:r>
        <w:rPr>
          <w:rFonts w:ascii="Ebrima" w:hAnsi="Ebrima" w:eastAsia="Ebrima"/>
          <w:b w:val="true"/>
          <w:strike w:val="false"/>
          <w:color w:val="000000"/>
          <w:spacing w:val="0"/>
          <w:w w:val="100"/>
          <w:sz w:val="16"/>
          <w:vertAlign w:val="baseline"/>
          <w:lang w:val="en-US"/>
        </w:rPr>
        <w:t xml:space="preserve">GENERAL</w:t>
      </w:r>
    </w:p>
    <w:p>
      <w:pPr>
        <w:pageBreakBefore w:val="false"/>
        <w:spacing w:before="180" w:after="0" w:line="198" w:lineRule="exact"/>
        <w:ind w:right="0" w:left="0" w:firstLine="0"/>
        <w:jc w:val="left"/>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Section</w:t>
      </w:r>
    </w:p>
    <w:p>
      <w:pPr>
        <w:pageBreakBefore w:val="false"/>
        <w:spacing w:before="0" w:after="0" w:line="192" w:lineRule="exact"/>
        <w:ind w:right="0" w:left="0"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35-1-1. Short title.</w:t>
      </w:r>
    </w:p>
    <w:p>
      <w:pPr>
        <w:pageBreakBefore w:val="false"/>
        <w:spacing w:before="0" w:after="0" w:line="192" w:lineRule="exact"/>
        <w:ind w:right="0" w:left="0"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35-1-2. Purpose.</w:t>
      </w:r>
    </w:p>
    <w:p>
      <w:pPr>
        <w:pageBreakBefore w:val="false"/>
        <w:spacing w:before="0" w:after="0" w:line="192" w:lineRule="exact"/>
        <w:ind w:right="0" w:left="0"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35-1-3. Notice.</w:t>
      </w:r>
    </w:p>
    <w:p>
      <w:pPr>
        <w:pageBreakBefore w:val="false"/>
        <w:spacing w:before="0" w:after="0" w:line="194" w:lineRule="exact"/>
        <w:ind w:right="0" w:left="0"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35-1-4. Penalties.</w:t>
      </w:r>
    </w:p>
    <w:p>
      <w:pPr>
        <w:pageBreakBefore w:val="false"/>
        <w:spacing w:before="0" w:after="0" w:line="195" w:lineRule="exact"/>
        <w:ind w:right="0" w:left="0"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35-1-5. Creation of substandard lots prohibited.</w:t>
      </w:r>
    </w:p>
    <w:p>
      <w:pPr>
        <w:pageBreakBefore w:val="false"/>
        <w:spacing w:before="0" w:after="0" w:line="192" w:lineRule="exact"/>
        <w:ind w:right="0" w:left="0"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35-1-6. Subdivisions located near a state protection area.</w:t>
      </w:r>
    </w:p>
    <w:p>
      <w:pPr>
        <w:pageBreakBefore w:val="false"/>
        <w:spacing w:before="0" w:after="0" w:line="192" w:lineRule="exact"/>
        <w:ind w:right="0" w:left="0"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35-1-7. Plats required.</w:t>
      </w:r>
    </w:p>
    <w:p>
      <w:pPr>
        <w:pageBreakBefore w:val="false"/>
        <w:spacing w:before="0" w:after="0" w:line="192" w:lineRule="exact"/>
        <w:ind w:right="0" w:left="0"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35-1-8. Certain agricultural partitions exempt.</w:t>
      </w:r>
    </w:p>
    <w:p>
      <w:pPr>
        <w:pageBreakBefore w:val="false"/>
        <w:spacing w:before="0" w:after="0" w:line="198" w:lineRule="exact"/>
        <w:ind w:right="0" w:left="0"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35-1-9. Condominium projects.</w:t>
      </w:r>
    </w:p>
    <w:p>
      <w:pPr>
        <w:pageBreakBefore w:val="false"/>
        <w:spacing w:before="180" w:after="0" w:line="204" w:lineRule="exact"/>
        <w:ind w:right="0" w:left="0"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35-1-1. Short title.</w:t>
      </w:r>
    </w:p>
    <w:p>
      <w:pPr>
        <w:pageBreakBefore w:val="false"/>
        <w:spacing w:before="0" w:after="0" w:line="198" w:lineRule="exact"/>
        <w:ind w:right="0" w:left="144"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This chapter is known as the “Subdivision Ordinance of Tooele County, Utah.” (Ord. 2022-32, 11/29/22)</w:t>
      </w:r>
    </w:p>
    <w:p>
      <w:pPr>
        <w:pageBreakBefore w:val="false"/>
        <w:spacing w:before="198" w:after="0" w:line="204" w:lineRule="exact"/>
        <w:ind w:right="0" w:left="0"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35-1-2. Purpose.</w:t>
      </w:r>
    </w:p>
    <w:p>
      <w:pPr>
        <w:pageBreakBefore w:val="false"/>
        <w:spacing w:before="0" w:after="0" w:line="198" w:lineRule="exact"/>
        <w:ind w:right="0" w:left="144"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purposes of this chapter are:</w:t>
      </w:r>
    </w:p>
    <w:p>
      <w:pPr>
        <w:pageBreakBefore w:val="false"/>
        <w:numPr>
          <w:ilvl w:val="0"/>
          <w:numId w:val="2"/>
        </w:numPr>
        <w:tabs>
          <w:tab w:val="clear" w:pos="360"/>
          <w:tab w:val="left" w:pos="504"/>
        </w:tabs>
        <w:spacing w:before="0" w:after="0" w:line="204" w:lineRule="exact"/>
        <w:ind w:right="144" w:left="0"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to provide policies, standards, requirements, and procedures to regulate and control the design and construction of all subdivisions;</w:t>
      </w:r>
    </w:p>
    <w:p>
      <w:pPr>
        <w:pageBreakBefore w:val="false"/>
        <w:numPr>
          <w:ilvl w:val="0"/>
          <w:numId w:val="2"/>
        </w:numPr>
        <w:tabs>
          <w:tab w:val="clear" w:pos="360"/>
          <w:tab w:val="left" w:pos="504"/>
        </w:tabs>
        <w:spacing w:before="0" w:after="0" w:line="204" w:lineRule="exact"/>
        <w:ind w:right="144" w:left="0" w:firstLine="144"/>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to ensure that all subdivisions are consistent with the general plan and applicable specific plans; and</w:t>
      </w:r>
    </w:p>
    <w:p>
      <w:pPr>
        <w:pageBreakBefore w:val="false"/>
        <w:numPr>
          <w:ilvl w:val="0"/>
          <w:numId w:val="2"/>
        </w:numPr>
        <w:tabs>
          <w:tab w:val="clear" w:pos="360"/>
          <w:tab w:val="left" w:pos="504"/>
        </w:tabs>
        <w:spacing w:before="2" w:after="0" w:line="204" w:lineRule="exact"/>
        <w:ind w:right="144" w:left="0" w:firstLine="144"/>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to ensure that land is subdivided in a manner that will promote public health, safety, convenience, general welfare, and the physical, social, and economic development of the county. (Ord. 2022-32, 11/29/22)</w:t>
      </w:r>
    </w:p>
    <w:p>
      <w:pPr>
        <w:pageBreakBefore w:val="false"/>
        <w:spacing w:before="203" w:after="0" w:line="204" w:lineRule="exact"/>
        <w:ind w:right="0" w:left="0"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35-1-3. Notice.</w:t>
      </w:r>
    </w:p>
    <w:p>
      <w:pPr>
        <w:pageBreakBefore w:val="false"/>
        <w:spacing w:before="0" w:after="0" w:line="203" w:lineRule="exact"/>
        <w:ind w:right="0" w:left="144" w:firstLine="0"/>
        <w:jc w:val="left"/>
        <w:textAlignment w:val="baseline"/>
        <w:rPr>
          <w:rFonts w:ascii="Ebrima" w:hAnsi="Ebrima" w:eastAsia="Ebrima"/>
          <w:strike w:val="false"/>
          <w:color w:val="000000"/>
          <w:spacing w:val="5"/>
          <w:w w:val="100"/>
          <w:sz w:val="15"/>
          <w:vertAlign w:val="baseline"/>
          <w:lang w:val="en-US"/>
        </w:rPr>
      </w:pPr>
      <w:r>
        <w:rPr>
          <w:rFonts w:ascii="Ebrima" w:hAnsi="Ebrima" w:eastAsia="Ebrima"/>
          <w:strike w:val="false"/>
          <w:color w:val="000000"/>
          <w:spacing w:val="5"/>
          <w:w w:val="100"/>
          <w:sz w:val="15"/>
          <w:vertAlign w:val="baseline"/>
          <w:lang w:val="en-US"/>
        </w:rPr>
        <w:t xml:space="preserve">When notice is required, the county shall provide the notice required by the County Land Use,</w:t>
      </w:r>
    </w:p>
    <w:p>
      <w:pPr>
        <w:pageBreakBefore w:val="false"/>
        <w:spacing w:before="0" w:after="0" w:line="201" w:lineRule="exact"/>
        <w:ind w:right="0" w:left="0"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Development, and Management Act. (Ord. 2022-32, 11/29/22)</w:t>
      </w:r>
    </w:p>
    <w:p>
      <w:pPr>
        <w:pageBreakBefore w:val="false"/>
        <w:tabs>
          <w:tab w:val="right" w:leader="none" w:pos="6984"/>
        </w:tabs>
        <w:spacing w:before="848" w:after="0" w:line="223" w:lineRule="exact"/>
        <w:ind w:right="0" w:left="0"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35-1</w:t>
      </w:r>
    </w:p>
    <w:p>
      <w:pPr>
        <w:sectPr>
          <w:type w:val="nextPage"/>
          <w:pgSz w:w="12240" w:h="15840" w:orient="portrait"/>
          <w:pgMar w:bottom="1544" w:top="1940" w:right="3955" w:left="1085"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3" coordsize="21600,21600" o:spt="202" path="m,l,21600r21600,l21600,xe">
            <v:stroke joinstyle="miter"/>
            <v:path gradientshapeok="t" o:connecttype="rect"/>
          </v:shapetype>
          <v:shape id="_x0000_s2" type="#_x0000_t3" fillcolor="#F1F1F1" stroked="f" style="position:absolute;width:193.9pt;height:596.6pt;z-index:-998;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spacing w:before="395" w:after="0" w:line="204"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35-1-4. Penalties.</w:t>
      </w:r>
    </w:p>
    <w:p>
      <w:pPr>
        <w:pageBreakBefore w:val="false"/>
        <w:tabs>
          <w:tab w:val="left" w:leader="none" w:pos="576"/>
        </w:tabs>
        <w:spacing w:before="0" w:after="0" w:line="203" w:lineRule="exact"/>
        <w:ind w:right="72" w:left="504" w:hanging="288"/>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(a) An owner of any land located in a subdivision who transfers or sells any land in that subdivision before a plat of the subdivision has been approved and recorded violates this chapter for each lot or parcel transferred or sold.</w:t>
      </w:r>
    </w:p>
    <w:p>
      <w:pPr>
        <w:pageBreakBefore w:val="false"/>
        <w:numPr>
          <w:ilvl w:val="0"/>
          <w:numId w:val="3"/>
        </w:numPr>
        <w:tabs>
          <w:tab w:val="clear" w:pos="360"/>
          <w:tab w:val="left" w:pos="1008"/>
        </w:tabs>
        <w:spacing w:before="2"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description by metes and bounds in an instrument of transfer or other document used in the process of selling or transferring real property does not exempt the transaction from being a violation of Subsection (1)(a) or from the penalties or remedies provided in this chapter.</w:t>
      </w:r>
    </w:p>
    <w:p>
      <w:pPr>
        <w:pageBreakBefore w:val="false"/>
        <w:numPr>
          <w:ilvl w:val="0"/>
          <w:numId w:val="3"/>
        </w:numPr>
        <w:tabs>
          <w:tab w:val="clear" w:pos="360"/>
          <w:tab w:val="left" w:pos="1008"/>
        </w:tabs>
        <w:spacing w:before="3"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Notwithstanding any other provision of this chapter, the recording of an instrument of transfer or other document used in the process of selling or transferring real property that violates this chapter:</w:t>
      </w:r>
    </w:p>
    <w:p>
      <w:pPr>
        <w:pageBreakBefore w:val="false"/>
        <w:numPr>
          <w:ilvl w:val="0"/>
          <w:numId w:val="4"/>
        </w:numPr>
        <w:tabs>
          <w:tab w:val="clear" w:pos="432"/>
          <w:tab w:val="left" w:pos="1440"/>
        </w:tabs>
        <w:spacing w:before="0" w:after="0" w:line="201" w:lineRule="exact"/>
        <w:ind w:right="0" w:left="1008"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does not affect the validity of the instrument or other document; and</w:t>
      </w:r>
    </w:p>
    <w:p>
      <w:pPr>
        <w:pageBreakBefore w:val="false"/>
        <w:numPr>
          <w:ilvl w:val="0"/>
          <w:numId w:val="4"/>
        </w:numPr>
        <w:tabs>
          <w:tab w:val="clear" w:pos="432"/>
          <w:tab w:val="left" w:pos="1440"/>
        </w:tabs>
        <w:spacing w:before="5" w:after="0" w:line="204" w:lineRule="exact"/>
        <w:ind w:right="72" w:left="1008"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does not exempt the property that is the subject of the instrument or other document from compliance with applicable county ordinances.</w:t>
      </w:r>
    </w:p>
    <w:p>
      <w:pPr>
        <w:pageBreakBefore w:val="false"/>
        <w:tabs>
          <w:tab w:val="left" w:leader="none" w:pos="576"/>
          <w:tab w:val="left" w:leader="none" w:pos="1008"/>
        </w:tabs>
        <w:spacing w:before="0" w:after="0" w:line="202"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(a)	</w:t>
      </w:r>
      <w:r>
        <w:rPr>
          <w:rFonts w:ascii="Ebrima" w:hAnsi="Ebrima" w:eastAsia="Ebrima"/>
          <w:strike w:val="false"/>
          <w:color w:val="000000"/>
          <w:spacing w:val="0"/>
          <w:w w:val="100"/>
          <w:sz w:val="15"/>
          <w:vertAlign w:val="baseline"/>
          <w:lang w:val="en-US"/>
        </w:rPr>
        <w:t xml:space="preserve">The county may bring an action to require compliance with the provisions of this chapter.</w:t>
      </w:r>
    </w:p>
    <w:p>
      <w:pPr>
        <w:pageBreakBefore w:val="false"/>
        <w:numPr>
          <w:ilvl w:val="0"/>
          <w:numId w:val="5"/>
        </w:numPr>
        <w:tabs>
          <w:tab w:val="clear" w:pos="360"/>
          <w:tab w:val="left" w:pos="1008"/>
        </w:tabs>
        <w:spacing w:before="5"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An action under this Subsection (2) may seek injunction, abatement, the merger of title, or any other appropriate action or proceeding to prevent, enjoin, or abate the violation.</w:t>
      </w:r>
    </w:p>
    <w:p>
      <w:pPr>
        <w:pageBreakBefore w:val="false"/>
        <w:numPr>
          <w:ilvl w:val="0"/>
          <w:numId w:val="5"/>
        </w:numPr>
        <w:tabs>
          <w:tab w:val="clear" w:pos="360"/>
          <w:tab w:val="left" w:pos="1008"/>
        </w:tabs>
        <w:spacing w:before="0" w:after="0" w:line="201"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county need only establish a violation to obtain the relief sought.</w:t>
      </w:r>
    </w:p>
    <w:p>
      <w:pPr>
        <w:pageBreakBefore w:val="false"/>
        <w:tabs>
          <w:tab w:val="left" w:leader="none" w:pos="576"/>
        </w:tabs>
        <w:spacing w:before="0" w:after="0" w:line="202"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(3)	</w:t>
      </w:r>
      <w:r>
        <w:rPr>
          <w:rFonts w:ascii="Ebrima" w:hAnsi="Ebrima" w:eastAsia="Ebrima"/>
          <w:strike w:val="false"/>
          <w:color w:val="000000"/>
          <w:spacing w:val="0"/>
          <w:w w:val="100"/>
          <w:sz w:val="15"/>
          <w:vertAlign w:val="baseline"/>
          <w:lang w:val="en-US"/>
        </w:rPr>
        <w:t xml:space="preserve">The county may assess civil penalties for any violation of this chapter.</w:t>
      </w:r>
    </w:p>
    <w:p>
      <w:pPr>
        <w:pageBreakBefore w:val="false"/>
        <w:tabs>
          <w:tab w:val="left" w:leader="none" w:pos="576"/>
        </w:tabs>
        <w:spacing w:before="3"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	</w:t>
      </w:r>
      <w:r>
        <w:rPr>
          <w:rFonts w:ascii="Ebrima" w:hAnsi="Ebrima" w:eastAsia="Ebrima"/>
          <w:strike w:val="false"/>
          <w:color w:val="000000"/>
          <w:spacing w:val="0"/>
          <w:w w:val="100"/>
          <w:sz w:val="15"/>
          <w:vertAlign w:val="baseline"/>
          <w:lang w:val="en-US"/>
        </w:rPr>
        <w:t xml:space="preserve">A violation of this chapter may also be prosecuted as a class C misdemeanor. (Ord. 2022-32, 11/29/22)</w:t>
      </w:r>
    </w:p>
    <w:p>
      <w:pPr>
        <w:pageBreakBefore w:val="false"/>
        <w:spacing w:before="200" w:after="0" w:line="204"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35-1-5. Creation of substandard lots prohibited.</w:t>
      </w:r>
    </w:p>
    <w:p>
      <w:pPr>
        <w:pageBreakBefore w:val="false"/>
        <w:spacing w:before="0" w:after="0" w:line="202" w:lineRule="exact"/>
        <w:ind w:right="0" w:left="216"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All lots created shall conform to the requirements of this chapter and the zoning district in which they are</w:t>
      </w:r>
    </w:p>
    <w:p>
      <w:pPr>
        <w:pageBreakBefore w:val="false"/>
        <w:spacing w:before="0" w:after="0" w:line="201" w:lineRule="exact"/>
        <w:ind w:right="0" w:left="72"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located. (Ord. 2022-32, 11/29/22)</w:t>
      </w:r>
    </w:p>
    <w:p>
      <w:pPr>
        <w:pageBreakBefore w:val="false"/>
        <w:spacing w:before="199" w:after="0" w:line="204" w:lineRule="exact"/>
        <w:ind w:right="0" w:left="72" w:firstLine="0"/>
        <w:jc w:val="both"/>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35-1-6. Subdivisions located near a state protection area.</w:t>
      </w:r>
    </w:p>
    <w:p>
      <w:pPr>
        <w:pageBreakBefore w:val="false"/>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If a new subdivision is proposed to be located in whole or in part within 300 feet of the boundary of an agriculture protection area, or within 1,000 feet of the boundary of an industrial protection area or critical infrastructure materials protection area or mining protection area or shooting range, the owner of the subdivision shall provide, on any plat filed with the County Recorder, the notice required by state law. (Ord. 2022-32, 11/29/22)</w:t>
      </w:r>
    </w:p>
    <w:p>
      <w:pPr>
        <w:pageBreakBefore w:val="false"/>
        <w:spacing w:before="200" w:after="0" w:line="204"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35-1-7. Plats required.</w:t>
      </w:r>
    </w:p>
    <w:p>
      <w:pPr>
        <w:pageBreakBefore w:val="false"/>
        <w:tabs>
          <w:tab w:val="left" w:leader="none" w:pos="576"/>
        </w:tabs>
        <w:spacing w:before="0" w:after="0" w:line="202"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Unless a division of land is exempt from the plat requirements of this chapter, whenever any land is subdivided, the owner of that land shall provide an accurate plat that sets forth and describes:</w:t>
      </w:r>
    </w:p>
    <w:p>
      <w:pPr>
        <w:pageBreakBefore w:val="false"/>
        <w:numPr>
          <w:ilvl w:val="0"/>
          <w:numId w:val="6"/>
        </w:numPr>
        <w:tabs>
          <w:tab w:val="clear" w:pos="360"/>
          <w:tab w:val="left" w:pos="1008"/>
        </w:tabs>
        <w:spacing w:before="0"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the parcels divided, by their boundaries, course, and extent, and whether they are intended for streets or other public uses; and</w:t>
      </w:r>
    </w:p>
    <w:p>
      <w:pPr>
        <w:pageBreakBefore w:val="false"/>
        <w:numPr>
          <w:ilvl w:val="0"/>
          <w:numId w:val="6"/>
        </w:numPr>
        <w:tabs>
          <w:tab w:val="clear" w:pos="360"/>
          <w:tab w:val="left" w:pos="1008"/>
        </w:tabs>
        <w:spacing w:before="3"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lot or unit reference, the block or building reference, the road or site address, the road name or coordinate address, the acreage or square footage for all parcels, units, or lots, and the length and width of the blocks and lots intended for sale.</w:t>
      </w:r>
    </w:p>
    <w:p>
      <w:pPr>
        <w:pageBreakBefore w:val="false"/>
        <w:tabs>
          <w:tab w:val="left" w:leader="none"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The owner of the land shall acknowledge the plat before an officer authorized by law to acknowledge conveyances of real estate.</w:t>
      </w:r>
    </w:p>
    <w:p>
      <w:pPr>
        <w:pageBreakBefore w:val="false"/>
        <w:tabs>
          <w:tab w:val="left" w:leader="none" w:pos="576"/>
        </w:tabs>
        <w:spacing w:before="0" w:after="0" w:line="201"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(3)	</w:t>
      </w:r>
      <w:r>
        <w:rPr>
          <w:rFonts w:ascii="Ebrima" w:hAnsi="Ebrima" w:eastAsia="Ebrima"/>
          <w:strike w:val="false"/>
          <w:color w:val="000000"/>
          <w:spacing w:val="0"/>
          <w:w w:val="100"/>
          <w:sz w:val="15"/>
          <w:vertAlign w:val="baseline"/>
          <w:lang w:val="en-US"/>
        </w:rPr>
        <w:t xml:space="preserve">The surveyor making the plat shall certify the plat.</w:t>
      </w:r>
    </w:p>
    <w:p>
      <w:pPr>
        <w:pageBreakBefore w:val="false"/>
        <w:tabs>
          <w:tab w:val="right" w:leader="none" w:pos="7056"/>
        </w:tabs>
        <w:spacing w:before="824"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35-2</w:t>
      </w:r>
    </w:p>
    <w:p>
      <w:pPr>
        <w:sectPr>
          <w:type w:val="nextPage"/>
          <w:pgSz w:w="12240" w:h="15840" w:orient="portrait"/>
          <w:pgMar w:bottom="1544" w:top="1940" w:right="4027" w:left="1013"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4" coordsize="21600,21600" o:spt="202" path="m,l,21600r21600,l21600,xe">
            <v:stroke joinstyle="miter"/>
            <v:path gradientshapeok="t" o:connecttype="rect"/>
          </v:shapetype>
          <v:shape id="_x0000_s3" type="#_x0000_t4" fillcolor="#F1F1F1" stroked="f" style="position:absolute;width:193.9pt;height:596.6pt;z-index:-997;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7"/>
        </w:numPr>
        <w:tabs>
          <w:tab w:val="clear" w:pos="360"/>
          <w:tab w:val="left" w:pos="576"/>
        </w:tabs>
        <w:spacing w:before="406"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Community Development Department may approve the plat as provided in this chapter. Before the Community Development Department may approve a plat, the owner shall submit a tax clearance indicating that all taxes, interest, and penalties on the land have been paid.</w:t>
      </w:r>
    </w:p>
    <w:p>
      <w:pPr>
        <w:pageBreakBefore w:val="false"/>
        <w:numPr>
          <w:ilvl w:val="0"/>
          <w:numId w:val="7"/>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After the plat has been acknowledged, certified, and approved, the county shall retain the plat until the owner records the plat. (Ord. 2023-20, 11/7/23; Ord. 2022-32, 11/29/22)</w:t>
      </w:r>
    </w:p>
    <w:p>
      <w:pPr>
        <w:pageBreakBefore w:val="false"/>
        <w:spacing w:before="198" w:after="0" w:line="205"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35-1-8. Certain agricultural partitions exempt.</w:t>
      </w:r>
    </w:p>
    <w:p>
      <w:pPr>
        <w:pageBreakBefore w:val="false"/>
        <w:tabs>
          <w:tab w:val="right" w:leader="none" w:pos="7056"/>
        </w:tabs>
        <w:spacing w:before="0" w:after="0" w:line="201"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A lot or parcel resulting from a division of agricultural land is exempt from the plat requirements of
</w:t>
        <w:br/>
      </w:r>
      <w:r>
        <w:rPr>
          <w:rFonts w:ascii="Ebrima" w:hAnsi="Ebrima" w:eastAsia="Ebrima"/>
          <w:strike w:val="false"/>
          <w:color w:val="000000"/>
          <w:spacing w:val="0"/>
          <w:w w:val="100"/>
          <w:sz w:val="15"/>
          <w:vertAlign w:val="baseline"/>
          <w:lang w:val="en-US"/>
        </w:rPr>
        <w:t xml:space="preserve">this chapter if the lot or parcel:</w:t>
      </w:r>
    </w:p>
    <w:p>
      <w:pPr>
        <w:pageBreakBefore w:val="false"/>
        <w:numPr>
          <w:ilvl w:val="0"/>
          <w:numId w:val="8"/>
        </w:numPr>
        <w:tabs>
          <w:tab w:val="clear" w:pos="432"/>
          <w:tab w:val="left" w:pos="1008"/>
        </w:tabs>
        <w:spacing w:before="0" w:after="0" w:line="202"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qualifies as land in agricultural use under the Farmland Assessment Act;</w:t>
      </w:r>
    </w:p>
    <w:p>
      <w:pPr>
        <w:pageBreakBefore w:val="false"/>
        <w:numPr>
          <w:ilvl w:val="0"/>
          <w:numId w:val="8"/>
        </w:numPr>
        <w:tabs>
          <w:tab w:val="clear" w:pos="432"/>
          <w:tab w:val="left" w:pos="1008"/>
        </w:tabs>
        <w:spacing w:before="2" w:after="0" w:line="204"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meets the minimum size requirement of the applicable zoning district; and</w:t>
      </w:r>
    </w:p>
    <w:p>
      <w:pPr>
        <w:pageBreakBefore w:val="false"/>
        <w:numPr>
          <w:ilvl w:val="0"/>
          <w:numId w:val="8"/>
        </w:numPr>
        <w:tabs>
          <w:tab w:val="clear" w:pos="432"/>
          <w:tab w:val="left" w:pos="1008"/>
        </w:tabs>
        <w:spacing w:before="3" w:after="0" w:line="204"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is not used and will not be used for any nonagricultural purpose.</w:t>
      </w:r>
    </w:p>
    <w:p>
      <w:pPr>
        <w:pageBreakBefore w:val="false"/>
        <w:tabs>
          <w:tab w:val="right" w:leader="none" w:pos="7056"/>
        </w:tabs>
        <w:spacing w:before="2"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The boundaries of each lot or parcel exempted under Subsection (1) shall be graphically illustrated
</w:t>
        <w:br/>
      </w:r>
      <w:r>
        <w:rPr>
          <w:rFonts w:ascii="Ebrima" w:hAnsi="Ebrima" w:eastAsia="Ebrima"/>
          <w:strike w:val="false"/>
          <w:color w:val="000000"/>
          <w:spacing w:val="0"/>
          <w:w w:val="100"/>
          <w:sz w:val="15"/>
          <w:vertAlign w:val="baseline"/>
          <w:lang w:val="en-US"/>
        </w:rPr>
        <w:t xml:space="preserve">on a record of survey map that, after receiving the same approvals as are required for a plat under this chapter, shall be recorded with the County Recorder. (Ord. 2022-32, 11/29/22)</w:t>
      </w:r>
    </w:p>
    <w:p>
      <w:pPr>
        <w:pageBreakBefore w:val="false"/>
        <w:spacing w:before="198" w:after="0" w:line="205"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35-1-9. Condominium projects.</w:t>
      </w:r>
    </w:p>
    <w:p>
      <w:pPr>
        <w:pageBreakBefore w:val="false"/>
        <w:numPr>
          <w:ilvl w:val="0"/>
          <w:numId w:val="9"/>
        </w:numPr>
        <w:tabs>
          <w:tab w:val="clear" w:pos="360"/>
          <w:tab w:val="left" w:pos="576"/>
        </w:tabs>
        <w:spacing w:before="0" w:after="0" w:line="197" w:lineRule="exact"/>
        <w:ind w:right="0"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Condominium projects shall comply with the Utah Condominium Ownership Act.</w:t>
      </w:r>
    </w:p>
    <w:p>
      <w:pPr>
        <w:pageBreakBefore w:val="false"/>
        <w:numPr>
          <w:ilvl w:val="0"/>
          <w:numId w:val="9"/>
        </w:numPr>
        <w:tabs>
          <w:tab w:val="clear" w:pos="360"/>
          <w:tab w:val="left" w:pos="576"/>
        </w:tabs>
        <w:spacing w:before="3" w:after="0" w:line="204" w:lineRule="exact"/>
        <w:ind w:right="0"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Condominium projects shall be considered a subdivision.</w:t>
      </w:r>
    </w:p>
    <w:p>
      <w:pPr>
        <w:pageBreakBefore w:val="false"/>
        <w:numPr>
          <w:ilvl w:val="0"/>
          <w:numId w:val="9"/>
        </w:numPr>
        <w:tabs>
          <w:tab w:val="clear" w:pos="360"/>
          <w:tab w:val="left" w:pos="576"/>
        </w:tabs>
        <w:spacing w:before="3"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Condominium projects shall comply with all provisions of state law and the County Land Use Ordinance.</w:t>
      </w:r>
    </w:p>
    <w:p>
      <w:pPr>
        <w:pageBreakBefore w:val="false"/>
        <w:numPr>
          <w:ilvl w:val="0"/>
          <w:numId w:val="9"/>
        </w:numPr>
        <w:tabs>
          <w:tab w:val="clear" w:pos="360"/>
          <w:tab w:val="left" w:pos="576"/>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Condominium plats shall follow the same approval process and provide the same application materials as a major subdivision. Each additional condominium plat within an expandable condominium project shall follow the final plat approval process.</w:t>
      </w:r>
    </w:p>
    <w:p>
      <w:pPr>
        <w:pageBreakBefore w:val="false"/>
        <w:numPr>
          <w:ilvl w:val="0"/>
          <w:numId w:val="9"/>
        </w:numPr>
        <w:tabs>
          <w:tab w:val="clear" w:pos="360"/>
          <w:tab w:val="left" w:pos="576"/>
        </w:tabs>
        <w:spacing w:before="3"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Planning Commission shall review and approve all declaration documents. (Ord. 2022-32, 11/29/22)</w:t>
      </w:r>
    </w:p>
    <w:p>
      <w:pPr>
        <w:pageBreakBefore w:val="false"/>
        <w:spacing w:before="377" w:after="0" w:line="198" w:lineRule="exact"/>
        <w:ind w:right="0" w:left="72" w:firstLine="0"/>
        <w:jc w:val="center"/>
        <w:textAlignment w:val="baseline"/>
        <w:rPr>
          <w:rFonts w:ascii="Ebrima" w:hAnsi="Ebrima" w:eastAsia="Ebrima"/>
          <w:b w:val="true"/>
          <w:strike w:val="false"/>
          <w:color w:val="000000"/>
          <w:spacing w:val="-7"/>
          <w:w w:val="100"/>
          <w:sz w:val="16"/>
          <w:vertAlign w:val="baseline"/>
          <w:lang w:val="en-US"/>
        </w:rPr>
      </w:pPr>
      <w:r>
        <w:rPr>
          <w:rFonts w:ascii="Ebrima" w:hAnsi="Ebrima" w:eastAsia="Ebrima"/>
          <w:b w:val="true"/>
          <w:strike w:val="false"/>
          <w:color w:val="000000"/>
          <w:spacing w:val="-7"/>
          <w:w w:val="100"/>
          <w:sz w:val="16"/>
          <w:vertAlign w:val="baseline"/>
          <w:lang w:val="en-US"/>
        </w:rPr>
        <w:t xml:space="preserve">PART 35-2</w:t>
      </w:r>
    </w:p>
    <w:p>
      <w:pPr>
        <w:pageBreakBefore w:val="false"/>
        <w:spacing w:before="0" w:after="0" w:line="199" w:lineRule="exact"/>
        <w:ind w:right="0" w:left="72" w:firstLine="0"/>
        <w:jc w:val="center"/>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SUBDIVISION APPLICATION PROCEDURES</w:t>
      </w:r>
    </w:p>
    <w:p>
      <w:pPr>
        <w:pageBreakBefore w:val="false"/>
        <w:spacing w:before="179" w:after="0" w:line="198" w:lineRule="exact"/>
        <w:ind w:right="0" w:left="72" w:firstLine="0"/>
        <w:jc w:val="left"/>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Section</w:t>
      </w:r>
    </w:p>
    <w:p>
      <w:pPr>
        <w:pageBreakBefore w:val="false"/>
        <w:spacing w:before="0" w:after="0" w:line="195"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35-2-1. Application expiration.</w:t>
      </w:r>
    </w:p>
    <w:p>
      <w:pPr>
        <w:pageBreakBefore w:val="false"/>
        <w:spacing w:before="0" w:after="0" w:line="194" w:lineRule="exact"/>
        <w:ind w:right="0" w:left="72"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35-2-2. Application procedure.</w:t>
      </w:r>
    </w:p>
    <w:p>
      <w:pPr>
        <w:pageBreakBefore w:val="false"/>
        <w:spacing w:before="0" w:after="0" w:line="190"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35-2-3. Final plat requirements.</w:t>
      </w:r>
    </w:p>
    <w:p>
      <w:pPr>
        <w:pageBreakBefore w:val="false"/>
        <w:spacing w:before="0" w:after="0" w:line="196"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35-2-4. Infrastructure design and engineering drawings requirements.</w:t>
      </w:r>
    </w:p>
    <w:p>
      <w:pPr>
        <w:pageBreakBefore w:val="false"/>
        <w:spacing w:before="179" w:after="0" w:line="205" w:lineRule="exact"/>
        <w:ind w:right="0" w:left="72" w:firstLine="0"/>
        <w:jc w:val="both"/>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35-2-1. Application expiration.</w:t>
      </w:r>
    </w:p>
    <w:p>
      <w:pPr>
        <w:pageBreakBefore w:val="false"/>
        <w:spacing w:before="3"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Each application shall be actively pursued to completion. An application shall become null and void, and all rights vested by that application shall be terminated, if the applicant does not complete a stage or fails to make a progress report to the Community Development Department within 180 days. Any extension must be requested before the expiration of the original application. If an application becomes void, the applicant must reapply at the first stage for that level of development. (Ord. 2022-32, 11/29/22)</w:t>
      </w:r>
    </w:p>
    <w:p>
      <w:pPr>
        <w:pageBreakBefore w:val="false"/>
        <w:tabs>
          <w:tab w:val="right" w:leader="none" w:pos="7056"/>
        </w:tabs>
        <w:spacing w:before="939"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35-3</w:t>
      </w:r>
    </w:p>
    <w:p>
      <w:pPr>
        <w:sectPr>
          <w:type w:val="nextPage"/>
          <w:pgSz w:w="12240" w:h="15840" w:orient="portrait"/>
          <w:pgMar w:bottom="1544" w:top="1940" w:right="4027" w:left="1013"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5" coordsize="21600,21600" o:spt="202" path="m,l,21600r21600,l21600,xe">
            <v:stroke joinstyle="miter"/>
            <v:path gradientshapeok="t" o:connecttype="rect"/>
          </v:shapetype>
          <v:shape id="_x0000_s4" type="#_x0000_t5" fillcolor="#F1F1F1" stroked="f" style="position:absolute;width:193.9pt;height:596.6pt;z-index:-996;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spacing w:before="395" w:after="0" w:line="205"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35-2-2. Application procedure.</w:t>
      </w:r>
    </w:p>
    <w:p>
      <w:pPr>
        <w:pageBreakBefore w:val="false"/>
        <w:numPr>
          <w:ilvl w:val="0"/>
          <w:numId w:val="10"/>
        </w:numPr>
        <w:tabs>
          <w:tab w:val="clear" w:pos="432"/>
          <w:tab w:val="left" w:pos="648"/>
        </w:tabs>
        <w:spacing w:before="0" w:after="0" w:line="203" w:lineRule="exact"/>
        <w:ind w:right="72" w:left="72"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Each application shall include all required submittals before it is accepted as a complete application. No application for a subsequent stage shall be accepted until the Community Development Department has approved the application for the stage of the development currently under consideration.</w:t>
      </w:r>
    </w:p>
    <w:p>
      <w:pPr>
        <w:pageBreakBefore w:val="false"/>
        <w:numPr>
          <w:ilvl w:val="0"/>
          <w:numId w:val="10"/>
        </w:numPr>
        <w:tabs>
          <w:tab w:val="clear" w:pos="432"/>
          <w:tab w:val="left" w:pos="648"/>
        </w:tabs>
        <w:spacing w:before="0" w:after="0" w:line="202" w:lineRule="exact"/>
        <w:ind w:right="0" w:left="72"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There shall be no presumption of approval of any aspect of the process.</w:t>
      </w:r>
    </w:p>
    <w:p>
      <w:pPr>
        <w:pageBreakBefore w:val="false"/>
        <w:numPr>
          <w:ilvl w:val="0"/>
          <w:numId w:val="10"/>
        </w:numPr>
        <w:tabs>
          <w:tab w:val="clear" w:pos="432"/>
          <w:tab w:val="left" w:pos="648"/>
        </w:tabs>
        <w:spacing w:before="2" w:after="0" w:line="204"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No application for a subsequent stage shall be accepted if a prior application has expired.</w:t>
      </w:r>
    </w:p>
    <w:p>
      <w:pPr>
        <w:pageBreakBefore w:val="false"/>
        <w:numPr>
          <w:ilvl w:val="0"/>
          <w:numId w:val="10"/>
        </w:numPr>
        <w:tabs>
          <w:tab w:val="clear" w:pos="432"/>
          <w:tab w:val="left" w:pos="648"/>
        </w:tabs>
        <w:spacing w:before="2"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Planning Commission, or the Community Development Department in the case of a minor subdivision, may request additional information determined to be incomplete and table further action until the requested information is submitted.</w:t>
      </w:r>
    </w:p>
    <w:p>
      <w:pPr>
        <w:pageBreakBefore w:val="false"/>
        <w:numPr>
          <w:ilvl w:val="0"/>
          <w:numId w:val="10"/>
        </w:numPr>
        <w:tabs>
          <w:tab w:val="clear" w:pos="432"/>
          <w:tab w:val="left" w:pos="648"/>
        </w:tabs>
        <w:spacing w:before="3"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denial shall include written findings of fact and a written decision. A denial may be based, in addition to other reasons of good cause, upon incompatibility with the General Plan, lack of a culinary water supply, insufficient fire suppression system, geological concerns, location, incompatibility with surrounding land uses, the inability of service or utility providers to provide services, or the adverse effect on the health, safety, and general welfare of the county and its residents.</w:t>
      </w:r>
    </w:p>
    <w:p>
      <w:pPr>
        <w:pageBreakBefore w:val="false"/>
        <w:numPr>
          <w:ilvl w:val="0"/>
          <w:numId w:val="10"/>
        </w:numPr>
        <w:tabs>
          <w:tab w:val="clear" w:pos="432"/>
          <w:tab w:val="left" w:pos="648"/>
        </w:tabs>
        <w:spacing w:before="5" w:after="0" w:line="204" w:lineRule="exact"/>
        <w:ind w:right="72" w:left="72"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Appeals of a final decision approving or denying a minor subdivision shall be made to the Planning Commission. Appeals of a final decision approving or denying any other subdivision shall be made to the County Council. Appeals of any other decision administering or interpreting the county land use ordinance shall be made to the administrative hearing officer. (Ord. 2023-20, 11/7/23; Ord. 2022-32, 11/29/22)</w:t>
      </w:r>
    </w:p>
    <w:p>
      <w:pPr>
        <w:pageBreakBefore w:val="false"/>
        <w:spacing w:before="183" w:after="0" w:line="205"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35-2-3. Final plat requirements.</w:t>
      </w:r>
    </w:p>
    <w:p>
      <w:pPr>
        <w:pageBreakBefore w:val="false"/>
        <w:numPr>
          <w:ilvl w:val="0"/>
          <w:numId w:val="11"/>
        </w:numPr>
        <w:tabs>
          <w:tab w:val="clear" w:pos="432"/>
          <w:tab w:val="left" w:pos="648"/>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final plat shall be prepared and certified by a registered land surveyor who holds a valid Utah license, has completed a survey of the property described on the plat, has verified all measurements and monumented any unmarked property corners, and has referenced to the filing number for the Record of Survey map filed with the County Surveyor’s office. The applicant shall bond or provide to the county adequate security to place monuments as represented on the plat upon the completion of the subdivision improvements.</w:t>
      </w:r>
    </w:p>
    <w:p>
      <w:pPr>
        <w:pageBreakBefore w:val="false"/>
        <w:numPr>
          <w:ilvl w:val="0"/>
          <w:numId w:val="11"/>
        </w:numPr>
        <w:tabs>
          <w:tab w:val="clear" w:pos="432"/>
          <w:tab w:val="left" w:pos="648"/>
        </w:tabs>
        <w:spacing w:before="0" w:after="0" w:line="202" w:lineRule="exact"/>
        <w:ind w:right="0" w:left="72"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Every detail of the plat shall be legible.</w:t>
      </w:r>
    </w:p>
    <w:p>
      <w:pPr>
        <w:pageBreakBefore w:val="false"/>
        <w:numPr>
          <w:ilvl w:val="0"/>
          <w:numId w:val="11"/>
        </w:numPr>
        <w:tabs>
          <w:tab w:val="clear" w:pos="432"/>
          <w:tab w:val="left" w:pos="648"/>
        </w:tabs>
        <w:spacing w:before="0" w:after="0" w:line="202"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traverse shall not have an error of closure greater than one part in 10,000.</w:t>
      </w:r>
    </w:p>
    <w:p>
      <w:pPr>
        <w:pageBreakBefore w:val="false"/>
        <w:numPr>
          <w:ilvl w:val="0"/>
          <w:numId w:val="11"/>
        </w:numPr>
        <w:tabs>
          <w:tab w:val="clear" w:pos="432"/>
          <w:tab w:val="left" w:pos="648"/>
        </w:tabs>
        <w:spacing w:before="2" w:after="0" w:line="204" w:lineRule="exact"/>
        <w:ind w:right="0" w:left="72"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Each final plat shall include:</w:t>
      </w:r>
    </w:p>
    <w:p>
      <w:pPr>
        <w:pageBreakBefore w:val="false"/>
        <w:numPr>
          <w:ilvl w:val="0"/>
          <w:numId w:val="12"/>
        </w:numPr>
        <w:tabs>
          <w:tab w:val="clear" w:pos="360"/>
          <w:tab w:val="left" w:pos="1008"/>
        </w:tabs>
        <w:spacing w:before="2"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an indication that the plat is a final plat;</w:t>
      </w:r>
    </w:p>
    <w:p>
      <w:pPr>
        <w:pageBreakBefore w:val="false"/>
        <w:numPr>
          <w:ilvl w:val="0"/>
          <w:numId w:val="12"/>
        </w:numPr>
        <w:tabs>
          <w:tab w:val="clear" w:pos="360"/>
          <w:tab w:val="left" w:pos="1008"/>
        </w:tabs>
        <w:spacing w:before="0" w:after="0" w:line="202"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date of the plat;</w:t>
      </w:r>
    </w:p>
    <w:p>
      <w:pPr>
        <w:pageBreakBefore w:val="false"/>
        <w:numPr>
          <w:ilvl w:val="0"/>
          <w:numId w:val="12"/>
        </w:numPr>
        <w:tabs>
          <w:tab w:val="clear" w:pos="360"/>
          <w:tab w:val="left" w:pos="1008"/>
        </w:tabs>
        <w:spacing w:before="5"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general location of the subdivision with name and phase and adjoining properties with ownership with Entry number of vesting deed;</w:t>
      </w:r>
    </w:p>
    <w:p>
      <w:pPr>
        <w:pageBreakBefore w:val="false"/>
        <w:numPr>
          <w:ilvl w:val="0"/>
          <w:numId w:val="12"/>
        </w:numPr>
        <w:tabs>
          <w:tab w:val="clear" w:pos="360"/>
          <w:tab w:val="left" w:pos="1008"/>
        </w:tabs>
        <w:spacing w:before="0" w:after="0" w:line="201"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deed lines of the proposed subdivision and all adjoining property lines;</w:t>
      </w:r>
    </w:p>
    <w:p>
      <w:pPr>
        <w:pageBreakBefore w:val="false"/>
        <w:numPr>
          <w:ilvl w:val="0"/>
          <w:numId w:val="12"/>
        </w:numPr>
        <w:tabs>
          <w:tab w:val="clear" w:pos="360"/>
          <w:tab w:val="left" w:pos="1008"/>
        </w:tabs>
        <w:spacing w:before="8"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100-foot radius wellhead protection zone for all wells proposed within the subdivision, all existing wells located within the subdivision, and all existing wells located outside of the subdivision where any portion of the protection zone falls within the subdivision;</w:t>
      </w:r>
    </w:p>
    <w:p>
      <w:pPr>
        <w:pageBreakBefore w:val="false"/>
        <w:numPr>
          <w:ilvl w:val="0"/>
          <w:numId w:val="12"/>
        </w:numPr>
        <w:tabs>
          <w:tab w:val="clear" w:pos="360"/>
          <w:tab w:val="left" w:pos="1008"/>
        </w:tabs>
        <w:spacing w:before="0" w:after="0" w:line="203"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bearing and distance tie-in to the historic and dependent survey and at least one established monument, or a statement that no historical monument could be located;</w:t>
      </w:r>
    </w:p>
    <w:p>
      <w:pPr>
        <w:pageBreakBefore w:val="false"/>
        <w:numPr>
          <w:ilvl w:val="0"/>
          <w:numId w:val="12"/>
        </w:numPr>
        <w:tabs>
          <w:tab w:val="clear" w:pos="360"/>
          <w:tab w:val="left" w:pos="1008"/>
        </w:tabs>
        <w:spacing w:before="4"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county, township, range, section, quarter sections, plats, and true north;</w:t>
      </w:r>
    </w:p>
    <w:p>
      <w:pPr>
        <w:pageBreakBefore w:val="false"/>
        <w:numPr>
          <w:ilvl w:val="0"/>
          <w:numId w:val="12"/>
        </w:numPr>
        <w:tabs>
          <w:tab w:val="clear" w:pos="360"/>
          <w:tab w:val="left" w:pos="1008"/>
        </w:tabs>
        <w:spacing w:before="0" w:after="0" w:line="202"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graphic scale of the plat;</w:t>
      </w:r>
    </w:p>
    <w:p>
      <w:pPr>
        <w:pageBreakBefore w:val="false"/>
        <w:numPr>
          <w:ilvl w:val="0"/>
          <w:numId w:val="12"/>
        </w:numPr>
        <w:tabs>
          <w:tab w:val="clear" w:pos="360"/>
          <w:tab w:val="left" w:pos="1008"/>
        </w:tabs>
        <w:spacing w:before="0"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square footage and acreage of each lot under one acre, or the acreage of each lot one acre or larger;</w:t>
      </w:r>
    </w:p>
    <w:p>
      <w:pPr>
        <w:pageBreakBefore w:val="false"/>
        <w:numPr>
          <w:ilvl w:val="0"/>
          <w:numId w:val="12"/>
        </w:numPr>
        <w:tabs>
          <w:tab w:val="clear" w:pos="360"/>
          <w:tab w:val="left" w:pos="1008"/>
        </w:tabs>
        <w:spacing w:before="0" w:after="0" w:line="201"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existing ground contours at 20-foot intervals;</w:t>
      </w:r>
    </w:p>
    <w:p>
      <w:pPr>
        <w:pageBreakBefore w:val="false"/>
        <w:numPr>
          <w:ilvl w:val="0"/>
          <w:numId w:val="12"/>
        </w:numPr>
        <w:tabs>
          <w:tab w:val="clear" w:pos="360"/>
          <w:tab w:val="left" w:pos="1008"/>
        </w:tabs>
        <w:spacing w:before="3"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name of the subdivision as approved by the County Recorder;</w:t>
      </w:r>
    </w:p>
    <w:p>
      <w:pPr>
        <w:pageBreakBefore w:val="false"/>
        <w:tabs>
          <w:tab w:val="right" w:leader="none" w:pos="7056"/>
        </w:tabs>
        <w:spacing w:before="401"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35-4</w:t>
      </w:r>
    </w:p>
    <w:p>
      <w:pPr>
        <w:sectPr>
          <w:type w:val="nextPage"/>
          <w:pgSz w:w="12240" w:h="15840" w:orient="portrait"/>
          <w:pgMar w:bottom="1544" w:top="1940" w:right="4024" w:left="1016"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6" coordsize="21600,21600" o:spt="202" path="m,l,21600r21600,l21600,xe">
            <v:stroke joinstyle="miter"/>
            <v:path gradientshapeok="t" o:connecttype="rect"/>
          </v:shapetype>
          <v:shape id="_x0000_s5" type="#_x0000_t6" fillcolor="#F1F1F1" stroked="f" style="position:absolute;width:193.9pt;height:596.6pt;z-index:-995;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13"/>
        </w:numPr>
        <w:tabs>
          <w:tab w:val="clear" w:pos="432"/>
          <w:tab w:val="left" w:pos="1008"/>
        </w:tabs>
        <w:spacing w:before="408" w:after="0" w:line="204" w:lineRule="exact"/>
        <w:ind w:right="72"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amount of water allocated to each lot in acre-feet if the subdivision does not have a public water system connection;</w:t>
      </w:r>
    </w:p>
    <w:p>
      <w:pPr>
        <w:pageBreakBefore w:val="false"/>
        <w:numPr>
          <w:ilvl w:val="0"/>
          <w:numId w:val="13"/>
        </w:numPr>
        <w:tabs>
          <w:tab w:val="clear" w:pos="432"/>
          <w:tab w:val="left" w:pos="1008"/>
        </w:tabs>
        <w:spacing w:before="0" w:after="0" w:line="197"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following owners’ dedication:</w:t>
      </w:r>
    </w:p>
    <w:p>
      <w:pPr>
        <w:pageBreakBefore w:val="false"/>
        <w:spacing w:before="92" w:after="0" w:line="198" w:lineRule="exact"/>
        <w:ind w:right="0" w:left="72" w:firstLine="0"/>
        <w:jc w:val="center"/>
        <w:textAlignment w:val="baseline"/>
        <w:rPr>
          <w:rFonts w:ascii="Ebrima" w:hAnsi="Ebrima" w:eastAsia="Ebrima"/>
          <w:b w:val="true"/>
          <w:strike w:val="false"/>
          <w:color w:val="000000"/>
          <w:spacing w:val="0"/>
          <w:w w:val="100"/>
          <w:sz w:val="15"/>
          <w:vertAlign w:val="baseline"/>
          <w:lang w:val="en-US"/>
        </w:rPr>
      </w:pPr>
      <w:r>
        <w:rPr>
          <w:rFonts w:ascii="Ebrima" w:hAnsi="Ebrima" w:eastAsia="Ebrima"/>
          <w:b w:val="true"/>
          <w:strike w:val="false"/>
          <w:color w:val="000000"/>
          <w:spacing w:val="0"/>
          <w:w w:val="100"/>
          <w:sz w:val="15"/>
          <w:vertAlign w:val="baseline"/>
          <w:lang w:val="en-US"/>
        </w:rPr>
        <w:t xml:space="preserve">OWNERS’ DEDICATION AND CONSENT TO RECORD</w:t>
      </w:r>
    </w:p>
    <w:p>
      <w:pPr>
        <w:pageBreakBefore w:val="false"/>
        <w:spacing w:before="91" w:after="0" w:line="204" w:lineRule="exact"/>
        <w:ind w:right="72" w:left="504"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We are the owners of this tract of land and divide the same into lots and streets together with easements, to be known as (NAME OF SUBDIVISION). We dedicate to Tooele County the tracts of land designated on this plat as public roads. We also convey to any and all public and private utility companies a perpetual, non-exclusive easement over the public utility easements shown on this plat, the same to be used for drainage and the installation, maintenance, and operation of utility service lines and facilities.</w:t>
      </w:r>
    </w:p>
    <w:p>
      <w:pPr>
        <w:pageBreakBefore w:val="false"/>
        <w:numPr>
          <w:ilvl w:val="0"/>
          <w:numId w:val="13"/>
        </w:numPr>
        <w:tabs>
          <w:tab w:val="clear" w:pos="432"/>
          <w:tab w:val="left" w:pos="1008"/>
        </w:tabs>
        <w:spacing w:before="1" w:after="0" w:line="204"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names of all owners, of record, under the signature lines in the owners’ dedication; and</w:t>
      </w:r>
    </w:p>
    <w:p>
      <w:pPr>
        <w:pageBreakBefore w:val="false"/>
        <w:numPr>
          <w:ilvl w:val="0"/>
          <w:numId w:val="13"/>
        </w:numPr>
        <w:tabs>
          <w:tab w:val="clear" w:pos="432"/>
          <w:tab w:val="left" w:pos="1008"/>
        </w:tabs>
        <w:spacing w:before="0" w:after="0" w:line="201" w:lineRule="exact"/>
        <w:ind w:right="0" w:left="57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signature blocks for:</w:t>
      </w:r>
    </w:p>
    <w:p>
      <w:pPr>
        <w:pageBreakBefore w:val="false"/>
        <w:numPr>
          <w:ilvl w:val="0"/>
          <w:numId w:val="14"/>
        </w:numPr>
        <w:tabs>
          <w:tab w:val="clear" w:pos="432"/>
          <w:tab w:val="left" w:pos="1440"/>
        </w:tabs>
        <w:spacing w:before="2" w:after="0" w:line="204" w:lineRule="exact"/>
        <w:ind w:right="72" w:left="1008"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improvement, service, and special districts or areas where any part of the subdivision is located;</w:t>
      </w:r>
    </w:p>
    <w:p>
      <w:pPr>
        <w:pageBreakBefore w:val="false"/>
        <w:numPr>
          <w:ilvl w:val="0"/>
          <w:numId w:val="14"/>
        </w:numPr>
        <w:tabs>
          <w:tab w:val="clear" w:pos="432"/>
          <w:tab w:val="left" w:pos="1440"/>
        </w:tabs>
        <w:spacing w:before="1" w:after="0" w:line="204" w:lineRule="exact"/>
        <w:ind w:right="0" w:left="1008" w:firstLine="0"/>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the County Engineer;</w:t>
      </w:r>
    </w:p>
    <w:p>
      <w:pPr>
        <w:pageBreakBefore w:val="false"/>
        <w:numPr>
          <w:ilvl w:val="0"/>
          <w:numId w:val="14"/>
        </w:numPr>
        <w:tabs>
          <w:tab w:val="clear" w:pos="432"/>
          <w:tab w:val="left" w:pos="1440"/>
        </w:tabs>
        <w:spacing w:before="2" w:after="0" w:line="204" w:lineRule="exact"/>
        <w:ind w:right="0" w:left="1008" w:firstLine="0"/>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the County Surveyor;</w:t>
      </w:r>
    </w:p>
    <w:p>
      <w:pPr>
        <w:pageBreakBefore w:val="false"/>
        <w:numPr>
          <w:ilvl w:val="0"/>
          <w:numId w:val="14"/>
        </w:numPr>
        <w:tabs>
          <w:tab w:val="clear" w:pos="432"/>
          <w:tab w:val="left" w:pos="1440"/>
        </w:tabs>
        <w:spacing w:before="0" w:after="0" w:line="202" w:lineRule="exact"/>
        <w:ind w:right="0" w:left="1008" w:firstLine="0"/>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the County Attorney;</w:t>
      </w:r>
    </w:p>
    <w:p>
      <w:pPr>
        <w:pageBreakBefore w:val="false"/>
        <w:numPr>
          <w:ilvl w:val="0"/>
          <w:numId w:val="14"/>
        </w:numPr>
        <w:tabs>
          <w:tab w:val="clear" w:pos="432"/>
          <w:tab w:val="left" w:pos="1440"/>
        </w:tabs>
        <w:spacing w:before="2" w:after="0" w:line="204" w:lineRule="exact"/>
        <w:ind w:right="0" w:left="1008" w:firstLine="0"/>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the County Health Department;</w:t>
      </w:r>
    </w:p>
    <w:p>
      <w:pPr>
        <w:pageBreakBefore w:val="false"/>
        <w:numPr>
          <w:ilvl w:val="0"/>
          <w:numId w:val="14"/>
        </w:numPr>
        <w:tabs>
          <w:tab w:val="clear" w:pos="432"/>
          <w:tab w:val="left" w:pos="1440"/>
        </w:tabs>
        <w:spacing w:before="3" w:after="0" w:line="204" w:lineRule="exact"/>
        <w:ind w:right="0" w:left="1008"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County Treasurer, indicating that all property taxes have been paid in full;</w:t>
      </w:r>
    </w:p>
    <w:p>
      <w:pPr>
        <w:pageBreakBefore w:val="false"/>
        <w:numPr>
          <w:ilvl w:val="0"/>
          <w:numId w:val="14"/>
        </w:numPr>
        <w:tabs>
          <w:tab w:val="clear" w:pos="432"/>
          <w:tab w:val="left" w:pos="1440"/>
        </w:tabs>
        <w:spacing w:before="0" w:after="0" w:line="204" w:lineRule="exact"/>
        <w:ind w:right="72" w:left="1008"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County Recorder, with space for the recordation number, the name(s) of the person(s) for whom the plat is recorded, the date and time of recording, and the fee;</w:t>
      </w:r>
    </w:p>
    <w:p>
      <w:pPr>
        <w:pageBreakBefore w:val="false"/>
        <w:numPr>
          <w:ilvl w:val="0"/>
          <w:numId w:val="14"/>
        </w:numPr>
        <w:tabs>
          <w:tab w:val="clear" w:pos="432"/>
          <w:tab w:val="left" w:pos="1440"/>
        </w:tabs>
        <w:spacing w:before="0" w:after="0" w:line="201" w:lineRule="exact"/>
        <w:ind w:right="0" w:left="1008" w:firstLine="0"/>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the fire authority having jurisdiction; and</w:t>
      </w:r>
    </w:p>
    <w:p>
      <w:pPr>
        <w:pageBreakBefore w:val="false"/>
        <w:numPr>
          <w:ilvl w:val="0"/>
          <w:numId w:val="14"/>
        </w:numPr>
        <w:tabs>
          <w:tab w:val="clear" w:pos="432"/>
          <w:tab w:val="left" w:pos="1440"/>
        </w:tabs>
        <w:spacing w:before="10" w:after="0" w:line="204" w:lineRule="exact"/>
        <w:ind w:right="144" w:left="1008"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Administrative Land Use Authority and Community Development Department, or in the case of a minor subdivision, the Community Development Department.</w:t>
      </w:r>
    </w:p>
    <w:p>
      <w:pPr>
        <w:pageBreakBefore w:val="false"/>
        <w:numPr>
          <w:ilvl w:val="0"/>
          <w:numId w:val="15"/>
        </w:numPr>
        <w:tabs>
          <w:tab w:val="clear" w:pos="360"/>
          <w:tab w:val="left" w:pos="576"/>
        </w:tabs>
        <w:spacing w:before="5"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bearings, distances, and curve data of all perimeter boundary lines shall be indicated outside the boundary line. When the plat is bounded by an irregular shoreline of a body of water, the bearings and distances of a closing meander traverse shall be provided, and a notation made that the plat includes all land to the water’s high-level mark.</w:t>
      </w:r>
    </w:p>
    <w:p>
      <w:pPr>
        <w:pageBreakBefore w:val="false"/>
        <w:numPr>
          <w:ilvl w:val="0"/>
          <w:numId w:val="15"/>
        </w:numPr>
        <w:tabs>
          <w:tab w:val="clear" w:pos="360"/>
          <w:tab w:val="left" w:pos="576"/>
        </w:tabs>
        <w:spacing w:before="0" w:after="0" w:line="201"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If a plat is revised, a copy of the previous plat shall be provided for comparison purposes.</w:t>
      </w:r>
    </w:p>
    <w:p>
      <w:pPr>
        <w:pageBreakBefore w:val="false"/>
        <w:numPr>
          <w:ilvl w:val="0"/>
          <w:numId w:val="15"/>
        </w:numPr>
        <w:tabs>
          <w:tab w:val="clear" w:pos="360"/>
          <w:tab w:val="left" w:pos="576"/>
        </w:tabs>
        <w:spacing w:before="0" w:after="0" w:line="202"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blocks and lots within each block shall be consecutively numbered.</w:t>
      </w:r>
    </w:p>
    <w:p>
      <w:pPr>
        <w:pageBreakBefore w:val="false"/>
        <w:numPr>
          <w:ilvl w:val="0"/>
          <w:numId w:val="15"/>
        </w:numPr>
        <w:tabs>
          <w:tab w:val="clear" w:pos="360"/>
          <w:tab w:val="left" w:pos="576"/>
        </w:tabs>
        <w:spacing w:before="5"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For all curves in the plat, sufficient data shall be given to re-establish the curves on the ground. The curve data shall include the radius, central angle, cord bearing and distance, tangent, and arc length.</w:t>
      </w:r>
    </w:p>
    <w:p>
      <w:pPr>
        <w:pageBreakBefore w:val="false"/>
        <w:numPr>
          <w:ilvl w:val="0"/>
          <w:numId w:val="15"/>
        </w:numPr>
        <w:tabs>
          <w:tab w:val="clear" w:pos="360"/>
          <w:tab w:val="left" w:pos="576"/>
        </w:tabs>
        <w:spacing w:before="0" w:after="0" w:line="201"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Excepted parcels, if any, shall be marked, “Not included in this subdivision.”</w:t>
      </w:r>
    </w:p>
    <w:p>
      <w:pPr>
        <w:pageBreakBefore w:val="false"/>
        <w:numPr>
          <w:ilvl w:val="0"/>
          <w:numId w:val="15"/>
        </w:numPr>
        <w:tabs>
          <w:tab w:val="clear" w:pos="360"/>
          <w:tab w:val="left" w:pos="576"/>
        </w:tabs>
        <w:spacing w:before="0" w:after="0" w:line="202"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public lands shall be identified.</w:t>
      </w:r>
    </w:p>
    <w:p>
      <w:pPr>
        <w:pageBreakBefore w:val="false"/>
        <w:numPr>
          <w:ilvl w:val="0"/>
          <w:numId w:val="15"/>
        </w:numPr>
        <w:tabs>
          <w:tab w:val="clear" w:pos="360"/>
          <w:tab w:val="left" w:pos="576"/>
        </w:tabs>
        <w:spacing w:before="7" w:after="0" w:line="204"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public roads shall be marked as “dedicated public road.”</w:t>
      </w:r>
    </w:p>
    <w:p>
      <w:pPr>
        <w:pageBreakBefore w:val="false"/>
        <w:numPr>
          <w:ilvl w:val="0"/>
          <w:numId w:val="15"/>
        </w:numPr>
        <w:tabs>
          <w:tab w:val="clear" w:pos="360"/>
          <w:tab w:val="left" w:pos="576"/>
        </w:tabs>
        <w:spacing w:before="0" w:after="0" w:line="197"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private roads shall be marked as “private road.”</w:t>
      </w:r>
    </w:p>
    <w:p>
      <w:pPr>
        <w:pageBreakBefore w:val="false"/>
        <w:numPr>
          <w:ilvl w:val="0"/>
          <w:numId w:val="15"/>
        </w:numPr>
        <w:tabs>
          <w:tab w:val="clear" w:pos="360"/>
          <w:tab w:val="left" w:pos="576"/>
        </w:tabs>
        <w:spacing w:before="7" w:after="0" w:line="204"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roads shall be identified by names approved by the Community Development Department.</w:t>
      </w:r>
    </w:p>
    <w:p>
      <w:pPr>
        <w:pageBreakBefore w:val="false"/>
        <w:numPr>
          <w:ilvl w:val="0"/>
          <w:numId w:val="15"/>
        </w:numPr>
        <w:tabs>
          <w:tab w:val="clear" w:pos="360"/>
          <w:tab w:val="left" w:pos="576"/>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lands within the subdivision's boundaries shall be accounted for as lots, walkways, streets, or excepted parcels.</w:t>
      </w:r>
    </w:p>
    <w:p>
      <w:pPr>
        <w:pageBreakBefore w:val="false"/>
        <w:numPr>
          <w:ilvl w:val="0"/>
          <w:numId w:val="15"/>
        </w:numPr>
        <w:tabs>
          <w:tab w:val="clear" w:pos="360"/>
          <w:tab w:val="left" w:pos="576"/>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Bearings and dimensions shall be given for all lot lines and easements, except bearings and lengths need not be provided for interior lot lines where the bearings and lengths are the same as those of both end lot lines.</w:t>
      </w:r>
    </w:p>
    <w:p>
      <w:pPr>
        <w:pageBreakBefore w:val="false"/>
        <w:tabs>
          <w:tab w:val="right" w:leader="none" w:pos="6984"/>
        </w:tabs>
        <w:spacing w:before="808"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35-5</w:t>
      </w:r>
    </w:p>
    <w:p>
      <w:pPr>
        <w:sectPr>
          <w:type w:val="nextPage"/>
          <w:pgSz w:w="12240" w:h="15840" w:orient="portrait"/>
          <w:pgMar w:bottom="1544" w:top="1940" w:right="4022" w:left="1018" w:header="720" w:footer="720"/>
          <w:titlePg w:val="false"/>
          <w:textDirection w:val="lrTb"/>
        </w:sectPr>
      </w:pPr>
    </w:p>
    <w:p>
      <w:pPr>
        <w:pageBreakBefore w:val="false"/>
        <w:spacing w:before="779" w:after="0" w:line="223" w:lineRule="exact"/>
        <w:ind w:right="72" w:left="72" w:firstLine="0"/>
        <w:jc w:val="center"/>
        <w:textAlignment w:val="baseline"/>
        <w:rPr>
          <w:rFonts w:ascii="Ebrima" w:hAnsi="Ebrima" w:eastAsia="Ebrima"/>
          <w:strike w:val="false"/>
          <w:color w:val="000000"/>
          <w:spacing w:val="-4"/>
          <w:w w:val="100"/>
          <w:sz w:val="17"/>
          <w:vertAlign w:val="baseline"/>
          <w:lang w:val="en-US"/>
        </w:rPr>
      </w:pPr>
      <w:r>
        <w:pict>
          <v:shapetype id="_x0000_t7" coordsize="21600,21600" o:spt="202" path="m,l,21600r21600,l21600,xe">
            <v:stroke joinstyle="miter"/>
            <v:path gradientshapeok="t" o:connecttype="rect"/>
          </v:shapetype>
          <v:shape id="_x0000_s6" type="#_x0000_t7" fillcolor="#F1F1F1" stroked="f" style="position:absolute;width:193.9pt;height:596.6pt;z-index:-994;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16"/>
        </w:numPr>
        <w:tabs>
          <w:tab w:val="clear" w:pos="288"/>
          <w:tab w:val="left" w:pos="504"/>
        </w:tabs>
        <w:spacing w:before="406"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Parcels not contiguous shall not be included in one plat, nor shall more than one plat be made on the same sheet. Contiguous parcels owned by different parties may be included in one plat provided all owners join in the dedication and acknowledgments.</w:t>
      </w:r>
    </w:p>
    <w:p>
      <w:pPr>
        <w:pageBreakBefore w:val="false"/>
        <w:numPr>
          <w:ilvl w:val="0"/>
          <w:numId w:val="16"/>
        </w:numPr>
        <w:tabs>
          <w:tab w:val="clear" w:pos="288"/>
          <w:tab w:val="left" w:pos="504"/>
        </w:tabs>
        <w:spacing w:before="0" w:after="0" w:line="202"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Lengths shall be shown to hundredths of a foot. Angles and bearings shall be shown to seconds of arc.</w:t>
      </w:r>
    </w:p>
    <w:p>
      <w:pPr>
        <w:pageBreakBefore w:val="false"/>
        <w:numPr>
          <w:ilvl w:val="0"/>
          <w:numId w:val="16"/>
        </w:numPr>
        <w:tabs>
          <w:tab w:val="clear" w:pos="288"/>
          <w:tab w:val="left" w:pos="504"/>
        </w:tabs>
        <w:spacing w:before="8"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Surveys shall tie into the Public Land Survey System (PLSS) and shall include a description, the name, and the date for survey monuments located.</w:t>
      </w:r>
    </w:p>
    <w:p>
      <w:pPr>
        <w:pageBreakBefore w:val="false"/>
        <w:numPr>
          <w:ilvl w:val="0"/>
          <w:numId w:val="16"/>
        </w:numPr>
        <w:tabs>
          <w:tab w:val="clear" w:pos="288"/>
          <w:tab w:val="left" w:pos="504"/>
        </w:tabs>
        <w:spacing w:before="0" w:after="0" w:line="202"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surveyor shall provide remainder descriptions for all property from the original parcel(s) or lot(s) that is not included in the subdivision. (Ord. 2023-20, 11/7/23; Ord. 2022-32, 11/29/22)</w:t>
      </w:r>
    </w:p>
    <w:p>
      <w:pPr>
        <w:pageBreakBefore w:val="false"/>
        <w:spacing w:before="202" w:after="0" w:line="204" w:lineRule="exact"/>
        <w:ind w:right="72"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35-2-4. Infrastructure design and engineering drawings requirements.</w:t>
      </w:r>
    </w:p>
    <w:p>
      <w:pPr>
        <w:pageBreakBefore w:val="false"/>
        <w:tabs>
          <w:tab w:val="left" w:leader="none" w:pos="576"/>
        </w:tabs>
        <w:spacing w:before="0" w:after="0" w:line="202"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Infrastructure design and engineering drawings and documents shall be submitted with the final plat and shall include:</w:t>
      </w:r>
    </w:p>
    <w:p>
      <w:pPr>
        <w:pageBreakBefore w:val="false"/>
        <w:numPr>
          <w:ilvl w:val="0"/>
          <w:numId w:val="17"/>
        </w:numPr>
        <w:tabs>
          <w:tab w:val="clear" w:pos="360"/>
          <w:tab w:val="left" w:pos="1008"/>
        </w:tabs>
        <w:spacing w:before="0"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plan, profile, and typical cross-section drawings of the roads, bridges, culverts, water, sewers, and drainage structures;</w:t>
      </w:r>
    </w:p>
    <w:p>
      <w:pPr>
        <w:pageBreakBefore w:val="false"/>
        <w:numPr>
          <w:ilvl w:val="0"/>
          <w:numId w:val="17"/>
        </w:numPr>
        <w:tabs>
          <w:tab w:val="clear" w:pos="360"/>
          <w:tab w:val="left" w:pos="1008"/>
        </w:tabs>
        <w:spacing w:before="5"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grading and drainage plan indicated by solid-line contours superimposed on dashed-line contours of existing topography;</w:t>
      </w:r>
    </w:p>
    <w:p>
      <w:pPr>
        <w:pageBreakBefore w:val="false"/>
        <w:numPr>
          <w:ilvl w:val="0"/>
          <w:numId w:val="17"/>
        </w:numPr>
        <w:tabs>
          <w:tab w:val="clear" w:pos="360"/>
          <w:tab w:val="left" w:pos="1008"/>
        </w:tabs>
        <w:spacing w:before="0" w:after="0" w:line="203"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general location of trees over six inches in diameter measured at four and one-half feet above the ground, and in the case of heavily-wooded areas, an indication of the outline of the wooded area and location of trees which are to remain;</w:t>
      </w:r>
    </w:p>
    <w:p>
      <w:pPr>
        <w:pageBreakBefore w:val="false"/>
        <w:numPr>
          <w:ilvl w:val="0"/>
          <w:numId w:val="17"/>
        </w:numPr>
        <w:tabs>
          <w:tab w:val="clear" w:pos="360"/>
          <w:tab w:val="left" w:pos="1008"/>
        </w:tabs>
        <w:spacing w:before="1"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proposed and existing water and sewage system layouts;</w:t>
      </w:r>
    </w:p>
    <w:p>
      <w:pPr>
        <w:pageBreakBefore w:val="false"/>
        <w:numPr>
          <w:ilvl w:val="0"/>
          <w:numId w:val="17"/>
        </w:numPr>
        <w:tabs>
          <w:tab w:val="clear" w:pos="360"/>
          <w:tab w:val="left" w:pos="1008"/>
        </w:tabs>
        <w:spacing w:before="0" w:after="0" w:line="202"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location of fire hydrants;</w:t>
      </w:r>
    </w:p>
    <w:p>
      <w:pPr>
        <w:pageBreakBefore w:val="false"/>
        <w:numPr>
          <w:ilvl w:val="0"/>
          <w:numId w:val="17"/>
        </w:numPr>
        <w:tabs>
          <w:tab w:val="clear" w:pos="360"/>
          <w:tab w:val="left" w:pos="1008"/>
        </w:tabs>
        <w:spacing w:before="0" w:after="0" w:line="208"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proposed road layouts in dashed lines for any portion of the property to be developed in a later phase;</w:t>
      </w:r>
    </w:p>
    <w:p>
      <w:pPr>
        <w:pageBreakBefore w:val="false"/>
        <w:numPr>
          <w:ilvl w:val="0"/>
          <w:numId w:val="17"/>
        </w:numPr>
        <w:tabs>
          <w:tab w:val="clear" w:pos="360"/>
          <w:tab w:val="left" w:pos="1008"/>
        </w:tabs>
        <w:spacing w:before="0"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water courses and proposed stormwater drainage systems, including culverts, water areas, streams, areas subject to occasional flooding, marshy areas, or swamps;</w:t>
      </w:r>
    </w:p>
    <w:p>
      <w:pPr>
        <w:pageBreakBefore w:val="false"/>
        <w:numPr>
          <w:ilvl w:val="0"/>
          <w:numId w:val="17"/>
        </w:numPr>
        <w:tabs>
          <w:tab w:val="clear" w:pos="360"/>
          <w:tab w:val="left" w:pos="1008"/>
        </w:tabs>
        <w:spacing w:before="0" w:after="0" w:line="202"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areas within the 100-year floodplain;</w:t>
      </w:r>
    </w:p>
    <w:p>
      <w:pPr>
        <w:pageBreakBefore w:val="false"/>
        <w:numPr>
          <w:ilvl w:val="0"/>
          <w:numId w:val="17"/>
        </w:numPr>
        <w:tabs>
          <w:tab w:val="clear" w:pos="360"/>
          <w:tab w:val="left" w:pos="1008"/>
        </w:tabs>
        <w:spacing w:before="2"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soil types and soil interpretations taken from the National Cooperative Soils Survey;</w:t>
      </w:r>
    </w:p>
    <w:p>
      <w:pPr>
        <w:pageBreakBefore w:val="false"/>
        <w:numPr>
          <w:ilvl w:val="0"/>
          <w:numId w:val="17"/>
        </w:numPr>
        <w:tabs>
          <w:tab w:val="clear" w:pos="360"/>
          <w:tab w:val="left" w:pos="1008"/>
        </w:tabs>
        <w:spacing w:before="5"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signing and striping plan showing the location of all street signs, striping, and traffic control devices required by the county per the Manual of Uniform Traffic Control Devices;</w:t>
      </w:r>
    </w:p>
    <w:p>
      <w:pPr>
        <w:pageBreakBefore w:val="false"/>
        <w:numPr>
          <w:ilvl w:val="0"/>
          <w:numId w:val="17"/>
        </w:numPr>
        <w:tabs>
          <w:tab w:val="clear" w:pos="360"/>
          <w:tab w:val="left" w:pos="1008"/>
        </w:tabs>
        <w:spacing w:before="0" w:after="0" w:line="202"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signature block for the County Engineer on each design and construction drawing;</w:t>
      </w:r>
    </w:p>
    <w:p>
      <w:pPr>
        <w:pageBreakBefore w:val="false"/>
        <w:numPr>
          <w:ilvl w:val="0"/>
          <w:numId w:val="17"/>
        </w:numPr>
        <w:tabs>
          <w:tab w:val="clear" w:pos="360"/>
          <w:tab w:val="left" w:pos="1008"/>
        </w:tabs>
        <w:spacing w:before="0"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when the subdivision is located within the jurisdiction of a service or improvement district or area, a signature block for such service or improvement district or area;</w:t>
      </w:r>
    </w:p>
    <w:p>
      <w:pPr>
        <w:pageBreakBefore w:val="false"/>
        <w:numPr>
          <w:ilvl w:val="0"/>
          <w:numId w:val="17"/>
        </w:numPr>
        <w:tabs>
          <w:tab w:val="clear" w:pos="360"/>
          <w:tab w:val="left" w:pos="1008"/>
        </w:tabs>
        <w:spacing w:before="0" w:after="0" w:line="201"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geologic maps and investigation reports regarding area suitability; and</w:t>
      </w:r>
    </w:p>
    <w:p>
      <w:pPr>
        <w:pageBreakBefore w:val="false"/>
        <w:numPr>
          <w:ilvl w:val="0"/>
          <w:numId w:val="17"/>
        </w:numPr>
        <w:tabs>
          <w:tab w:val="clear" w:pos="360"/>
          <w:tab w:val="left" w:pos="1008"/>
        </w:tabs>
        <w:spacing w:before="7"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design report stamped by an engineer licensed in the State of Utah.</w:t>
      </w:r>
    </w:p>
    <w:p>
      <w:pPr>
        <w:pageBreakBefore w:val="false"/>
        <w:tabs>
          <w:tab w:val="left" w:leader="none" w:pos="576"/>
        </w:tabs>
        <w:spacing w:before="0" w:after="0" w:line="203"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All drawings shall be drawn to a scale not less than one inch equals 100 feet and indicate the basis of bearings, true north, the name of the subdivision, township, range, section, quarter section, and lot numbers of the property.</w:t>
      </w:r>
    </w:p>
    <w:p>
      <w:pPr>
        <w:pageBreakBefore w:val="false"/>
        <w:tabs>
          <w:tab w:val="left" w:leader="none" w:pos="576"/>
        </w:tabs>
        <w:spacing w:before="2" w:after="0" w:line="204" w:lineRule="exact"/>
        <w:ind w:right="72" w:left="72"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(3)	</w:t>
      </w:r>
      <w:r>
        <w:rPr>
          <w:rFonts w:ascii="Ebrima" w:hAnsi="Ebrima" w:eastAsia="Ebrima"/>
          <w:strike w:val="false"/>
          <w:color w:val="000000"/>
          <w:spacing w:val="-1"/>
          <w:w w:val="100"/>
          <w:sz w:val="15"/>
          <w:vertAlign w:val="baseline"/>
          <w:lang w:val="en-US"/>
        </w:rPr>
        <w:t xml:space="preserve">To change any aspect of the design of off-site improvements, a new set of infrastructure design and engineer drawings shall be submitted for approval. A signed set of drawings shall be onsite at all times during construction. All construction must conform to the approved plans. (Ord. 2022-32, 11/29/22)</w:t>
      </w:r>
    </w:p>
    <w:p>
      <w:pPr>
        <w:pageBreakBefore w:val="false"/>
        <w:tabs>
          <w:tab w:val="right" w:leader="none" w:pos="7056"/>
        </w:tabs>
        <w:spacing w:before="1189" w:after="0" w:line="223" w:lineRule="exact"/>
        <w:ind w:right="72"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35-6</w:t>
      </w:r>
    </w:p>
    <w:p>
      <w:pPr>
        <w:sectPr>
          <w:type w:val="nextPage"/>
          <w:pgSz w:w="12240" w:h="15840" w:orient="portrait"/>
          <w:pgMar w:bottom="1544" w:top="1940" w:right="4027" w:left="1013"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8" coordsize="21600,21600" o:spt="202" path="m,l,21600r21600,l21600,xe">
            <v:stroke joinstyle="miter"/>
            <v:path gradientshapeok="t" o:connecttype="rect"/>
          </v:shapetype>
          <v:shape id="_x0000_s7" type="#_x0000_t8" fillcolor="#F1F1F1" stroked="f" style="position:absolute;width:193.9pt;height:596.6pt;z-index:-993;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spacing w:before="400" w:after="0" w:line="198" w:lineRule="exact"/>
        <w:ind w:right="0" w:left="72" w:firstLine="0"/>
        <w:jc w:val="center"/>
        <w:textAlignment w:val="baseline"/>
        <w:rPr>
          <w:rFonts w:ascii="Ebrima" w:hAnsi="Ebrima" w:eastAsia="Ebrima"/>
          <w:b w:val="true"/>
          <w:strike w:val="false"/>
          <w:color w:val="000000"/>
          <w:spacing w:val="-7"/>
          <w:w w:val="100"/>
          <w:sz w:val="16"/>
          <w:vertAlign w:val="baseline"/>
          <w:lang w:val="en-US"/>
        </w:rPr>
      </w:pPr>
      <w:r>
        <w:rPr>
          <w:rFonts w:ascii="Ebrima" w:hAnsi="Ebrima" w:eastAsia="Ebrima"/>
          <w:b w:val="true"/>
          <w:strike w:val="false"/>
          <w:color w:val="000000"/>
          <w:spacing w:val="-7"/>
          <w:w w:val="100"/>
          <w:sz w:val="16"/>
          <w:vertAlign w:val="baseline"/>
          <w:lang w:val="en-US"/>
        </w:rPr>
        <w:t xml:space="preserve">PART 35-3</w:t>
      </w:r>
    </w:p>
    <w:p>
      <w:pPr>
        <w:pageBreakBefore w:val="false"/>
        <w:spacing w:before="0" w:after="0" w:line="198" w:lineRule="exact"/>
        <w:ind w:right="0" w:left="72" w:firstLine="0"/>
        <w:jc w:val="center"/>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MINOR SUBDIVISIONS</w:t>
      </w:r>
    </w:p>
    <w:p>
      <w:pPr>
        <w:pageBreakBefore w:val="false"/>
        <w:spacing w:before="180" w:after="0" w:line="195" w:lineRule="exact"/>
        <w:ind w:right="0" w:left="72" w:firstLine="0"/>
        <w:jc w:val="left"/>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Section</w:t>
      </w:r>
    </w:p>
    <w:p>
      <w:pPr>
        <w:pageBreakBefore w:val="false"/>
        <w:spacing w:before="0" w:after="0" w:line="190"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35-3-1. Standards.</w:t>
      </w:r>
    </w:p>
    <w:p>
      <w:pPr>
        <w:pageBreakBefore w:val="false"/>
        <w:spacing w:before="0" w:after="0" w:line="198" w:lineRule="exact"/>
        <w:ind w:right="0" w:left="72"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35-3-2. Approval process.</w:t>
      </w:r>
    </w:p>
    <w:p>
      <w:pPr>
        <w:pageBreakBefore w:val="false"/>
        <w:spacing w:before="185" w:after="0" w:line="20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35-3-1. Standards.</w:t>
      </w:r>
    </w:p>
    <w:p>
      <w:pPr>
        <w:pageBreakBefore w:val="false"/>
        <w:numPr>
          <w:ilvl w:val="0"/>
          <w:numId w:val="18"/>
        </w:numPr>
        <w:tabs>
          <w:tab w:val="clear" w:pos="432"/>
          <w:tab w:val="left" w:pos="648"/>
        </w:tabs>
        <w:spacing w:before="0" w:after="0" w:line="195" w:lineRule="exact"/>
        <w:ind w:right="0"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All lots shall front on a county road or an approved private road.</w:t>
      </w:r>
    </w:p>
    <w:p>
      <w:pPr>
        <w:pageBreakBefore w:val="false"/>
        <w:numPr>
          <w:ilvl w:val="0"/>
          <w:numId w:val="18"/>
        </w:numPr>
        <w:tabs>
          <w:tab w:val="clear" w:pos="432"/>
          <w:tab w:val="left" w:pos="648"/>
        </w:tabs>
        <w:spacing w:before="6"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Land may be dedicated along existing county roads to increase the right-of-way to current county standards.</w:t>
      </w:r>
    </w:p>
    <w:p>
      <w:pPr>
        <w:pageBreakBefore w:val="false"/>
        <w:numPr>
          <w:ilvl w:val="0"/>
          <w:numId w:val="18"/>
        </w:numPr>
        <w:tabs>
          <w:tab w:val="clear" w:pos="432"/>
          <w:tab w:val="left" w:pos="648"/>
        </w:tabs>
        <w:spacing w:before="4" w:after="0" w:line="204" w:lineRule="exact"/>
        <w:ind w:right="144"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If the Community Development Department determines that public infrastructure improvements are required, the applicant must proceed with the major subdivision approval processes.</w:t>
      </w:r>
    </w:p>
    <w:p>
      <w:pPr>
        <w:pageBreakBefore w:val="false"/>
        <w:numPr>
          <w:ilvl w:val="0"/>
          <w:numId w:val="18"/>
        </w:numPr>
        <w:tabs>
          <w:tab w:val="clear" w:pos="432"/>
          <w:tab w:val="left" w:pos="648"/>
        </w:tabs>
        <w:spacing w:before="0" w:after="0" w:line="204"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minor subdivision shall be filed on a plat drawn and certified by a licensed surveyor and shall not be created by deed alone.</w:t>
      </w:r>
    </w:p>
    <w:p>
      <w:pPr>
        <w:pageBreakBefore w:val="false"/>
        <w:numPr>
          <w:ilvl w:val="0"/>
          <w:numId w:val="18"/>
        </w:numPr>
        <w:tabs>
          <w:tab w:val="clear" w:pos="432"/>
          <w:tab w:val="left" w:pos="648"/>
        </w:tabs>
        <w:spacing w:before="0" w:after="0" w:line="201" w:lineRule="exact"/>
        <w:ind w:right="0"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Public utility easements may be required in a minor subdivision.</w:t>
      </w:r>
    </w:p>
    <w:p>
      <w:pPr>
        <w:pageBreakBefore w:val="false"/>
        <w:numPr>
          <w:ilvl w:val="0"/>
          <w:numId w:val="18"/>
        </w:numPr>
        <w:tabs>
          <w:tab w:val="clear" w:pos="432"/>
          <w:tab w:val="left" w:pos="648"/>
        </w:tabs>
        <w:spacing w:before="0" w:after="0" w:line="203" w:lineRule="exact"/>
        <w:ind w:right="0" w:left="72"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A minor subdivision shall:</w:t>
      </w:r>
    </w:p>
    <w:p>
      <w:pPr>
        <w:pageBreakBefore w:val="false"/>
        <w:numPr>
          <w:ilvl w:val="0"/>
          <w:numId w:val="19"/>
        </w:numPr>
        <w:tabs>
          <w:tab w:val="clear" w:pos="432"/>
          <w:tab w:val="left" w:pos="1080"/>
        </w:tabs>
        <w:spacing w:before="0" w:after="0" w:line="202" w:lineRule="exact"/>
        <w:ind w:right="0" w:left="504"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consist of four or fewer lots;</w:t>
      </w:r>
    </w:p>
    <w:p>
      <w:pPr>
        <w:pageBreakBefore w:val="false"/>
        <w:numPr>
          <w:ilvl w:val="0"/>
          <w:numId w:val="19"/>
        </w:numPr>
        <w:tabs>
          <w:tab w:val="clear" w:pos="432"/>
          <w:tab w:val="left" w:pos="1080"/>
        </w:tabs>
        <w:spacing w:before="2" w:after="0" w:line="204" w:lineRule="exact"/>
        <w:ind w:right="0" w:left="504"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not include the construction or dedication of new infrastructure;</w:t>
      </w:r>
    </w:p>
    <w:p>
      <w:pPr>
        <w:pageBreakBefore w:val="false"/>
        <w:numPr>
          <w:ilvl w:val="0"/>
          <w:numId w:val="19"/>
        </w:numPr>
        <w:tabs>
          <w:tab w:val="clear" w:pos="432"/>
          <w:tab w:val="left" w:pos="1080"/>
        </w:tabs>
        <w:spacing w:before="1" w:after="0" w:line="204" w:lineRule="exact"/>
        <w:ind w:right="0" w:left="504"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not be a part of, or a phase of, a larger subdivision;</w:t>
      </w:r>
    </w:p>
    <w:p>
      <w:pPr>
        <w:pageBreakBefore w:val="false"/>
        <w:numPr>
          <w:ilvl w:val="0"/>
          <w:numId w:val="19"/>
        </w:numPr>
        <w:tabs>
          <w:tab w:val="clear" w:pos="432"/>
          <w:tab w:val="left" w:pos="1080"/>
        </w:tabs>
        <w:spacing w:before="3" w:after="0" w:line="204" w:lineRule="exact"/>
        <w:ind w:right="0" w:left="504"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not be a further division of land that has been previously subdivided within the last five years;</w:t>
      </w:r>
    </w:p>
    <w:p>
      <w:pPr>
        <w:pageBreakBefore w:val="false"/>
        <w:numPr>
          <w:ilvl w:val="0"/>
          <w:numId w:val="19"/>
        </w:numPr>
        <w:tabs>
          <w:tab w:val="clear" w:pos="432"/>
          <w:tab w:val="left" w:pos="1080"/>
        </w:tabs>
        <w:spacing w:before="0" w:after="0" w:line="203" w:lineRule="exact"/>
        <w:ind w:right="0" w:left="504"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not include commercial or industrial uses; or</w:t>
      </w:r>
    </w:p>
    <w:p>
      <w:pPr>
        <w:pageBreakBefore w:val="false"/>
        <w:numPr>
          <w:ilvl w:val="0"/>
          <w:numId w:val="19"/>
        </w:numPr>
        <w:tabs>
          <w:tab w:val="clear" w:pos="432"/>
          <w:tab w:val="left" w:pos="1080"/>
        </w:tabs>
        <w:spacing w:before="6"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comply with UCA 17-27a-605. (Ord. 2023-20, 11/7/23; Ord. 2022-32, 11/29/22)</w:t>
      </w:r>
    </w:p>
    <w:p>
      <w:pPr>
        <w:pageBreakBefore w:val="false"/>
        <w:spacing w:before="198" w:after="0" w:line="204"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35-3-2. Approval process.</w:t>
      </w:r>
    </w:p>
    <w:p>
      <w:pPr>
        <w:pageBreakBefore w:val="false"/>
        <w:tabs>
          <w:tab w:val="left" w:leader="none" w:pos="576"/>
        </w:tabs>
        <w:spacing w:before="0" w:after="0" w:line="202" w:lineRule="exact"/>
        <w:ind w:right="144"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The application for a minor subdivision shall be submitted to the Community Development Department. An application is complete and correct when:</w:t>
      </w:r>
    </w:p>
    <w:p>
      <w:pPr>
        <w:pageBreakBefore w:val="false"/>
        <w:numPr>
          <w:ilvl w:val="0"/>
          <w:numId w:val="20"/>
        </w:numPr>
        <w:tabs>
          <w:tab w:val="clear" w:pos="432"/>
          <w:tab w:val="left" w:pos="1080"/>
        </w:tabs>
        <w:spacing w:before="0" w:after="0" w:line="202" w:lineRule="exact"/>
        <w:ind w:right="0" w:left="504" w:firstLine="144"/>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all signatures are on the plat;</w:t>
      </w:r>
    </w:p>
    <w:p>
      <w:pPr>
        <w:pageBreakBefore w:val="false"/>
        <w:numPr>
          <w:ilvl w:val="0"/>
          <w:numId w:val="20"/>
        </w:numPr>
        <w:tabs>
          <w:tab w:val="clear" w:pos="432"/>
          <w:tab w:val="left" w:pos="1080"/>
        </w:tabs>
        <w:spacing w:before="4" w:after="0" w:line="204" w:lineRule="exact"/>
        <w:ind w:right="144"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notice has been sent to all surrounding landowners giving them 14 days to submit written comments to the Community Development Department; and</w:t>
      </w:r>
    </w:p>
    <w:p>
      <w:pPr>
        <w:pageBreakBefore w:val="false"/>
        <w:numPr>
          <w:ilvl w:val="0"/>
          <w:numId w:val="20"/>
        </w:numPr>
        <w:tabs>
          <w:tab w:val="clear" w:pos="432"/>
          <w:tab w:val="left" w:pos="1080"/>
        </w:tabs>
        <w:spacing w:before="0" w:after="0" w:line="204" w:lineRule="exact"/>
        <w:ind w:right="216"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notice has been sent to affected entities giving them ten days to submit comments to the Community Development Department.</w:t>
      </w:r>
    </w:p>
    <w:p>
      <w:pPr>
        <w:pageBreakBefore w:val="false"/>
        <w:tabs>
          <w:tab w:val="left" w:leader="none" w:pos="576"/>
        </w:tabs>
        <w:spacing w:before="0" w:after="0" w:line="202"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A failure to timely respond under Subsections (1)(b) or (1)(c) may be deemed an approval.</w:t>
      </w:r>
    </w:p>
    <w:p>
      <w:pPr>
        <w:pageBreakBefore w:val="false"/>
        <w:tabs>
          <w:tab w:val="left" w:leader="none" w:pos="576"/>
        </w:tabs>
        <w:spacing w:before="2" w:after="0" w:line="204"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(3)	</w:t>
      </w:r>
      <w:r>
        <w:rPr>
          <w:rFonts w:ascii="Ebrima" w:hAnsi="Ebrima" w:eastAsia="Ebrima"/>
          <w:strike w:val="false"/>
          <w:color w:val="000000"/>
          <w:spacing w:val="0"/>
          <w:w w:val="100"/>
          <w:sz w:val="15"/>
          <w:vertAlign w:val="baseline"/>
          <w:lang w:val="en-US"/>
        </w:rPr>
        <w:t xml:space="preserve">A minor subdivision application shall include:</w:t>
      </w:r>
    </w:p>
    <w:p>
      <w:pPr>
        <w:pageBreakBefore w:val="false"/>
        <w:numPr>
          <w:ilvl w:val="0"/>
          <w:numId w:val="21"/>
        </w:numPr>
        <w:tabs>
          <w:tab w:val="clear" w:pos="432"/>
          <w:tab w:val="left" w:pos="1080"/>
        </w:tabs>
        <w:spacing w:before="0" w:after="0" w:line="202" w:lineRule="exact"/>
        <w:ind w:right="0" w:left="504" w:firstLine="144"/>
        <w:jc w:val="left"/>
        <w:textAlignment w:val="baseline"/>
        <w:rPr>
          <w:rFonts w:ascii="Ebrima" w:hAnsi="Ebrima" w:eastAsia="Ebrima"/>
          <w:strike w:val="false"/>
          <w:color w:val="000000"/>
          <w:spacing w:val="-3"/>
          <w:w w:val="100"/>
          <w:sz w:val="15"/>
          <w:vertAlign w:val="baseline"/>
          <w:lang w:val="en-US"/>
        </w:rPr>
      </w:pPr>
      <w:r>
        <w:rPr>
          <w:rFonts w:ascii="Ebrima" w:hAnsi="Ebrima" w:eastAsia="Ebrima"/>
          <w:strike w:val="false"/>
          <w:color w:val="000000"/>
          <w:spacing w:val="-3"/>
          <w:w w:val="100"/>
          <w:sz w:val="15"/>
          <w:vertAlign w:val="baseline"/>
          <w:lang w:val="en-US"/>
        </w:rPr>
        <w:t xml:space="preserve">the application;</w:t>
      </w:r>
    </w:p>
    <w:p>
      <w:pPr>
        <w:pageBreakBefore w:val="false"/>
        <w:numPr>
          <w:ilvl w:val="0"/>
          <w:numId w:val="21"/>
        </w:numPr>
        <w:tabs>
          <w:tab w:val="clear" w:pos="432"/>
          <w:tab w:val="left" w:pos="1080"/>
        </w:tabs>
        <w:spacing w:before="0" w:after="0" w:line="202"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PDF copy, legibly reproducible for a 24”x36” print, of the plat for distribution to affected entities;</w:t>
      </w:r>
    </w:p>
    <w:p>
      <w:pPr>
        <w:pageBreakBefore w:val="false"/>
        <w:numPr>
          <w:ilvl w:val="0"/>
          <w:numId w:val="21"/>
        </w:numPr>
        <w:tabs>
          <w:tab w:val="clear" w:pos="432"/>
          <w:tab w:val="left" w:pos="1080"/>
        </w:tabs>
        <w:spacing w:before="10" w:after="0" w:line="204" w:lineRule="exact"/>
        <w:ind w:right="0" w:left="504"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proof of ownership demonstrated by a title report completed within the previous six months;</w:t>
      </w:r>
    </w:p>
    <w:p>
      <w:pPr>
        <w:pageBreakBefore w:val="false"/>
        <w:numPr>
          <w:ilvl w:val="0"/>
          <w:numId w:val="21"/>
        </w:numPr>
        <w:tabs>
          <w:tab w:val="clear" w:pos="432"/>
          <w:tab w:val="left" w:pos="1080"/>
        </w:tabs>
        <w:spacing w:before="0" w:after="0" w:line="202" w:lineRule="exact"/>
        <w:ind w:right="0" w:left="504"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utility service approval;</w:t>
      </w:r>
    </w:p>
    <w:p>
      <w:pPr>
        <w:pageBreakBefore w:val="false"/>
        <w:numPr>
          <w:ilvl w:val="0"/>
          <w:numId w:val="21"/>
        </w:numPr>
        <w:tabs>
          <w:tab w:val="clear" w:pos="432"/>
          <w:tab w:val="left" w:pos="1080"/>
        </w:tabs>
        <w:spacing w:before="2" w:after="0" w:line="204" w:lineRule="exact"/>
        <w:ind w:right="0" w:left="504"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evidence of water rights for all lots;</w:t>
      </w:r>
    </w:p>
    <w:p>
      <w:pPr>
        <w:pageBreakBefore w:val="false"/>
        <w:numPr>
          <w:ilvl w:val="0"/>
          <w:numId w:val="21"/>
        </w:numPr>
        <w:tabs>
          <w:tab w:val="clear" w:pos="432"/>
          <w:tab w:val="left" w:pos="1080"/>
        </w:tabs>
        <w:spacing w:before="0" w:after="0" w:line="202"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completed County Health Department subdivision feasibility study;</w:t>
      </w:r>
    </w:p>
    <w:p>
      <w:pPr>
        <w:pageBreakBefore w:val="false"/>
        <w:numPr>
          <w:ilvl w:val="0"/>
          <w:numId w:val="21"/>
        </w:numPr>
        <w:tabs>
          <w:tab w:val="clear" w:pos="432"/>
          <w:tab w:val="left" w:pos="1080"/>
        </w:tabs>
        <w:spacing w:before="2" w:after="0" w:line="204" w:lineRule="exact"/>
        <w:ind w:right="0" w:left="504"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approval of the subdivision name from the County Recorder’s office;</w:t>
      </w:r>
    </w:p>
    <w:p>
      <w:pPr>
        <w:pageBreakBefore w:val="false"/>
        <w:numPr>
          <w:ilvl w:val="0"/>
          <w:numId w:val="21"/>
        </w:numPr>
        <w:tabs>
          <w:tab w:val="clear" w:pos="432"/>
          <w:tab w:val="left" w:pos="1080"/>
        </w:tabs>
        <w:spacing w:before="5"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if the applicant is not the owner of record, a notarized statement from the owner stating that the owner has authorized the applicant to make the application;</w:t>
      </w:r>
    </w:p>
    <w:p>
      <w:pPr>
        <w:pageBreakBefore w:val="false"/>
        <w:numPr>
          <w:ilvl w:val="0"/>
          <w:numId w:val="21"/>
        </w:numPr>
        <w:tabs>
          <w:tab w:val="clear" w:pos="432"/>
          <w:tab w:val="left" w:pos="1080"/>
        </w:tabs>
        <w:spacing w:before="0" w:after="0" w:line="204" w:lineRule="exact"/>
        <w:ind w:right="72"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letter from the applicable fire authority acknowledging that fire protection can and will be provided to the subdivision;</w:t>
      </w:r>
    </w:p>
    <w:p>
      <w:pPr>
        <w:pageBreakBefore w:val="false"/>
        <w:tabs>
          <w:tab w:val="right" w:leader="none" w:pos="7056"/>
        </w:tabs>
        <w:spacing w:before="267"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35-7</w:t>
      </w:r>
    </w:p>
    <w:p>
      <w:pPr>
        <w:sectPr>
          <w:type w:val="nextPage"/>
          <w:pgSz w:w="12240" w:h="15840" w:orient="portrait"/>
          <w:pgMar w:bottom="1544" w:top="1940" w:right="4046" w:left="994"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9" coordsize="21600,21600" o:spt="202" path="m,l,21600r21600,l21600,xe">
            <v:stroke joinstyle="miter"/>
            <v:path gradientshapeok="t" o:connecttype="rect"/>
          </v:shapetype>
          <v:shape id="_x0000_s8" type="#_x0000_t9" fillcolor="#F1F1F1" stroked="f" style="position:absolute;width:193.9pt;height:596.6pt;z-index:-992;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22"/>
        </w:numPr>
        <w:tabs>
          <w:tab w:val="clear" w:pos="432"/>
          <w:tab w:val="left" w:pos="1080"/>
        </w:tabs>
        <w:spacing w:before="406" w:after="0" w:line="205" w:lineRule="exact"/>
        <w:ind w:right="72"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any unpaid fees owed to Tooele County for the development of land, code enforcement, or building permits; and</w:t>
      </w:r>
    </w:p>
    <w:p>
      <w:pPr>
        <w:pageBreakBefore w:val="false"/>
        <w:numPr>
          <w:ilvl w:val="0"/>
          <w:numId w:val="22"/>
        </w:numPr>
        <w:tabs>
          <w:tab w:val="clear" w:pos="432"/>
          <w:tab w:val="left" w:pos="1080"/>
        </w:tabs>
        <w:spacing w:before="0" w:after="0" w:line="197" w:lineRule="exact"/>
        <w:ind w:right="0" w:left="504" w:firstLine="144"/>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required signature block(s).</w:t>
      </w:r>
    </w:p>
    <w:p>
      <w:pPr>
        <w:pageBreakBefore w:val="false"/>
        <w:tabs>
          <w:tab w:val="left" w:leader="none" w:pos="576"/>
        </w:tabs>
        <w:spacing w:before="0" w:after="0" w:line="205" w:lineRule="exact"/>
        <w:ind w:right="72"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	</w:t>
      </w:r>
      <w:r>
        <w:rPr>
          <w:rFonts w:ascii="Ebrima" w:hAnsi="Ebrima" w:eastAsia="Ebrima"/>
          <w:strike w:val="false"/>
          <w:color w:val="000000"/>
          <w:spacing w:val="0"/>
          <w:w w:val="100"/>
          <w:sz w:val="15"/>
          <w:vertAlign w:val="baseline"/>
          <w:lang w:val="en-US"/>
        </w:rPr>
        <w:t xml:space="preserve">An approved plat shall become void if not recorded within 14 months of approval. (Ord. 2023-20, 11/7/23; Ord. 2022-32, 11/29/22)</w:t>
      </w:r>
    </w:p>
    <w:p>
      <w:pPr>
        <w:pageBreakBefore w:val="false"/>
        <w:spacing w:before="405" w:after="0" w:line="192" w:lineRule="exact"/>
        <w:ind w:right="0" w:left="72" w:firstLine="0"/>
        <w:jc w:val="center"/>
        <w:textAlignment w:val="baseline"/>
        <w:rPr>
          <w:rFonts w:ascii="Ebrima" w:hAnsi="Ebrima" w:eastAsia="Ebrima"/>
          <w:b w:val="true"/>
          <w:strike w:val="false"/>
          <w:color w:val="000000"/>
          <w:spacing w:val="-5"/>
          <w:w w:val="100"/>
          <w:sz w:val="16"/>
          <w:vertAlign w:val="baseline"/>
          <w:lang w:val="en-US"/>
        </w:rPr>
      </w:pPr>
      <w:r>
        <w:rPr>
          <w:rFonts w:ascii="Ebrima" w:hAnsi="Ebrima" w:eastAsia="Ebrima"/>
          <w:b w:val="true"/>
          <w:strike w:val="false"/>
          <w:color w:val="000000"/>
          <w:spacing w:val="-5"/>
          <w:w w:val="100"/>
          <w:sz w:val="16"/>
          <w:vertAlign w:val="baseline"/>
          <w:lang w:val="en-US"/>
        </w:rPr>
        <w:t xml:space="preserve">PART 35-4</w:t>
      </w:r>
    </w:p>
    <w:p>
      <w:pPr>
        <w:pageBreakBefore w:val="false"/>
        <w:spacing w:before="0" w:after="0" w:line="192" w:lineRule="exact"/>
        <w:ind w:right="0" w:left="72" w:firstLine="0"/>
        <w:jc w:val="center"/>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MAJOR SUBDIVISIONS</w:t>
      </w:r>
    </w:p>
    <w:p>
      <w:pPr>
        <w:pageBreakBefore w:val="false"/>
        <w:spacing w:before="192" w:after="0" w:line="192" w:lineRule="exact"/>
        <w:ind w:right="0" w:left="72" w:firstLine="0"/>
        <w:jc w:val="left"/>
        <w:textAlignment w:val="baseline"/>
        <w:rPr>
          <w:rFonts w:ascii="Ebrima" w:hAnsi="Ebrima" w:eastAsia="Ebrima"/>
          <w:b w:val="true"/>
          <w:strike w:val="false"/>
          <w:color w:val="000000"/>
          <w:spacing w:val="-6"/>
          <w:w w:val="100"/>
          <w:sz w:val="16"/>
          <w:vertAlign w:val="baseline"/>
          <w:lang w:val="en-US"/>
        </w:rPr>
      </w:pPr>
      <w:r>
        <w:rPr>
          <w:rFonts w:ascii="Ebrima" w:hAnsi="Ebrima" w:eastAsia="Ebrima"/>
          <w:b w:val="true"/>
          <w:strike w:val="false"/>
          <w:color w:val="000000"/>
          <w:spacing w:val="-6"/>
          <w:w w:val="100"/>
          <w:sz w:val="16"/>
          <w:vertAlign w:val="baseline"/>
          <w:lang w:val="en-US"/>
        </w:rPr>
        <w:t xml:space="preserve">Section</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35-4-1. Standards.</w:t>
      </w:r>
    </w:p>
    <w:p>
      <w:pPr>
        <w:pageBreakBefore w:val="false"/>
        <w:spacing w:before="5" w:after="0" w:line="192" w:lineRule="exact"/>
        <w:ind w:right="0" w:left="72"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35-4-2. Approval process.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35-4-3. Phased development.</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35-4-4. Master plan requirements.</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2"/>
          <w:w w:val="100"/>
          <w:sz w:val="16"/>
          <w:vertAlign w:val="baseline"/>
          <w:lang w:val="en-US"/>
        </w:rPr>
      </w:pPr>
      <w:r>
        <w:rPr>
          <w:rFonts w:ascii="Ebrima" w:hAnsi="Ebrima" w:eastAsia="Ebrima"/>
          <w:b w:val="true"/>
          <w:strike w:val="false"/>
          <w:color w:val="000000"/>
          <w:spacing w:val="-2"/>
          <w:w w:val="100"/>
          <w:sz w:val="16"/>
          <w:vertAlign w:val="baseline"/>
          <w:lang w:val="en-US"/>
        </w:rPr>
        <w:t xml:space="preserve">35-4-5. Master plan application (Preliminary plan).</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35-4-6. Final plat application.</w:t>
      </w:r>
    </w:p>
    <w:p>
      <w:pPr>
        <w:pageBreakBefore w:val="false"/>
        <w:spacing w:before="0" w:after="0" w:line="192" w:lineRule="exact"/>
        <w:ind w:right="0" w:left="72" w:firstLine="0"/>
        <w:jc w:val="left"/>
        <w:textAlignment w:val="baseline"/>
        <w:rPr>
          <w:rFonts w:ascii="Ebrima" w:hAnsi="Ebrima" w:eastAsia="Ebrima"/>
          <w:b w:val="true"/>
          <w:strike w:val="false"/>
          <w:color w:val="000000"/>
          <w:spacing w:val="-1"/>
          <w:w w:val="100"/>
          <w:sz w:val="16"/>
          <w:vertAlign w:val="baseline"/>
          <w:lang w:val="en-US"/>
        </w:rPr>
      </w:pPr>
      <w:r>
        <w:rPr>
          <w:rFonts w:ascii="Ebrima" w:hAnsi="Ebrima" w:eastAsia="Ebrima"/>
          <w:b w:val="true"/>
          <w:strike w:val="false"/>
          <w:color w:val="000000"/>
          <w:spacing w:val="-1"/>
          <w:w w:val="100"/>
          <w:sz w:val="16"/>
          <w:vertAlign w:val="baseline"/>
          <w:lang w:val="en-US"/>
        </w:rPr>
        <w:t xml:space="preserve">35-4-7. Utility and agency response.</w:t>
      </w:r>
    </w:p>
    <w:p>
      <w:pPr>
        <w:pageBreakBefore w:val="false"/>
        <w:spacing w:before="192" w:after="0" w:line="19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35-4-1. Standards.</w:t>
      </w:r>
    </w:p>
    <w:p>
      <w:pPr>
        <w:pageBreakBefore w:val="false"/>
        <w:numPr>
          <w:ilvl w:val="0"/>
          <w:numId w:val="23"/>
        </w:numPr>
        <w:tabs>
          <w:tab w:val="clear" w:pos="432"/>
          <w:tab w:val="left" w:pos="648"/>
        </w:tabs>
        <w:spacing w:before="0" w:after="0" w:line="198" w:lineRule="exact"/>
        <w:ind w:right="0" w:left="216" w:firstLine="0"/>
        <w:jc w:val="left"/>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A major subdivision is any subdivision other than a minor subdivision or a conservation subdivision.</w:t>
      </w:r>
    </w:p>
    <w:p>
      <w:pPr>
        <w:pageBreakBefore w:val="false"/>
        <w:numPr>
          <w:ilvl w:val="0"/>
          <w:numId w:val="23"/>
        </w:numPr>
        <w:tabs>
          <w:tab w:val="clear" w:pos="432"/>
          <w:tab w:val="left" w:pos="648"/>
        </w:tabs>
        <w:spacing w:before="1" w:after="0" w:line="205"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Subdivisions of more than 25 lots shall be phased for development.</w:t>
      </w:r>
    </w:p>
    <w:p>
      <w:pPr>
        <w:pageBreakBefore w:val="false"/>
        <w:numPr>
          <w:ilvl w:val="0"/>
          <w:numId w:val="23"/>
        </w:numPr>
        <w:tabs>
          <w:tab w:val="clear" w:pos="432"/>
          <w:tab w:val="left" w:pos="648"/>
        </w:tabs>
        <w:spacing w:before="3" w:after="0" w:line="205" w:lineRule="exact"/>
        <w:ind w:right="72" w:left="21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Phased developments shall include a master plan of the entire development, including street and active transportation connectivity.</w:t>
      </w:r>
    </w:p>
    <w:p>
      <w:pPr>
        <w:pageBreakBefore w:val="false"/>
        <w:numPr>
          <w:ilvl w:val="0"/>
          <w:numId w:val="23"/>
        </w:numPr>
        <w:tabs>
          <w:tab w:val="clear" w:pos="432"/>
          <w:tab w:val="left" w:pos="648"/>
        </w:tabs>
        <w:spacing w:before="0" w:after="0" w:line="202" w:lineRule="exact"/>
        <w:ind w:right="0" w:left="21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Infrastructure and public facilities shall be dedicated. (Ord. 2022-32, 11/29/22)</w:t>
      </w:r>
    </w:p>
    <w:p>
      <w:pPr>
        <w:pageBreakBefore w:val="false"/>
        <w:spacing w:before="210" w:after="0" w:line="192"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35-4-2. Approval process.</w:t>
      </w:r>
    </w:p>
    <w:p>
      <w:pPr>
        <w:pageBreakBefore w:val="false"/>
        <w:tabs>
          <w:tab w:val="left" w:leader="none" w:pos="576"/>
        </w:tabs>
        <w:spacing w:before="0" w:after="0" w:line="198"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(1)	</w:t>
      </w:r>
      <w:r>
        <w:rPr>
          <w:rFonts w:ascii="Ebrima" w:hAnsi="Ebrima" w:eastAsia="Ebrima"/>
          <w:strike w:val="false"/>
          <w:color w:val="000000"/>
          <w:spacing w:val="0"/>
          <w:w w:val="100"/>
          <w:sz w:val="15"/>
          <w:vertAlign w:val="baseline"/>
          <w:lang w:val="en-US"/>
        </w:rPr>
        <w:t xml:space="preserve">The master plan shall be approved by the administrative land use authority.</w:t>
      </w:r>
    </w:p>
    <w:p>
      <w:pPr>
        <w:pageBreakBefore w:val="false"/>
        <w:tabs>
          <w:tab w:val="left" w:leader="none" w:pos="576"/>
        </w:tabs>
        <w:spacing w:before="1" w:after="0" w:line="205"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The final plat for each phase shall be approved by the Community Development Department.</w:t>
      </w:r>
    </w:p>
    <w:p>
      <w:pPr>
        <w:pageBreakBefore w:val="false"/>
        <w:tabs>
          <w:tab w:val="left" w:leader="none" w:pos="576"/>
        </w:tabs>
        <w:spacing w:before="0" w:after="0" w:line="202" w:lineRule="exact"/>
        <w:ind w:right="216"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(3)	</w:t>
      </w:r>
      <w:r>
        <w:rPr>
          <w:rFonts w:ascii="Ebrima" w:hAnsi="Ebrima" w:eastAsia="Ebrima"/>
          <w:strike w:val="false"/>
          <w:color w:val="000000"/>
          <w:spacing w:val="0"/>
          <w:w w:val="100"/>
          <w:sz w:val="15"/>
          <w:vertAlign w:val="baseline"/>
          <w:lang w:val="en-US"/>
        </w:rPr>
        <w:t xml:space="preserve">Signed plats shall be recorded within 14 months, or they shall be void. (Ord. 2023-20, 11/7/23; Ord. 2022-32, 11/29/22)</w:t>
      </w:r>
    </w:p>
    <w:p>
      <w:pPr>
        <w:pageBreakBefore w:val="false"/>
        <w:spacing w:before="213" w:after="0" w:line="192"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35-4-3. Phased development.</w:t>
      </w:r>
    </w:p>
    <w:p>
      <w:pPr>
        <w:pageBreakBefore w:val="false"/>
        <w:numPr>
          <w:ilvl w:val="0"/>
          <w:numId w:val="24"/>
        </w:numPr>
        <w:tabs>
          <w:tab w:val="clear" w:pos="432"/>
          <w:tab w:val="left" w:pos="648"/>
        </w:tabs>
        <w:spacing w:before="0" w:after="0" w:line="202" w:lineRule="exact"/>
        <w:ind w:right="72" w:left="21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Phased developments shall be designed, platted, and recorded in phased order so that the phases and required improvements are continuous.</w:t>
      </w:r>
    </w:p>
    <w:p>
      <w:pPr>
        <w:pageBreakBefore w:val="false"/>
        <w:numPr>
          <w:ilvl w:val="0"/>
          <w:numId w:val="24"/>
        </w:numPr>
        <w:tabs>
          <w:tab w:val="clear" w:pos="432"/>
          <w:tab w:val="left" w:pos="648"/>
        </w:tabs>
        <w:spacing w:before="3" w:after="0" w:line="205" w:lineRule="exact"/>
        <w:ind w:right="72" w:left="216" w:firstLine="0"/>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When it is prudent to engineer improvements in a future phase, such improvements may be installed if shown on an approved plat of a prior phase. (Ord. 2022-32, 11/29/22)</w:t>
      </w:r>
    </w:p>
    <w:p>
      <w:pPr>
        <w:pageBreakBefore w:val="false"/>
        <w:spacing w:before="191" w:after="0" w:line="202" w:lineRule="exact"/>
        <w:ind w:right="0" w:left="216" w:hanging="144"/>
        <w:jc w:val="left"/>
        <w:textAlignment w:val="baseline"/>
        <w:rPr>
          <w:rFonts w:ascii="Ebrima" w:hAnsi="Ebrima" w:eastAsia="Ebrima"/>
          <w:b w:val="true"/>
          <w:strike w:val="false"/>
          <w:color w:val="000000"/>
          <w:spacing w:val="0"/>
          <w:w w:val="100"/>
          <w:sz w:val="16"/>
          <w:vertAlign w:val="baseline"/>
          <w:lang w:val="en-US"/>
        </w:rPr>
      </w:pPr>
      <w:r>
        <w:rPr>
          <w:rFonts w:ascii="Ebrima" w:hAnsi="Ebrima" w:eastAsia="Ebrima"/>
          <w:b w:val="true"/>
          <w:strike w:val="false"/>
          <w:color w:val="000000"/>
          <w:spacing w:val="0"/>
          <w:w w:val="100"/>
          <w:sz w:val="16"/>
          <w:vertAlign w:val="baseline"/>
          <w:lang w:val="en-US"/>
        </w:rPr>
        <w:t xml:space="preserve">35-4-4. Master plan requirements.
</w:t>
        <w:br/>
      </w:r>
      <w:r>
        <w:rPr>
          <w:rFonts w:ascii="Ebrima" w:hAnsi="Ebrima" w:eastAsia="Ebrima"/>
          <w:strike w:val="false"/>
          <w:color w:val="000000"/>
          <w:spacing w:val="0"/>
          <w:w w:val="100"/>
          <w:sz w:val="15"/>
          <w:vertAlign w:val="baseline"/>
          <w:lang w:val="en-US"/>
        </w:rPr>
        <w:t xml:space="preserve">The master plan shall show:</w:t>
      </w:r>
    </w:p>
    <w:p>
      <w:pPr>
        <w:pageBreakBefore w:val="false"/>
        <w:numPr>
          <w:ilvl w:val="0"/>
          <w:numId w:val="25"/>
        </w:numPr>
        <w:tabs>
          <w:tab w:val="clear" w:pos="432"/>
          <w:tab w:val="left" w:pos="648"/>
        </w:tabs>
        <w:spacing w:before="2" w:after="0" w:line="205"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general location of the subdivision and the property boundaries;</w:t>
      </w:r>
    </w:p>
    <w:p>
      <w:pPr>
        <w:pageBreakBefore w:val="false"/>
        <w:numPr>
          <w:ilvl w:val="0"/>
          <w:numId w:val="25"/>
        </w:numPr>
        <w:tabs>
          <w:tab w:val="clear" w:pos="432"/>
          <w:tab w:val="left" w:pos="648"/>
        </w:tabs>
        <w:spacing w:before="0" w:after="0" w:line="201" w:lineRule="exact"/>
        <w:ind w:right="0" w:left="216" w:firstLine="0"/>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lot and road layout;</w:t>
      </w:r>
    </w:p>
    <w:p>
      <w:pPr>
        <w:pageBreakBefore w:val="false"/>
        <w:numPr>
          <w:ilvl w:val="0"/>
          <w:numId w:val="25"/>
        </w:numPr>
        <w:tabs>
          <w:tab w:val="clear" w:pos="432"/>
          <w:tab w:val="left" w:pos="648"/>
        </w:tabs>
        <w:spacing w:before="2" w:after="0" w:line="205"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parcels located within the subdivision;</w:t>
      </w:r>
    </w:p>
    <w:p>
      <w:pPr>
        <w:pageBreakBefore w:val="false"/>
        <w:numPr>
          <w:ilvl w:val="0"/>
          <w:numId w:val="25"/>
        </w:numPr>
        <w:tabs>
          <w:tab w:val="clear" w:pos="432"/>
          <w:tab w:val="left" w:pos="648"/>
        </w:tabs>
        <w:spacing w:before="1" w:after="0" w:line="205"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acreage of the entire tract and the acreage of the portion to be developed;</w:t>
      </w:r>
    </w:p>
    <w:p>
      <w:pPr>
        <w:pageBreakBefore w:val="false"/>
        <w:numPr>
          <w:ilvl w:val="0"/>
          <w:numId w:val="25"/>
        </w:numPr>
        <w:tabs>
          <w:tab w:val="clear" w:pos="432"/>
          <w:tab w:val="left" w:pos="648"/>
        </w:tabs>
        <w:spacing w:before="0" w:after="0" w:line="202"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phasing plan for the development, including lots per phase;</w:t>
      </w:r>
    </w:p>
    <w:p>
      <w:pPr>
        <w:pageBreakBefore w:val="false"/>
        <w:numPr>
          <w:ilvl w:val="0"/>
          <w:numId w:val="25"/>
        </w:numPr>
        <w:tabs>
          <w:tab w:val="clear" w:pos="432"/>
          <w:tab w:val="left" w:pos="648"/>
        </w:tabs>
        <w:spacing w:before="1" w:after="0" w:line="205"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sites of any use other than single-family dwellings;</w:t>
      </w:r>
    </w:p>
    <w:p>
      <w:pPr>
        <w:pageBreakBefore w:val="false"/>
        <w:tabs>
          <w:tab w:val="right" w:leader="none" w:pos="7128"/>
        </w:tabs>
        <w:spacing w:before="368"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35-8</w:t>
      </w:r>
    </w:p>
    <w:p>
      <w:pPr>
        <w:sectPr>
          <w:type w:val="nextPage"/>
          <w:pgSz w:w="12240" w:h="15840" w:orient="portrait"/>
          <w:pgMar w:bottom="1544" w:top="1940" w:right="4051" w:left="989" w:header="720" w:footer="720"/>
          <w:titlePg w:val="false"/>
          <w:textDirection w:val="lrTb"/>
        </w:sectPr>
      </w:pPr>
    </w:p>
    <w:p>
      <w:pPr>
        <w:pageBreakBefore w:val="false"/>
        <w:spacing w:before="779" w:after="0" w:line="223" w:lineRule="exact"/>
        <w:ind w:right="0" w:left="72" w:firstLine="0"/>
        <w:jc w:val="center"/>
        <w:textAlignment w:val="baseline"/>
        <w:rPr>
          <w:rFonts w:ascii="Ebrima" w:hAnsi="Ebrima" w:eastAsia="Ebrima"/>
          <w:strike w:val="false"/>
          <w:color w:val="000000"/>
          <w:spacing w:val="-4"/>
          <w:w w:val="100"/>
          <w:sz w:val="17"/>
          <w:vertAlign w:val="baseline"/>
          <w:lang w:val="en-US"/>
        </w:rPr>
      </w:pPr>
      <w:r>
        <w:pict>
          <v:shapetype id="_x0000_t10" coordsize="21600,21600" o:spt="202" path="m,l,21600r21600,l21600,xe">
            <v:stroke joinstyle="miter"/>
            <v:path gradientshapeok="t" o:connecttype="rect"/>
          </v:shapetype>
          <v:shape id="_x0000_s9" type="#_x0000_t10" fillcolor="#F1F1F1" stroked="f" style="position:absolute;width:193.9pt;height:596.6pt;z-index:-991;margin-left:418.1pt;margin-top:97.7pt;mso-wrap-distance-left:0pt;mso-wrap-distance-right:0pt;mso-position-horizontal-relative:page;mso-position-vertical-relative:page">
            <w10:wrap type="square" side="both"/>
            <v:textbox inset="0pt, 0pt, 0pt, 0pt">
              <w:txbxContent>
                <w:p>
                  <w:pPr>
                    <w:pBdr/>
                  </w:pPr>
                </w:p>
              </w:txbxContent>
            </v:textbox>
          </v:shape>
        </w:pict>
      </w:r>
      <w:r>
        <w:rPr>
          <w:rFonts w:ascii="Ebrima" w:hAnsi="Ebrima" w:eastAsia="Ebrima"/>
          <w:strike w:val="false"/>
          <w:color w:val="000000"/>
          <w:spacing w:val="-4"/>
          <w:w w:val="100"/>
          <w:sz w:val="17"/>
          <w:vertAlign w:val="baseline"/>
          <w:lang w:val="en-US"/>
        </w:rPr>
        <w:t xml:space="preserve">SUBDIVISIONS</w:t>
      </w:r>
    </w:p>
    <w:p>
      <w:pPr>
        <w:pageBreakBefore w:val="false"/>
        <w:numPr>
          <w:ilvl w:val="0"/>
          <w:numId w:val="26"/>
        </w:numPr>
        <w:tabs>
          <w:tab w:val="clear" w:pos="432"/>
          <w:tab w:val="left" w:pos="648"/>
        </w:tabs>
        <w:spacing w:before="401" w:after="0" w:line="204" w:lineRule="exact"/>
        <w:ind w:right="0" w:left="72"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total development area and the number of proposed dwelling units;</w:t>
      </w:r>
    </w:p>
    <w:p>
      <w:pPr>
        <w:pageBreakBefore w:val="false"/>
        <w:numPr>
          <w:ilvl w:val="0"/>
          <w:numId w:val="26"/>
        </w:numPr>
        <w:tabs>
          <w:tab w:val="clear" w:pos="432"/>
          <w:tab w:val="left" w:pos="648"/>
        </w:tabs>
        <w:spacing w:before="0" w:after="0" w:line="202" w:lineRule="exact"/>
        <w:ind w:right="0" w:left="72" w:firstLine="144"/>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easements and rights-of-way; and</w:t>
      </w:r>
    </w:p>
    <w:p>
      <w:pPr>
        <w:pageBreakBefore w:val="false"/>
        <w:numPr>
          <w:ilvl w:val="0"/>
          <w:numId w:val="26"/>
        </w:numPr>
        <w:tabs>
          <w:tab w:val="clear" w:pos="432"/>
          <w:tab w:val="left" w:pos="648"/>
        </w:tabs>
        <w:spacing w:before="7" w:after="0" w:line="204" w:lineRule="exact"/>
        <w:ind w:right="144"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parcels of land to be dedicated or set aside for schools, roads, parks, trails, or other public purposes. (Ord. 2022-32, 11/29/22)</w:t>
      </w:r>
    </w:p>
    <w:p>
      <w:pPr>
        <w:pageBreakBefore w:val="false"/>
        <w:spacing w:before="200" w:after="0" w:line="203" w:lineRule="exact"/>
        <w:ind w:right="0" w:left="72" w:firstLine="0"/>
        <w:jc w:val="left"/>
        <w:textAlignment w:val="baseline"/>
        <w:rPr>
          <w:rFonts w:ascii="Ebrima" w:hAnsi="Ebrima" w:eastAsia="Ebrima"/>
          <w:b w:val="true"/>
          <w:strike w:val="false"/>
          <w:color w:val="000000"/>
          <w:spacing w:val="-4"/>
          <w:w w:val="100"/>
          <w:sz w:val="16"/>
          <w:vertAlign w:val="baseline"/>
          <w:lang w:val="en-US"/>
        </w:rPr>
      </w:pPr>
      <w:r>
        <w:rPr>
          <w:rFonts w:ascii="Ebrima" w:hAnsi="Ebrima" w:eastAsia="Ebrima"/>
          <w:b w:val="true"/>
          <w:strike w:val="false"/>
          <w:color w:val="000000"/>
          <w:spacing w:val="-4"/>
          <w:w w:val="100"/>
          <w:sz w:val="16"/>
          <w:vertAlign w:val="baseline"/>
          <w:lang w:val="en-US"/>
        </w:rPr>
        <w:t xml:space="preserve">35-4-5. Master plan application (Preliminary plan).</w:t>
      </w:r>
    </w:p>
    <w:p>
      <w:pPr>
        <w:pageBreakBefore w:val="false"/>
        <w:tabs>
          <w:tab w:val="left" w:leader="none" w:pos="576"/>
        </w:tabs>
        <w:spacing w:before="0" w:after="0" w:line="203" w:lineRule="exact"/>
        <w:ind w:right="144" w:left="72" w:firstLine="144"/>
        <w:jc w:val="both"/>
        <w:textAlignment w:val="baseline"/>
        <w:rPr>
          <w:rFonts w:ascii="Ebrima" w:hAnsi="Ebrima" w:eastAsia="Ebrima"/>
          <w:strike w:val="false"/>
          <w:color w:val="000000"/>
          <w:spacing w:val="-2"/>
          <w:w w:val="100"/>
          <w:sz w:val="15"/>
          <w:vertAlign w:val="baseline"/>
          <w:lang w:val="en-US"/>
        </w:rPr>
      </w:pPr>
      <w:r>
        <w:rPr>
          <w:rFonts w:ascii="Ebrima" w:hAnsi="Ebrima" w:eastAsia="Ebrima"/>
          <w:strike w:val="false"/>
          <w:color w:val="000000"/>
          <w:spacing w:val="-2"/>
          <w:w w:val="100"/>
          <w:sz w:val="15"/>
          <w:vertAlign w:val="baseline"/>
          <w:lang w:val="en-US"/>
        </w:rPr>
        <w:t xml:space="preserve">(1)	</w:t>
      </w:r>
      <w:r>
        <w:rPr>
          <w:rFonts w:ascii="Ebrima" w:hAnsi="Ebrima" w:eastAsia="Ebrima"/>
          <w:strike w:val="false"/>
          <w:color w:val="000000"/>
          <w:spacing w:val="-2"/>
          <w:w w:val="100"/>
          <w:sz w:val="15"/>
          <w:vertAlign w:val="baseline"/>
          <w:lang w:val="en-US"/>
        </w:rPr>
        <w:t xml:space="preserve">Prior to the applicant submitting a master plan application, the applicant may request a pre-design conference of the concept plan with the Community Development Department, all affected entities, the County Health Department, the County Recorder, and any other private or public body that has jurisdiction or an interest in providing public or utility services to the subdivision to receive preliminary comments.</w:t>
      </w:r>
    </w:p>
    <w:p>
      <w:pPr>
        <w:pageBreakBefore w:val="false"/>
        <w:tabs>
          <w:tab w:val="left" w:leader="none" w:pos="576"/>
        </w:tabs>
        <w:spacing w:before="2" w:after="0" w:line="204" w:lineRule="exact"/>
        <w:ind w:right="144"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(2)	</w:t>
      </w:r>
      <w:r>
        <w:rPr>
          <w:rFonts w:ascii="Ebrima" w:hAnsi="Ebrima" w:eastAsia="Ebrima"/>
          <w:strike w:val="false"/>
          <w:color w:val="000000"/>
          <w:spacing w:val="0"/>
          <w:w w:val="100"/>
          <w:sz w:val="15"/>
          <w:vertAlign w:val="baseline"/>
          <w:lang w:val="en-US"/>
        </w:rPr>
        <w:t xml:space="preserve">The application for master plan approval shall be submitted to the Community Development Department. When staff determines that the application is complete, the application shall be placed on a Planning Commission agenda and a public hearing shall be held.</w:t>
      </w:r>
    </w:p>
    <w:p>
      <w:pPr>
        <w:pageBreakBefore w:val="false"/>
        <w:tabs>
          <w:tab w:val="left" w:leader="none" w:pos="576"/>
        </w:tabs>
        <w:spacing w:before="0" w:after="0" w:line="202" w:lineRule="exact"/>
        <w:ind w:right="0" w:left="216" w:firstLine="0"/>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(3)	</w:t>
      </w:r>
      <w:r>
        <w:rPr>
          <w:rFonts w:ascii="Ebrima" w:hAnsi="Ebrima" w:eastAsia="Ebrima"/>
          <w:strike w:val="false"/>
          <w:color w:val="000000"/>
          <w:spacing w:val="0"/>
          <w:w w:val="100"/>
          <w:sz w:val="15"/>
          <w:vertAlign w:val="baseline"/>
          <w:lang w:val="en-US"/>
        </w:rPr>
        <w:t xml:space="preserve">A master plan application shall include:</w:t>
      </w:r>
    </w:p>
    <w:p>
      <w:pPr>
        <w:pageBreakBefore w:val="false"/>
        <w:numPr>
          <w:ilvl w:val="0"/>
          <w:numId w:val="27"/>
        </w:numPr>
        <w:tabs>
          <w:tab w:val="clear" w:pos="360"/>
          <w:tab w:val="left" w:pos="1008"/>
        </w:tabs>
        <w:spacing w:before="0" w:after="0" w:line="201"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application form;</w:t>
      </w:r>
    </w:p>
    <w:p>
      <w:pPr>
        <w:pageBreakBefore w:val="false"/>
        <w:numPr>
          <w:ilvl w:val="0"/>
          <w:numId w:val="27"/>
        </w:numPr>
        <w:tabs>
          <w:tab w:val="clear" w:pos="360"/>
          <w:tab w:val="left" w:pos="1008"/>
        </w:tabs>
        <w:spacing w:before="8" w:after="0" w:line="204"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pdf and AutoCAD files of the master plan for distribution to affected entities;</w:t>
      </w:r>
    </w:p>
    <w:p>
      <w:pPr>
        <w:pageBreakBefore w:val="false"/>
        <w:numPr>
          <w:ilvl w:val="0"/>
          <w:numId w:val="27"/>
        </w:numPr>
        <w:tabs>
          <w:tab w:val="clear" w:pos="360"/>
          <w:tab w:val="left" w:pos="1008"/>
        </w:tabs>
        <w:spacing w:before="0" w:after="0" w:line="201" w:lineRule="exact"/>
        <w:ind w:right="0" w:left="504" w:firstLine="144"/>
        <w:jc w:val="left"/>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proof of ownership demonstrated by a title report completed within the previous six months;</w:t>
      </w:r>
    </w:p>
    <w:p>
      <w:pPr>
        <w:pageBreakBefore w:val="false"/>
        <w:numPr>
          <w:ilvl w:val="0"/>
          <w:numId w:val="27"/>
        </w:numPr>
        <w:tabs>
          <w:tab w:val="clear" w:pos="360"/>
          <w:tab w:val="left" w:pos="1008"/>
        </w:tabs>
        <w:spacing w:before="0" w:after="0" w:line="202"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utility service approval;</w:t>
      </w:r>
    </w:p>
    <w:p>
      <w:pPr>
        <w:pageBreakBefore w:val="false"/>
        <w:numPr>
          <w:ilvl w:val="0"/>
          <w:numId w:val="27"/>
        </w:numPr>
        <w:tabs>
          <w:tab w:val="clear" w:pos="360"/>
          <w:tab w:val="left" w:pos="1008"/>
        </w:tabs>
        <w:spacing w:before="2" w:after="0" w:line="204"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evidence of water rights for all lots;</w:t>
      </w:r>
    </w:p>
    <w:p>
      <w:pPr>
        <w:pageBreakBefore w:val="false"/>
        <w:numPr>
          <w:ilvl w:val="0"/>
          <w:numId w:val="27"/>
        </w:numPr>
        <w:tabs>
          <w:tab w:val="clear" w:pos="360"/>
          <w:tab w:val="left" w:pos="1008"/>
        </w:tabs>
        <w:spacing w:before="3" w:after="0" w:line="204"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completed County Health Department Subdivision Feasibility Study;</w:t>
      </w:r>
    </w:p>
    <w:p>
      <w:pPr>
        <w:pageBreakBefore w:val="false"/>
        <w:numPr>
          <w:ilvl w:val="0"/>
          <w:numId w:val="27"/>
        </w:numPr>
        <w:tabs>
          <w:tab w:val="clear" w:pos="360"/>
          <w:tab w:val="left" w:pos="1008"/>
        </w:tabs>
        <w:spacing w:before="0" w:after="0" w:line="201" w:lineRule="exact"/>
        <w:ind w:right="0" w:left="504" w:firstLine="144"/>
        <w:jc w:val="left"/>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approval of the subdivision name from the County Recorder’s office;</w:t>
      </w:r>
    </w:p>
    <w:p>
      <w:pPr>
        <w:pageBreakBefore w:val="false"/>
        <w:numPr>
          <w:ilvl w:val="0"/>
          <w:numId w:val="27"/>
        </w:numPr>
        <w:tabs>
          <w:tab w:val="clear" w:pos="360"/>
          <w:tab w:val="left" w:pos="1008"/>
        </w:tabs>
        <w:spacing w:before="5" w:after="0" w:line="204" w:lineRule="exact"/>
        <w:ind w:right="144"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if the applicant is not the owner of record, a notarized statement that the owner has authorized the applicant to make the application;</w:t>
      </w:r>
    </w:p>
    <w:p>
      <w:pPr>
        <w:pageBreakBefore w:val="false"/>
        <w:numPr>
          <w:ilvl w:val="0"/>
          <w:numId w:val="27"/>
        </w:numPr>
        <w:tabs>
          <w:tab w:val="clear" w:pos="360"/>
          <w:tab w:val="left" w:pos="1008"/>
        </w:tabs>
        <w:spacing w:before="0" w:after="0" w:line="204" w:lineRule="exact"/>
        <w:ind w:right="144"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letter from the applicable fire authority acknowledging that fire protection can and will be provided to the subdivision;</w:t>
      </w:r>
    </w:p>
    <w:p>
      <w:pPr>
        <w:pageBreakBefore w:val="false"/>
        <w:numPr>
          <w:ilvl w:val="0"/>
          <w:numId w:val="27"/>
        </w:numPr>
        <w:tabs>
          <w:tab w:val="clear" w:pos="360"/>
          <w:tab w:val="left" w:pos="1008"/>
        </w:tabs>
        <w:spacing w:before="5" w:after="0" w:line="204" w:lineRule="exact"/>
        <w:ind w:right="144"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any unpaid fees owed to Tooele County for the development of land, code enforcement, or building permits;</w:t>
      </w:r>
    </w:p>
    <w:p>
      <w:pPr>
        <w:pageBreakBefore w:val="false"/>
        <w:numPr>
          <w:ilvl w:val="0"/>
          <w:numId w:val="27"/>
        </w:numPr>
        <w:tabs>
          <w:tab w:val="clear" w:pos="360"/>
          <w:tab w:val="left" w:pos="1008"/>
        </w:tabs>
        <w:spacing w:before="0" w:after="0" w:line="197"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pedestrian circulation plan; and</w:t>
      </w:r>
    </w:p>
    <w:p>
      <w:pPr>
        <w:pageBreakBefore w:val="false"/>
        <w:numPr>
          <w:ilvl w:val="0"/>
          <w:numId w:val="27"/>
        </w:numPr>
        <w:tabs>
          <w:tab w:val="clear" w:pos="360"/>
          <w:tab w:val="left" w:pos="1008"/>
        </w:tabs>
        <w:spacing w:before="7" w:after="0" w:line="204"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a road connectivity plan.</w:t>
      </w:r>
    </w:p>
    <w:p>
      <w:pPr>
        <w:pageBreakBefore w:val="false"/>
        <w:tabs>
          <w:tab w:val="left" w:leader="none" w:pos="576"/>
        </w:tabs>
        <w:spacing w:before="2" w:after="0" w:line="204" w:lineRule="exact"/>
        <w:ind w:right="144" w:left="72"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(4)	</w:t>
      </w:r>
      <w:r>
        <w:rPr>
          <w:rFonts w:ascii="Ebrima" w:hAnsi="Ebrima" w:eastAsia="Ebrima"/>
          <w:strike w:val="false"/>
          <w:color w:val="000000"/>
          <w:spacing w:val="0"/>
          <w:w w:val="100"/>
          <w:sz w:val="15"/>
          <w:vertAlign w:val="baseline"/>
          <w:lang w:val="en-US"/>
        </w:rPr>
        <w:t xml:space="preserve">The final plat for the first development phase shall be submitted within six months of master plan approval or the master plan approval will be void. The applicant or authorized representative may obtain no more than two six-month extensions by petitioning the Planning Commission. The Planning Commission may not grant any extension without substantial progress having been demonstrated by the applicant or authorized representative. (Ord. 2023-20, 11/7/23; Ord. 2022-32, 11/29/22)</w:t>
      </w:r>
    </w:p>
    <w:p>
      <w:pPr>
        <w:pageBreakBefore w:val="false"/>
        <w:spacing w:before="198" w:after="0" w:line="203" w:lineRule="exact"/>
        <w:ind w:right="0" w:left="72" w:firstLine="0"/>
        <w:jc w:val="left"/>
        <w:textAlignment w:val="baseline"/>
        <w:rPr>
          <w:rFonts w:ascii="Ebrima" w:hAnsi="Ebrima" w:eastAsia="Ebrima"/>
          <w:b w:val="true"/>
          <w:strike w:val="false"/>
          <w:color w:val="000000"/>
          <w:spacing w:val="-3"/>
          <w:w w:val="100"/>
          <w:sz w:val="16"/>
          <w:vertAlign w:val="baseline"/>
          <w:lang w:val="en-US"/>
        </w:rPr>
      </w:pPr>
      <w:r>
        <w:rPr>
          <w:rFonts w:ascii="Ebrima" w:hAnsi="Ebrima" w:eastAsia="Ebrima"/>
          <w:b w:val="true"/>
          <w:strike w:val="false"/>
          <w:color w:val="000000"/>
          <w:spacing w:val="-3"/>
          <w:w w:val="100"/>
          <w:sz w:val="16"/>
          <w:vertAlign w:val="baseline"/>
          <w:lang w:val="en-US"/>
        </w:rPr>
        <w:t xml:space="preserve">35-4-6. Final plat application.</w:t>
      </w:r>
    </w:p>
    <w:p>
      <w:pPr>
        <w:pageBreakBefore w:val="false"/>
        <w:numPr>
          <w:ilvl w:val="0"/>
          <w:numId w:val="28"/>
        </w:numPr>
        <w:tabs>
          <w:tab w:val="clear" w:pos="432"/>
          <w:tab w:val="left" w:pos="648"/>
        </w:tabs>
        <w:spacing w:before="0" w:after="0" w:line="202" w:lineRule="exact"/>
        <w:ind w:right="144" w:left="72" w:firstLine="144"/>
        <w:jc w:val="both"/>
        <w:textAlignment w:val="baseline"/>
        <w:rPr>
          <w:rFonts w:ascii="Ebrima" w:hAnsi="Ebrima" w:eastAsia="Ebrima"/>
          <w:strike w:val="false"/>
          <w:color w:val="D13438"/>
          <w:spacing w:val="0"/>
          <w:w w:val="100"/>
          <w:sz w:val="15"/>
          <w:u w:val="single"/>
          <w:vertAlign w:val="baseline"/>
          <w:lang w:val="en-US"/>
        </w:rPr>
      </w:pPr>
      <w:r>
        <w:rPr>
          <w:rFonts w:ascii="Ebrima" w:hAnsi="Ebrima" w:eastAsia="Ebrima"/>
          <w:strike w:val="false"/>
          <w:color w:val="D13438"/>
          <w:spacing w:val="0"/>
          <w:w w:val="100"/>
          <w:sz w:val="15"/>
          <w:u w:val="single"/>
          <w:vertAlign w:val="baseline"/>
          <w:lang w:val="en-US"/>
        </w:rPr>
        <w:t xml:space="preserve">After the pre design conferenceAfter the preliminary plan is approved by Planning Commission, </w:t>
      </w:r>
      <w:r>
        <w:rPr>
          <w:rFonts w:ascii="Ebrima" w:hAnsi="Ebrima" w:eastAsia="Ebrima"/>
          <w:strike w:val="false"/>
          <w:color w:val="000000"/>
          <w:spacing w:val="0"/>
          <w:w w:val="100"/>
          <w:sz w:val="15"/>
          <w:vertAlign w:val="baseline"/>
          <w:lang w:val="en-US"/>
        </w:rPr>
        <w:t xml:space="preserve">the applicant shall submit an accurate final plat to</w:t>
      </w:r>
      <w:r>
        <w:rPr>
          <w:rFonts w:ascii="Ebrima" w:hAnsi="Ebrima" w:eastAsia="Ebrima"/>
          <w:strike w:val="false"/>
          <w:color w:val="D13438"/>
          <w:spacing w:val="0"/>
          <w:w w:val="100"/>
          <w:sz w:val="15"/>
          <w:u w:val="single"/>
          <w:vertAlign w:val="baseline"/>
          <w:lang w:val="en-US"/>
        </w:rPr>
        <w:t xml:space="preserve"> all reviewing </w:t>
      </w:r>
      <w:r>
        <w:rPr>
          <w:rFonts w:ascii="Ebrima" w:hAnsi="Ebrima" w:eastAsia="Ebrima"/>
          <w:strike w:val="false"/>
          <w:color w:val="D13438"/>
          <w:spacing w:val="0"/>
          <w:w w:val="100"/>
          <w:sz w:val="15"/>
          <w:vertAlign w:val="baseline"/>
          <w:lang w:val="en-US"/>
        </w:rPr>
        <w:t xml:space="preserve">agencies</w:t>
      </w:r>
      <w:r>
        <w:rPr>
          <w:rFonts w:ascii="Ebrima" w:hAnsi="Ebrima" w:eastAsia="Ebrima"/>
          <w:strike w:val="false"/>
          <w:color w:val="D13438"/>
          <w:spacing w:val="0"/>
          <w:w w:val="100"/>
          <w:sz w:val="15"/>
          <w:u w:val="single"/>
          <w:vertAlign w:val="baseline"/>
          <w:lang w:val="en-US"/>
        </w:rPr>
        <w:t xml:space="preserve"> and</w:t>
      </w:r>
      <w:r>
        <w:rPr>
          <w:rFonts w:ascii="Ebrima" w:hAnsi="Ebrima" w:eastAsia="Ebrima"/>
          <w:strike w:val="false"/>
          <w:color w:val="000000"/>
          <w:spacing w:val="0"/>
          <w:w w:val="100"/>
          <w:sz w:val="15"/>
          <w:vertAlign w:val="baseline"/>
          <w:lang w:val="en-US"/>
        </w:rPr>
        <w:t xml:space="preserve"> the Community Development Department.</w:t>
      </w:r>
    </w:p>
    <w:p>
      <w:pPr>
        <w:pageBreakBefore w:val="false"/>
        <w:numPr>
          <w:ilvl w:val="0"/>
          <w:numId w:val="28"/>
        </w:numPr>
        <w:tabs>
          <w:tab w:val="clear" w:pos="432"/>
          <w:tab w:val="left" w:pos="648"/>
        </w:tabs>
        <w:spacing w:before="9" w:after="0" w:line="204" w:lineRule="exact"/>
        <w:ind w:right="144" w:left="72" w:firstLine="144"/>
        <w:jc w:val="both"/>
        <w:textAlignment w:val="baseline"/>
        <w:rPr>
          <w:rFonts w:ascii="Ebrima" w:hAnsi="Ebrima" w:eastAsia="Ebrima"/>
          <w:strike w:val="false"/>
          <w:color w:val="000000"/>
          <w:spacing w:val="0"/>
          <w:w w:val="100"/>
          <w:sz w:val="15"/>
          <w:vertAlign w:val="baseline"/>
          <w:lang w:val="en-US"/>
        </w:rPr>
      </w:pPr>
      <w:r>
        <w:pict>
          <v:line strokeweight="0.7pt" strokecolor="#000000" from="25.45pt,575.3pt" to="25.45pt,606.05pt" style="position:absolute;mso-position-horizontal-relative:page;mso-position-vertical-relative:page;">
            <v:stroke dashstyle="solid"/>
          </v:line>
        </w:pict>
      </w:r>
      <w:r>
        <w:rPr>
          <w:rFonts w:ascii="Ebrima" w:hAnsi="Ebrima" w:eastAsia="Ebrima"/>
          <w:strike w:val="false"/>
          <w:color w:val="000000"/>
          <w:spacing w:val="0"/>
          <w:w w:val="100"/>
          <w:sz w:val="15"/>
          <w:vertAlign w:val="baseline"/>
          <w:lang w:val="en-US"/>
        </w:rPr>
        <w:t xml:space="preserve">When it is determined that the final plat is accurate and complete, the applicant shall submit the final PDF copy, legibly reproducible for a 24”x36” print, of the plat with all required signatures</w:t>
      </w:r>
      <w:r>
        <w:rPr>
          <w:rFonts w:ascii="Ebrima" w:hAnsi="Ebrima" w:eastAsia="Ebrima"/>
          <w:strike w:val="false"/>
          <w:color w:val="D13438"/>
          <w:spacing w:val="0"/>
          <w:w w:val="100"/>
          <w:sz w:val="15"/>
          <w:u w:val="single"/>
          <w:vertAlign w:val="baseline"/>
          <w:lang w:val="en-US"/>
        </w:rPr>
        <w:t xml:space="preserve"> for approval by the Community Development Department.for placement </w:t>
      </w:r>
      <w:r>
        <w:rPr>
          <w:rFonts w:ascii="Ebrima" w:hAnsi="Ebrima" w:eastAsia="Ebrima"/>
          <w:strike w:val="false"/>
          <w:color w:val="D13438"/>
          <w:spacing w:val="0"/>
          <w:w w:val="100"/>
          <w:sz w:val="15"/>
          <w:vertAlign w:val="baseline"/>
          <w:lang w:val="en-US"/>
        </w:rPr>
        <w:t xml:space="preserve">on a</w:t>
      </w:r>
      <w:r>
        <w:rPr>
          <w:rFonts w:ascii="Ebrima" w:hAnsi="Ebrima" w:eastAsia="Ebrima"/>
          <w:strike w:val="false"/>
          <w:color w:val="D13438"/>
          <w:spacing w:val="0"/>
          <w:w w:val="100"/>
          <w:sz w:val="15"/>
          <w:u w:val="single"/>
          <w:vertAlign w:val="baseline"/>
          <w:lang w:val="en-US"/>
        </w:rPr>
        <w:t xml:space="preserve"> Planning Commission agenda for public hearing and </w:t>
      </w:r>
      <w:r>
        <w:rPr>
          <w:rFonts w:ascii="Ebrima" w:hAnsi="Ebrima" w:eastAsia="Ebrima"/>
          <w:strike w:val="false"/>
          <w:color w:val="D13438"/>
          <w:spacing w:val="0"/>
          <w:w w:val="100"/>
          <w:sz w:val="15"/>
          <w:vertAlign w:val="baseline"/>
          <w:lang w:val="en-US"/>
        </w:rPr>
        <w:t xml:space="preserve">consideration.</w:t>
      </w:r>
    </w:p>
    <w:p>
      <w:pPr>
        <w:pageBreakBefore w:val="false"/>
        <w:numPr>
          <w:ilvl w:val="0"/>
          <w:numId w:val="28"/>
        </w:numPr>
        <w:tabs>
          <w:tab w:val="clear" w:pos="432"/>
          <w:tab w:val="left" w:pos="648"/>
        </w:tabs>
        <w:spacing w:before="0" w:after="0" w:line="198" w:lineRule="exact"/>
        <w:ind w:right="0" w:left="72" w:firstLine="144"/>
        <w:jc w:val="both"/>
        <w:textAlignment w:val="baseline"/>
        <w:rPr>
          <w:rFonts w:ascii="Ebrima" w:hAnsi="Ebrima" w:eastAsia="Ebrima"/>
          <w:strike w:val="false"/>
          <w:color w:val="000000"/>
          <w:spacing w:val="-1"/>
          <w:w w:val="100"/>
          <w:sz w:val="15"/>
          <w:vertAlign w:val="baseline"/>
          <w:lang w:val="en-US"/>
        </w:rPr>
      </w:pPr>
      <w:r>
        <w:rPr>
          <w:rFonts w:ascii="Ebrima" w:hAnsi="Ebrima" w:eastAsia="Ebrima"/>
          <w:strike w:val="false"/>
          <w:color w:val="000000"/>
          <w:spacing w:val="-1"/>
          <w:w w:val="100"/>
          <w:sz w:val="15"/>
          <w:vertAlign w:val="baseline"/>
          <w:lang w:val="en-US"/>
        </w:rPr>
        <w:t xml:space="preserve">The final plat application shall include:</w:t>
      </w:r>
    </w:p>
    <w:p>
      <w:pPr>
        <w:pageBreakBefore w:val="false"/>
        <w:numPr>
          <w:ilvl w:val="0"/>
          <w:numId w:val="29"/>
        </w:numPr>
        <w:tabs>
          <w:tab w:val="clear" w:pos="360"/>
          <w:tab w:val="left" w:pos="1008"/>
        </w:tabs>
        <w:spacing w:before="0" w:after="0" w:line="201" w:lineRule="exact"/>
        <w:ind w:right="0" w:left="504" w:firstLine="144"/>
        <w:jc w:val="both"/>
        <w:textAlignment w:val="baseline"/>
        <w:rPr>
          <w:rFonts w:ascii="Ebrima" w:hAnsi="Ebrima" w:eastAsia="Ebrima"/>
          <w:strike w:val="false"/>
          <w:color w:val="000000"/>
          <w:spacing w:val="0"/>
          <w:w w:val="100"/>
          <w:sz w:val="15"/>
          <w:vertAlign w:val="baseline"/>
          <w:lang w:val="en-US"/>
        </w:rPr>
      </w:pPr>
      <w:r>
        <w:rPr>
          <w:rFonts w:ascii="Ebrima" w:hAnsi="Ebrima" w:eastAsia="Ebrima"/>
          <w:strike w:val="false"/>
          <w:color w:val="000000"/>
          <w:spacing w:val="0"/>
          <w:w w:val="100"/>
          <w:sz w:val="15"/>
          <w:vertAlign w:val="baseline"/>
          <w:lang w:val="en-US"/>
        </w:rPr>
        <w:t xml:space="preserve">the application form;</w:t>
      </w:r>
    </w:p>
    <w:p>
      <w:pPr>
        <w:pageBreakBefore w:val="false"/>
        <w:numPr>
          <w:ilvl w:val="0"/>
          <w:numId w:val="29"/>
        </w:numPr>
        <w:tabs>
          <w:tab w:val="clear" w:pos="360"/>
          <w:tab w:val="left" w:pos="1008"/>
        </w:tabs>
        <w:spacing w:before="7" w:after="0" w:line="204" w:lineRule="exact"/>
        <w:ind w:right="0" w:left="504" w:firstLine="144"/>
        <w:jc w:val="both"/>
        <w:textAlignment w:val="baseline"/>
        <w:rPr>
          <w:rFonts w:ascii="Ebrima" w:hAnsi="Ebrima" w:eastAsia="Ebrima"/>
          <w:strike w:val="false"/>
          <w:color w:val="000000"/>
          <w:spacing w:val="4"/>
          <w:w w:val="100"/>
          <w:sz w:val="15"/>
          <w:vertAlign w:val="baseline"/>
          <w:lang w:val="en-US"/>
        </w:rPr>
      </w:pPr>
      <w:r>
        <w:rPr>
          <w:rFonts w:ascii="Ebrima" w:hAnsi="Ebrima" w:eastAsia="Ebrima"/>
          <w:strike w:val="false"/>
          <w:color w:val="000000"/>
          <w:spacing w:val="4"/>
          <w:w w:val="100"/>
          <w:sz w:val="15"/>
          <w:vertAlign w:val="baseline"/>
          <w:lang w:val="en-US"/>
        </w:rPr>
        <w:t xml:space="preserve">a cost estimate for construction of infrastructure, approved and signed by the County</w:t>
      </w:r>
    </w:p>
    <w:p>
      <w:pPr>
        <w:pageBreakBefore w:val="false"/>
        <w:tabs>
          <w:tab w:val="right" w:leader="none" w:pos="7056"/>
        </w:tabs>
        <w:spacing w:before="181" w:after="0" w:line="223" w:lineRule="exact"/>
        <w:ind w:right="0" w:left="72" w:firstLine="0"/>
        <w:jc w:val="left"/>
        <w:textAlignment w:val="baseline"/>
        <w:rPr>
          <w:rFonts w:ascii="Ebrima" w:hAnsi="Ebrima" w:eastAsia="Ebrima"/>
          <w:strike w:val="false"/>
          <w:color w:val="000000"/>
          <w:spacing w:val="0"/>
          <w:w w:val="100"/>
          <w:sz w:val="17"/>
          <w:vertAlign w:val="baseline"/>
          <w:lang w:val="en-US"/>
        </w:rPr>
      </w:pPr>
      <w:r>
        <w:rPr>
          <w:rFonts w:ascii="Ebrima" w:hAnsi="Ebrima" w:eastAsia="Ebrima"/>
          <w:strike w:val="false"/>
          <w:color w:val="000000"/>
          <w:spacing w:val="0"/>
          <w:w w:val="100"/>
          <w:sz w:val="17"/>
          <w:vertAlign w:val="baseline"/>
          <w:lang w:val="en-US"/>
        </w:rPr>
        <w:t xml:space="preserve">Tooele County Land Use Ordinance	</w:t>
      </w:r>
      <w:r>
        <w:rPr>
          <w:rFonts w:ascii="Ebrima" w:hAnsi="Ebrima" w:eastAsia="Ebrima"/>
          <w:strike w:val="false"/>
          <w:color w:val="000000"/>
          <w:spacing w:val="0"/>
          <w:w w:val="100"/>
          <w:sz w:val="17"/>
          <w:vertAlign w:val="baseline"/>
          <w:lang w:val="en-US"/>
        </w:rPr>
        <w:t xml:space="preserve">35-9</w:t>
      </w:r>
    </w:p>
    <w:sectPr>
      <w:type w:val="nextPage"/>
      <w:pgSz w:w="12240" w:h="15840" w:orient="portrait"/>
      <w:pgMar w:bottom="1544" w:top="1940" w:right="4027" w:left="1013"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Ebrima">
    <w:charset w:val="00"/>
    <w:pitch w:val="variable"/>
    <w:family w:val="swiss"/>
    <w:panose1 w:val="02020603050405020304"/>
  </w:font>
  <w:font w:name="Times New Roman">
    <w:charset w:val="00"/>
    <w:pitch w:val="variable"/>
    <w:family w:val="auto"/>
    <w:panose1 w:val="02020603050405020304"/>
  </w:font>
  <w:font w:name="Calibri">
    <w:charset w:val="00"/>
    <w:pitch w:val="variable"/>
    <w:family w:val="swiss"/>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
    <w:lvl w:ilvl="0">
      <w:start w:val="2"/>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3">
    <w:lvl w:ilvl="0">
      <w:start w:val="1"/>
      <w:numFmt w:val="lowerRoman"/>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4">
    <w:lvl w:ilvl="0">
      <w:start w:val="2"/>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5">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6">
    <w:lvl w:ilvl="0">
      <w:start w:val="4"/>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7">
    <w:lvl w:ilvl="0">
      <w:start w:val="1"/>
      <w:numFmt w:val="lowerLetter"/>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8">
    <w:lvl w:ilvl="0">
      <w:start w:val="1"/>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9">
    <w:lvl w:ilvl="0">
      <w:start w:val="1"/>
      <w:numFmt w:val="decimal"/>
      <w:lvlText w:val="(%1)"/>
      <w:lvlJc w:val="left"/>
      <w:pPr>
        <w:tabs>
          <w:tab w:val="left" w:pos="432"/>
        </w:tabs>
        <w:ind w:left="720"/>
      </w:pPr>
      <w:rPr>
        <w:rFonts w:ascii="Ebrima" w:hAnsi="Ebrima" w:eastAsia="Ebrima"/>
        <w:strike w:val="false"/>
        <w:color w:val="000000"/>
        <w:spacing w:val="-2"/>
        <w:w w:val="100"/>
        <w:sz w:val="15"/>
        <w:vertAlign w:val="baseline"/>
        <w:lang w:val="en-US"/>
      </w:rPr>
    </w:lvl>
  </w:abstractNum>
  <w:abstractNum w:abstractNumId="10">
    <w:lvl w:ilvl="0">
      <w:start w:val="1"/>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1">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2">
    <w:lvl w:ilvl="0">
      <w:start w:val="12"/>
      <w:numFmt w:val="lowerLetter"/>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3">
    <w:lvl w:ilvl="0">
      <w:start w:val="1"/>
      <w:numFmt w:val="lowerRoman"/>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4">
    <w:lvl w:ilvl="0">
      <w:start w:val="5"/>
      <w:numFmt w:val="decimal"/>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5">
    <w:lvl w:ilvl="0">
      <w:start w:val="16"/>
      <w:numFmt w:val="decimal"/>
      <w:lvlText w:val="(%1)"/>
      <w:lvlJc w:val="left"/>
      <w:pPr>
        <w:tabs>
          <w:tab w:val="left" w:pos="288"/>
        </w:tabs>
        <w:ind w:left="720"/>
      </w:pPr>
      <w:rPr>
        <w:rFonts w:ascii="Ebrima" w:hAnsi="Ebrima" w:eastAsia="Ebrima"/>
        <w:strike w:val="false"/>
        <w:color w:val="000000"/>
        <w:spacing w:val="0"/>
        <w:w w:val="100"/>
        <w:sz w:val="15"/>
        <w:vertAlign w:val="baseline"/>
        <w:lang w:val="en-US"/>
      </w:rPr>
    </w:lvl>
  </w:abstractNum>
  <w:abstractNum w:abstractNumId="16">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17">
    <w:lvl w:ilvl="0">
      <w:start w:val="1"/>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18">
    <w:lvl w:ilvl="0">
      <w:start w:val="1"/>
      <w:numFmt w:val="lowerLetter"/>
      <w:lvlText w:val="(%1)"/>
      <w:lvlJc w:val="left"/>
      <w:pPr>
        <w:tabs>
          <w:tab w:val="left" w:pos="432"/>
        </w:tabs>
        <w:ind w:left="720"/>
      </w:pPr>
      <w:rPr>
        <w:rFonts w:ascii="Ebrima" w:hAnsi="Ebrima" w:eastAsia="Ebrima"/>
        <w:strike w:val="false"/>
        <w:color w:val="000000"/>
        <w:spacing w:val="-1"/>
        <w:w w:val="100"/>
        <w:sz w:val="15"/>
        <w:vertAlign w:val="baseline"/>
        <w:lang w:val="en-US"/>
      </w:rPr>
    </w:lvl>
  </w:abstractNum>
  <w:abstractNum w:abstractNumId="19">
    <w:lvl w:ilvl="0">
      <w:start w:val="1"/>
      <w:numFmt w:val="lowerLetter"/>
      <w:lvlText w:val="(%1)"/>
      <w:lvlJc w:val="left"/>
      <w:pPr>
        <w:tabs>
          <w:tab w:val="left" w:pos="432"/>
        </w:tabs>
        <w:ind w:left="720"/>
      </w:pPr>
      <w:rPr>
        <w:rFonts w:ascii="Ebrima" w:hAnsi="Ebrima" w:eastAsia="Ebrima"/>
        <w:strike w:val="false"/>
        <w:color w:val="000000"/>
        <w:spacing w:val="-1"/>
        <w:w w:val="100"/>
        <w:sz w:val="15"/>
        <w:vertAlign w:val="baseline"/>
        <w:lang w:val="en-US"/>
      </w:rPr>
    </w:lvl>
  </w:abstractNum>
  <w:abstractNum w:abstractNumId="20">
    <w:lvl w:ilvl="0">
      <w:start w:val="1"/>
      <w:numFmt w:val="lowerLetter"/>
      <w:lvlText w:val="(%1)"/>
      <w:lvlJc w:val="left"/>
      <w:pPr>
        <w:tabs>
          <w:tab w:val="left" w:pos="432"/>
        </w:tabs>
        <w:ind w:left="720"/>
      </w:pPr>
      <w:rPr>
        <w:rFonts w:ascii="Ebrima" w:hAnsi="Ebrima" w:eastAsia="Ebrima"/>
        <w:strike w:val="false"/>
        <w:color w:val="000000"/>
        <w:spacing w:val="-3"/>
        <w:w w:val="100"/>
        <w:sz w:val="15"/>
        <w:vertAlign w:val="baseline"/>
        <w:lang w:val="en-US"/>
      </w:rPr>
    </w:lvl>
  </w:abstractNum>
  <w:abstractNum w:abstractNumId="21">
    <w:lvl w:ilvl="0">
      <w:start w:val="10"/>
      <w:numFmt w:val="lowerLetter"/>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22">
    <w:lvl w:ilvl="0">
      <w:start w:val="1"/>
      <w:numFmt w:val="decimal"/>
      <w:lvlText w:val="(%1)"/>
      <w:lvlJc w:val="left"/>
      <w:pPr>
        <w:tabs>
          <w:tab w:val="left" w:pos="432"/>
        </w:tabs>
        <w:ind w:left="720"/>
      </w:pPr>
      <w:rPr>
        <w:rFonts w:ascii="Ebrima" w:hAnsi="Ebrima" w:eastAsia="Ebrima"/>
        <w:strike w:val="false"/>
        <w:color w:val="000000"/>
        <w:spacing w:val="-2"/>
        <w:w w:val="100"/>
        <w:sz w:val="15"/>
        <w:vertAlign w:val="baseline"/>
        <w:lang w:val="en-US"/>
      </w:rPr>
    </w:lvl>
  </w:abstractNum>
  <w:abstractNum w:abstractNumId="23">
    <w:lvl w:ilvl="0">
      <w:start w:val="1"/>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24">
    <w:lvl w:ilvl="0">
      <w:start w:val="1"/>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25">
    <w:lvl w:ilvl="0">
      <w:start w:val="7"/>
      <w:numFmt w:val="decimal"/>
      <w:lvlText w:val="(%1)"/>
      <w:lvlJc w:val="left"/>
      <w:pPr>
        <w:tabs>
          <w:tab w:val="left" w:pos="432"/>
        </w:tabs>
        <w:ind w:left="720"/>
      </w:pPr>
      <w:rPr>
        <w:rFonts w:ascii="Ebrima" w:hAnsi="Ebrima" w:eastAsia="Ebrima"/>
        <w:strike w:val="false"/>
        <w:color w:val="000000"/>
        <w:spacing w:val="0"/>
        <w:w w:val="100"/>
        <w:sz w:val="15"/>
        <w:vertAlign w:val="baseline"/>
        <w:lang w:val="en-US"/>
      </w:rPr>
    </w:lvl>
  </w:abstractNum>
  <w:abstractNum w:abstractNumId="26">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abstractNum w:abstractNumId="27">
    <w:lvl w:ilvl="0">
      <w:start w:val="1"/>
      <w:numFmt w:val="decimal"/>
      <w:lvlText w:val="(%1)"/>
      <w:lvlJc w:val="left"/>
      <w:pPr>
        <w:tabs>
          <w:tab w:val="left" w:pos="432"/>
        </w:tabs>
        <w:ind w:left="720"/>
      </w:pPr>
      <w:rPr>
        <w:rFonts w:ascii="Ebrima" w:hAnsi="Ebrima" w:eastAsia="Ebrima"/>
        <w:strike w:val="false"/>
        <w:color w:val="D13438"/>
        <w:spacing w:val="0"/>
        <w:w w:val="100"/>
        <w:sz w:val="15"/>
        <w:u w:val="single"/>
        <w:vertAlign w:val="baseline"/>
        <w:lang w:val="en-US"/>
      </w:rPr>
    </w:lvl>
  </w:abstractNum>
  <w:abstractNum w:abstractNumId="28">
    <w:lvl w:ilvl="0">
      <w:start w:val="1"/>
      <w:numFmt w:val="lowerLetter"/>
      <w:lvlText w:val="(%1)"/>
      <w:lvlJc w:val="left"/>
      <w:pPr>
        <w:tabs>
          <w:tab w:val="left" w:pos="360"/>
        </w:tabs>
        <w:ind w:left="720"/>
      </w:pPr>
      <w:rPr>
        <w:rFonts w:ascii="Ebrima" w:hAnsi="Ebrima" w:eastAsia="Ebrima"/>
        <w:strike w:val="false"/>
        <w:color w:val="000000"/>
        <w:spacing w:val="0"/>
        <w:w w:val="100"/>
        <w:sz w:val="15"/>
        <w:vertAlign w:val="baseline"/>
        <w:lang w:val="en-US"/>
      </w:rPr>
    </w:lvl>
  </w:abstract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eastAsia="PMingLiU" w:hAnsi="Times New Roman" w:cs="Times New Roman"/>
        <w:sz w:val="22"/>
        <w:szCs w:val="22"/>
        <w:lang w:val="en-US" w:eastAsia="en-US" w:bidi="ar-SA"/>
      </w:rPr>
    </w:rPrDefault>
    <w:pPrDefault/>
  </w:docDefaults>
  <w:style w:styleId="Normal" w:default="1" w:type="paragraph">
    <w:name w:val="Normal"/>
  </w:style>
</w:styles>
</file>

<file path=word/_rels/document.xml.rels>&#65279;<?xml version="1.0" encoding="utf-8"?><Relationships xmlns="http://schemas.openxmlformats.org/package/2006/relationships"><Relationship Type="http://schemas.openxmlformats.org/officeDocument/2006/relationships/image" Target="media/image1.jpg" Id="drId2" /><Relationship Type="http://schemas.openxmlformats.org/officeDocument/2006/relationships/hyperlink" Target="http://tooeleco.org/tooele-county-government/county-departments/community-development/" TargetMode="External" Id="drId4" /><Relationship Type="http://schemas.openxmlformats.org/officeDocument/2006/relationships/image" Target="media/image2.jpg" Id="drId5" /><Relationship Type="http://schemas.openxmlformats.org/officeDocument/2006/relationships/image" Target="media/image3.jpg" Id="drId6" /><Relationship Type="http://schemas.openxmlformats.org/officeDocument/2006/relationships/image" Target="media/image4.jpg" Id="drId7" /><Relationship Type="http://schemas.openxmlformats.org/officeDocument/2006/relationships/numbering" Target="numbering.xml" Id="drId8" /><Relationship Type="http://schemas.openxmlformats.org/officeDocument/2006/relationships/settings" Target="settings.xml" Id="drId1" /><Relationship Type="http://schemas.openxmlformats.org/officeDocument/2006/relationships/styles" Target="styles.xml" Id="drId0" /><Relationship Type="http://schemas.openxmlformats.org/wordprocessingml/2006/fontTable" Target="fontTable.xml" Id="drId3" /></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