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B01787" w14:textId="77777777" w:rsidR="00C66E31" w:rsidRPr="00C66E31" w:rsidRDefault="00C66E31" w:rsidP="00C66E31">
      <w:pPr>
        <w:spacing w:after="0" w:line="240" w:lineRule="auto"/>
        <w:jc w:val="center"/>
        <w:rPr>
          <w:rFonts w:ascii="Times New Roman" w:eastAsia="Times New Roman" w:hAnsi="Times New Roman" w:cs="Times New Roman"/>
          <w:kern w:val="0"/>
          <w:sz w:val="24"/>
          <w:szCs w:val="24"/>
          <w14:ligatures w14:val="none"/>
        </w:rPr>
      </w:pPr>
      <w:r w:rsidRPr="00C66E31">
        <w:rPr>
          <w:rFonts w:ascii="Arial" w:eastAsia="Times New Roman" w:hAnsi="Arial" w:cs="Arial"/>
          <w:b/>
          <w:bCs/>
          <w:color w:val="000000"/>
          <w:kern w:val="0"/>
          <w:sz w:val="24"/>
          <w:szCs w:val="24"/>
          <w:u w:val="single"/>
          <w14:ligatures w14:val="none"/>
        </w:rPr>
        <w:t>Minutes of the Bicknell Planning &amp; Zoning Commission</w:t>
      </w:r>
    </w:p>
    <w:p w14:paraId="5E837FEA"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75CF2718" w14:textId="77777777" w:rsidR="00C66E31" w:rsidRPr="00C66E31" w:rsidRDefault="00C66E31" w:rsidP="00C66E31">
      <w:pPr>
        <w:spacing w:after="0" w:line="240" w:lineRule="auto"/>
        <w:jc w:val="center"/>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Tuesday July 16, 2024 7:00 - 8:00 pm</w:t>
      </w:r>
    </w:p>
    <w:p w14:paraId="271BC3EC" w14:textId="77777777" w:rsidR="00C66E31" w:rsidRPr="00C66E31" w:rsidRDefault="00C66E31" w:rsidP="00C66E31">
      <w:pPr>
        <w:spacing w:after="0" w:line="240" w:lineRule="auto"/>
        <w:jc w:val="center"/>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 xml:space="preserve">Bicknell Town Hall, </w:t>
      </w:r>
      <w:r w:rsidRPr="00C66E31">
        <w:rPr>
          <w:rFonts w:ascii="Arial" w:eastAsia="Times New Roman" w:hAnsi="Arial" w:cs="Arial"/>
          <w:color w:val="000000"/>
          <w:kern w:val="0"/>
          <w:sz w:val="24"/>
          <w:szCs w:val="24"/>
          <w:shd w:val="clear" w:color="auto" w:fill="FFFFFF"/>
          <w14:ligatures w14:val="none"/>
        </w:rPr>
        <w:t>64 West 100 North Bicknell UT</w:t>
      </w:r>
    </w:p>
    <w:p w14:paraId="6F38067B" w14:textId="77777777" w:rsidR="00C66E31" w:rsidRPr="00C66E31" w:rsidRDefault="00C66E31" w:rsidP="00C66E31">
      <w:pPr>
        <w:spacing w:after="240" w:line="240" w:lineRule="auto"/>
        <w:rPr>
          <w:rFonts w:ascii="Times New Roman" w:eastAsia="Times New Roman" w:hAnsi="Times New Roman" w:cs="Times New Roman"/>
          <w:kern w:val="0"/>
          <w:sz w:val="24"/>
          <w:szCs w:val="24"/>
          <w14:ligatures w14:val="none"/>
        </w:rPr>
      </w:pPr>
    </w:p>
    <w:p w14:paraId="535D7D0A"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b/>
          <w:bCs/>
          <w:color w:val="000000"/>
          <w:kern w:val="0"/>
          <w:sz w:val="24"/>
          <w:szCs w:val="24"/>
          <w14:ligatures w14:val="none"/>
        </w:rPr>
        <w:t>Welcome and Call to order</w:t>
      </w:r>
      <w:r w:rsidRPr="00C66E31">
        <w:rPr>
          <w:rFonts w:ascii="Arial" w:eastAsia="Times New Roman" w:hAnsi="Arial" w:cs="Arial"/>
          <w:color w:val="000000"/>
          <w:kern w:val="0"/>
          <w:sz w:val="24"/>
          <w:szCs w:val="24"/>
          <w14:ligatures w14:val="none"/>
        </w:rPr>
        <w:t xml:space="preserve"> @ 7:00: Ellen Anderson</w:t>
      </w:r>
    </w:p>
    <w:p w14:paraId="4492D940"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50A54650"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b/>
          <w:bCs/>
          <w:color w:val="000000"/>
          <w:kern w:val="0"/>
          <w:sz w:val="24"/>
          <w:szCs w:val="24"/>
          <w14:ligatures w14:val="none"/>
        </w:rPr>
        <w:t>Roll Call</w:t>
      </w:r>
      <w:r w:rsidRPr="00C66E31">
        <w:rPr>
          <w:rFonts w:ascii="Arial" w:eastAsia="Times New Roman" w:hAnsi="Arial" w:cs="Arial"/>
          <w:color w:val="000000"/>
          <w:kern w:val="0"/>
          <w:sz w:val="24"/>
          <w:szCs w:val="24"/>
          <w14:ligatures w14:val="none"/>
        </w:rPr>
        <w:t>: Jim Dudleston, Katie McDonald and Ellen Anderson present.  </w:t>
      </w:r>
    </w:p>
    <w:p w14:paraId="6F8751A3" w14:textId="77777777" w:rsidR="00C66E31" w:rsidRPr="00C66E31" w:rsidRDefault="00C66E31" w:rsidP="00C66E31">
      <w:pPr>
        <w:spacing w:after="0" w:line="240" w:lineRule="auto"/>
        <w:ind w:firstLine="720"/>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Tony Jackson, JaCee Johnson absent. </w:t>
      </w:r>
    </w:p>
    <w:p w14:paraId="3553CD9B"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6B0382A8"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A motion was made by Jim Dudleston to approve the June minutes.  The motion was seconded by Katie McDonald and unanimously approved.</w:t>
      </w:r>
    </w:p>
    <w:p w14:paraId="00B84E96"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39AB852B"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b/>
          <w:bCs/>
          <w:color w:val="000000"/>
          <w:kern w:val="0"/>
          <w:sz w:val="24"/>
          <w:szCs w:val="24"/>
          <w14:ligatures w14:val="none"/>
        </w:rPr>
        <w:t>The first item on the agenda is a zone change request for Jim Dudleston.</w:t>
      </w:r>
    </w:p>
    <w:p w14:paraId="042090B4"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705BEC4E"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Jim stated that he was requesting a zone change for the property on the East end of town just behind the landscaped area across from Howie’s.  The zone is currently Residential Agricultural and the request is to change to Commercial Residential.</w:t>
      </w:r>
    </w:p>
    <w:p w14:paraId="11855EE8"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4496936B"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The property does sit on Main Street and the zone change would conform to the Vision Statement ‘Community Future’, ‘Land Use’ and ‘Economic Development’ goals.  It would also conform to the General Plan and the Building and Zoning Ordinance.</w:t>
      </w:r>
    </w:p>
    <w:p w14:paraId="5FA23EFE"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6E578F48"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The purpose for the zone change is to build a small, high end RV park consisting of 3 RV pads, a small shower house and 2 EV charging stations.  This will not just be utilities and pea gravel, These will be deluxe sites with Concrete pads, Large patio with gazebo, lawn furniture and BBQ.  Each site will be fully landscaped.  </w:t>
      </w:r>
    </w:p>
    <w:p w14:paraId="3020A469"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6F500F4E"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Katie made that comment that she doesn’t feel it would be disruptive to the neighborhood environment being it is on Main Street and the Highway and situated across from the gas station.  </w:t>
      </w:r>
    </w:p>
    <w:p w14:paraId="6D682842"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4FDD4ECE"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Jim mentioned that he is not going to do any type of RV park store but rather, advertise the existing merchants in town.  Snacks, Ice, Propane, Firewood, fuel can all be purchased from Howie’s, RV supplies and parts can be found at Blackburn Recreation and tow vehicle parts or maintenance can be found at M&amp;D.   There are also 2 places to eat in town.</w:t>
      </w:r>
    </w:p>
    <w:p w14:paraId="78252526"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440F2DB9"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Ellen agreed with Katie and said it was a perfect spot for it and saw absolutely no problem.  She stated that we didn’t need to vote on this tonight, just agree to schedule a public hearing next month.  She stated that we will press forward.</w:t>
      </w:r>
    </w:p>
    <w:p w14:paraId="1559E30F"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3468698D"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 xml:space="preserve">Ellen also stated that as she looked at the zoning map,  She would like to propose that not only do we do a public hearing for approving Jim’s request but also consider redoing our zoning map and ordinance.  The proposal would be to change the Commercial Zone </w:t>
      </w:r>
      <w:r w:rsidRPr="00C66E31">
        <w:rPr>
          <w:rFonts w:ascii="Arial" w:eastAsia="Times New Roman" w:hAnsi="Arial" w:cs="Arial"/>
          <w:color w:val="000000"/>
          <w:kern w:val="0"/>
          <w:sz w:val="24"/>
          <w:szCs w:val="24"/>
          <w14:ligatures w14:val="none"/>
        </w:rPr>
        <w:lastRenderedPageBreak/>
        <w:t>to say on ‘MAIN’ street or HWY 24.  She said she would come up with a new description for the public hearing.</w:t>
      </w:r>
    </w:p>
    <w:p w14:paraId="24A61B6B"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13769F81"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Ellen also stated that she had talked with Noreen about the confusion caused by the current ‘Main’ Street wording where main turns to dirt and the east and west end.  Also there are properties on Main street which are not currently zoned commercial.   There is also talk of annexing in the car wash and storage sheds.  Changing the commercial zone to include HWY 24 as it passes through town would not only include those businesses but also allow for future commercial properties along the highway as annexation happens and the town grows.</w:t>
      </w:r>
    </w:p>
    <w:p w14:paraId="48D1E437"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372CEF58"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Ellen made a proposal to have a public hearing next month to take input from the public on expanding the commercial zone to include HWY 24 and also update the map to show the change from residential to commercial on those properties along Main and HWY 24  that are not currently commercial. </w:t>
      </w:r>
    </w:p>
    <w:p w14:paraId="51E6C2E2"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1CCF2F9F"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Katie made a motion that we hold a public hearing next month to take public input on expanding the commercial zone to include all properties on Main Street and HWY 24.    </w:t>
      </w:r>
    </w:p>
    <w:p w14:paraId="5362A03B"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09A9DD7D"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The motion was seconded by Jim and unanimously approved.</w:t>
      </w:r>
    </w:p>
    <w:p w14:paraId="54A2C705"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03B9F704"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 </w:t>
      </w:r>
    </w:p>
    <w:p w14:paraId="10461306"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b/>
          <w:bCs/>
          <w:color w:val="000000"/>
          <w:kern w:val="0"/>
          <w:sz w:val="24"/>
          <w:szCs w:val="24"/>
          <w14:ligatures w14:val="none"/>
        </w:rPr>
        <w:t>Next on the agenda is the review of the Subdivision ordinance comments submitted by Planning Outpost.</w:t>
      </w:r>
    </w:p>
    <w:p w14:paraId="6B5473FD"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21F2B490"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Jim presented a process flowchart with easy to read steps for the subdivision application process.  The detail is in the preliminary and final application checklists.</w:t>
      </w:r>
    </w:p>
    <w:p w14:paraId="7705B154"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3070EC7C"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The last revision of the comments from the attorney modifies the description of the “Land Use Authority”.  In our ordinance we state that the Planning Commission is the Land Use Authority for both preliminary and final applications.  The comments from the attorney states that P&amp;Z cannot be both and stated that most jurisdictions have changed it to be the Chairman of P&amp;Z for the final application.  We are not interested in having a single person be responsible for that and decided to create a panel of 2 members of Planning and Zoning for the final application. The definition in the Ordinance was changed to read:</w:t>
      </w:r>
    </w:p>
    <w:p w14:paraId="772D2C62"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Times New Roman" w:eastAsia="Times New Roman" w:hAnsi="Times New Roman" w:cs="Times New Roman"/>
          <w:kern w:val="0"/>
          <w:sz w:val="24"/>
          <w:szCs w:val="24"/>
          <w14:ligatures w14:val="none"/>
        </w:rPr>
        <w:br/>
      </w:r>
    </w:p>
    <w:p w14:paraId="1B0C958E" w14:textId="77777777" w:rsidR="00C66E31" w:rsidRPr="00C66E31" w:rsidRDefault="00C66E31" w:rsidP="00C66E31">
      <w:pPr>
        <w:numPr>
          <w:ilvl w:val="0"/>
          <w:numId w:val="32"/>
        </w:numPr>
        <w:spacing w:after="0" w:line="240" w:lineRule="auto"/>
        <w:ind w:right="524"/>
        <w:textAlignment w:val="baseline"/>
        <w:rPr>
          <w:rFonts w:ascii="Arial" w:eastAsia="Times New Roman" w:hAnsi="Arial" w:cs="Arial"/>
          <w:color w:val="000000"/>
          <w:kern w:val="0"/>
          <w:sz w:val="24"/>
          <w:szCs w:val="24"/>
          <w14:ligatures w14:val="none"/>
        </w:rPr>
      </w:pPr>
      <w:r w:rsidRPr="00C66E31">
        <w:rPr>
          <w:rFonts w:ascii="Arial" w:eastAsia="Times New Roman" w:hAnsi="Arial" w:cs="Arial"/>
          <w:color w:val="000000"/>
          <w:kern w:val="0"/>
          <w:sz w:val="24"/>
          <w:szCs w:val="24"/>
          <w14:ligatures w14:val="none"/>
        </w:rPr>
        <w:t>ADMINISTRATIVE LAND USE AUTHORITY: The Planning Commission shall act as the approval authority for the Preliminary Plat.   A two member panel selected from the Planning Commission shall act as the approval authority for the Final plat.   </w:t>
      </w:r>
    </w:p>
    <w:p w14:paraId="4CD21611"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   </w:t>
      </w:r>
    </w:p>
    <w:p w14:paraId="32A56DD5"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0F734E30"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Section 4 of the ordinance was also changed to show the same.</w:t>
      </w:r>
    </w:p>
    <w:p w14:paraId="558B37B1"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58E45A3D" w14:textId="77777777" w:rsidR="00C66E31" w:rsidRPr="00C66E31" w:rsidRDefault="00C66E31" w:rsidP="00C66E31">
      <w:pPr>
        <w:spacing w:after="0" w:line="240" w:lineRule="auto"/>
        <w:ind w:right="524"/>
        <w:rPr>
          <w:rFonts w:ascii="Times New Roman" w:eastAsia="Times New Roman" w:hAnsi="Times New Roman" w:cs="Times New Roman"/>
          <w:kern w:val="0"/>
          <w:sz w:val="24"/>
          <w:szCs w:val="24"/>
          <w14:ligatures w14:val="none"/>
        </w:rPr>
      </w:pPr>
      <w:r w:rsidRPr="00C66E31">
        <w:rPr>
          <w:rFonts w:ascii="Arial" w:eastAsia="Times New Roman" w:hAnsi="Arial" w:cs="Arial"/>
          <w:b/>
          <w:bCs/>
          <w:color w:val="000000"/>
          <w:kern w:val="0"/>
          <w:sz w:val="24"/>
          <w:szCs w:val="24"/>
          <w14:ligatures w14:val="none"/>
        </w:rPr>
        <w:lastRenderedPageBreak/>
        <w:t>Section 4 - DESIGNATION OF A SINGLE ADMINISTRATIVE LAND USE AUTHORITY FOR REVIEW AND APPROVAL OF PRELIMINARY AND FINAL SUBDIVISION APPLICATIONS.</w:t>
      </w:r>
    </w:p>
    <w:p w14:paraId="4B66C74D"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Times New Roman" w:eastAsia="Times New Roman" w:hAnsi="Times New Roman" w:cs="Times New Roman"/>
          <w:kern w:val="0"/>
          <w:sz w:val="24"/>
          <w:szCs w:val="24"/>
          <w14:ligatures w14:val="none"/>
        </w:rPr>
        <w:br/>
      </w:r>
    </w:p>
    <w:p w14:paraId="40F8B974" w14:textId="77777777" w:rsidR="00C66E31" w:rsidRPr="00C66E31" w:rsidRDefault="00C66E31" w:rsidP="00C66E31">
      <w:pPr>
        <w:numPr>
          <w:ilvl w:val="0"/>
          <w:numId w:val="33"/>
        </w:numPr>
        <w:spacing w:after="0" w:line="240" w:lineRule="auto"/>
        <w:ind w:right="524"/>
        <w:textAlignment w:val="baseline"/>
        <w:rPr>
          <w:rFonts w:ascii="Arial" w:eastAsia="Times New Roman" w:hAnsi="Arial" w:cs="Arial"/>
          <w:color w:val="000000"/>
          <w:kern w:val="0"/>
          <w:sz w:val="24"/>
          <w:szCs w:val="24"/>
          <w14:ligatures w14:val="none"/>
        </w:rPr>
      </w:pPr>
      <w:r w:rsidRPr="00C66E31">
        <w:rPr>
          <w:rFonts w:ascii="Arial" w:eastAsia="Times New Roman" w:hAnsi="Arial" w:cs="Arial"/>
          <w:color w:val="000000"/>
          <w:kern w:val="0"/>
          <w:sz w:val="24"/>
          <w:szCs w:val="24"/>
          <w14:ligatures w14:val="none"/>
        </w:rPr>
        <w:t>Preliminary Subdivision Applications.</w:t>
      </w:r>
    </w:p>
    <w:p w14:paraId="20EF60DF" w14:textId="77777777" w:rsidR="00C66E31" w:rsidRPr="00C66E31" w:rsidRDefault="00C66E31" w:rsidP="00C66E31">
      <w:pPr>
        <w:numPr>
          <w:ilvl w:val="1"/>
          <w:numId w:val="34"/>
        </w:numPr>
        <w:spacing w:after="0" w:line="240" w:lineRule="auto"/>
        <w:ind w:left="1440" w:right="524" w:hanging="360"/>
        <w:textAlignment w:val="baseline"/>
        <w:rPr>
          <w:rFonts w:ascii="Arial" w:eastAsia="Times New Roman" w:hAnsi="Arial" w:cs="Arial"/>
          <w:color w:val="000000"/>
          <w:kern w:val="0"/>
          <w:sz w:val="24"/>
          <w:szCs w:val="24"/>
          <w14:ligatures w14:val="none"/>
        </w:rPr>
      </w:pPr>
      <w:r w:rsidRPr="00C66E31">
        <w:rPr>
          <w:rFonts w:ascii="Arial" w:eastAsia="Times New Roman" w:hAnsi="Arial" w:cs="Arial"/>
          <w:color w:val="000000"/>
          <w:kern w:val="0"/>
          <w:sz w:val="24"/>
          <w:szCs w:val="24"/>
          <w14:ligatures w14:val="none"/>
        </w:rPr>
        <w:t>Bicknell Town hereby designates the Planning Commission to review and approve preliminary subdivision applications.</w:t>
      </w:r>
    </w:p>
    <w:p w14:paraId="1A641AAA" w14:textId="77777777" w:rsidR="00C66E31" w:rsidRPr="00C66E31" w:rsidRDefault="00C66E31" w:rsidP="00C66E31">
      <w:pPr>
        <w:numPr>
          <w:ilvl w:val="0"/>
          <w:numId w:val="33"/>
        </w:numPr>
        <w:spacing w:after="0" w:line="240" w:lineRule="auto"/>
        <w:ind w:right="524"/>
        <w:textAlignment w:val="baseline"/>
        <w:rPr>
          <w:rFonts w:ascii="Arial" w:eastAsia="Times New Roman" w:hAnsi="Arial" w:cs="Arial"/>
          <w:color w:val="000000"/>
          <w:kern w:val="0"/>
          <w:sz w:val="24"/>
          <w:szCs w:val="24"/>
          <w14:ligatures w14:val="none"/>
        </w:rPr>
      </w:pPr>
      <w:r w:rsidRPr="00C66E31">
        <w:rPr>
          <w:rFonts w:ascii="Arial" w:eastAsia="Times New Roman" w:hAnsi="Arial" w:cs="Arial"/>
          <w:color w:val="000000"/>
          <w:kern w:val="0"/>
          <w:sz w:val="24"/>
          <w:szCs w:val="24"/>
          <w14:ligatures w14:val="none"/>
        </w:rPr>
        <w:t>Final Subdivision Applications.</w:t>
      </w:r>
    </w:p>
    <w:p w14:paraId="0D5FA275" w14:textId="77777777" w:rsidR="00C66E31" w:rsidRPr="00C66E31" w:rsidRDefault="00C66E31" w:rsidP="00C66E31">
      <w:pPr>
        <w:numPr>
          <w:ilvl w:val="0"/>
          <w:numId w:val="35"/>
        </w:numPr>
        <w:spacing w:after="0" w:line="240" w:lineRule="auto"/>
        <w:ind w:left="1440" w:right="524"/>
        <w:textAlignment w:val="baseline"/>
        <w:rPr>
          <w:rFonts w:ascii="Arial" w:eastAsia="Times New Roman" w:hAnsi="Arial" w:cs="Arial"/>
          <w:color w:val="000000"/>
          <w:kern w:val="0"/>
          <w:sz w:val="24"/>
          <w:szCs w:val="24"/>
          <w14:ligatures w14:val="none"/>
        </w:rPr>
      </w:pPr>
      <w:r w:rsidRPr="00C66E31">
        <w:rPr>
          <w:rFonts w:ascii="Arial" w:eastAsia="Times New Roman" w:hAnsi="Arial" w:cs="Arial"/>
          <w:color w:val="000000"/>
          <w:kern w:val="0"/>
          <w:sz w:val="24"/>
          <w:szCs w:val="24"/>
          <w14:ligatures w14:val="none"/>
        </w:rPr>
        <w:t>Bicknell Town hereby designates a two person panel selected from the Planning Commission to review and approve final subdivision applications.</w:t>
      </w:r>
    </w:p>
    <w:p w14:paraId="28E82CE9" w14:textId="77777777" w:rsidR="00C66E31" w:rsidRPr="00C66E31" w:rsidRDefault="00C66E31" w:rsidP="00C66E31">
      <w:pPr>
        <w:spacing w:after="240" w:line="240" w:lineRule="auto"/>
        <w:rPr>
          <w:rFonts w:ascii="Times New Roman" w:eastAsia="Times New Roman" w:hAnsi="Times New Roman" w:cs="Times New Roman"/>
          <w:kern w:val="0"/>
          <w:sz w:val="24"/>
          <w:szCs w:val="24"/>
          <w14:ligatures w14:val="none"/>
        </w:rPr>
      </w:pPr>
    </w:p>
    <w:p w14:paraId="6E0FA847"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Section 3 DEFINITIONS 22.  REVIEW CYCLE was also modified as suggested by the attorney to read:</w:t>
      </w:r>
    </w:p>
    <w:p w14:paraId="69B7B07D"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Times New Roman" w:eastAsia="Times New Roman" w:hAnsi="Times New Roman" w:cs="Times New Roman"/>
          <w:kern w:val="0"/>
          <w:sz w:val="24"/>
          <w:szCs w:val="24"/>
          <w14:ligatures w14:val="none"/>
        </w:rPr>
        <w:br/>
      </w:r>
    </w:p>
    <w:p w14:paraId="46FA9FA0" w14:textId="77777777" w:rsidR="00C66E31" w:rsidRPr="00C66E31" w:rsidRDefault="00C66E31" w:rsidP="00C66E31">
      <w:pPr>
        <w:numPr>
          <w:ilvl w:val="0"/>
          <w:numId w:val="36"/>
        </w:numPr>
        <w:spacing w:after="0" w:line="240" w:lineRule="auto"/>
        <w:ind w:right="524"/>
        <w:textAlignment w:val="baseline"/>
        <w:rPr>
          <w:rFonts w:ascii="Arial" w:eastAsia="Times New Roman" w:hAnsi="Arial" w:cs="Arial"/>
          <w:color w:val="000000"/>
          <w:kern w:val="0"/>
          <w:sz w:val="24"/>
          <w:szCs w:val="24"/>
          <w14:ligatures w14:val="none"/>
        </w:rPr>
      </w:pPr>
      <w:r w:rsidRPr="00C66E31">
        <w:rPr>
          <w:rFonts w:ascii="Arial" w:eastAsia="Times New Roman" w:hAnsi="Arial" w:cs="Arial"/>
          <w:color w:val="000000"/>
          <w:kern w:val="0"/>
          <w:sz w:val="24"/>
          <w:szCs w:val="24"/>
          <w14:ligatures w14:val="none"/>
        </w:rPr>
        <w:t>REVIEW CYCLE:  The process for review of a complete subdivision application.  There may be multiple thirty (30) business day reviews for the preliminary plat review cycle.  There shall be no more than four (4) total review cycles of fourty (40) business days for a final plat when accompanied by improvements plans.</w:t>
      </w:r>
    </w:p>
    <w:p w14:paraId="17CA8C67" w14:textId="77777777" w:rsidR="00C66E31" w:rsidRPr="00C66E31" w:rsidRDefault="00C66E31" w:rsidP="00C66E31">
      <w:pPr>
        <w:numPr>
          <w:ilvl w:val="1"/>
          <w:numId w:val="37"/>
        </w:numPr>
        <w:spacing w:after="0" w:line="240" w:lineRule="auto"/>
        <w:ind w:left="2160" w:right="524"/>
        <w:textAlignment w:val="baseline"/>
        <w:rPr>
          <w:rFonts w:ascii="Arial" w:eastAsia="Times New Roman" w:hAnsi="Arial" w:cs="Arial"/>
          <w:color w:val="000000"/>
          <w:kern w:val="0"/>
          <w:sz w:val="24"/>
          <w:szCs w:val="24"/>
          <w14:ligatures w14:val="none"/>
        </w:rPr>
      </w:pPr>
      <w:r w:rsidRPr="00C66E31">
        <w:rPr>
          <w:rFonts w:ascii="Arial" w:eastAsia="Times New Roman" w:hAnsi="Arial" w:cs="Arial"/>
          <w:color w:val="000000"/>
          <w:kern w:val="0"/>
          <w:sz w:val="24"/>
          <w:szCs w:val="24"/>
          <w14:ligatures w14:val="none"/>
        </w:rPr>
        <w:t>A single review cycle shall be considered complete when:</w:t>
      </w:r>
    </w:p>
    <w:p w14:paraId="507905A3" w14:textId="77777777" w:rsidR="00C66E31" w:rsidRPr="00C66E31" w:rsidRDefault="00C66E31" w:rsidP="00C66E31">
      <w:pPr>
        <w:numPr>
          <w:ilvl w:val="2"/>
          <w:numId w:val="38"/>
        </w:numPr>
        <w:spacing w:after="0" w:line="240" w:lineRule="auto"/>
        <w:ind w:right="524"/>
        <w:textAlignment w:val="baseline"/>
        <w:rPr>
          <w:rFonts w:ascii="Arial" w:eastAsia="Times New Roman" w:hAnsi="Arial" w:cs="Arial"/>
          <w:color w:val="000000"/>
          <w:kern w:val="0"/>
          <w:sz w:val="24"/>
          <w:szCs w:val="24"/>
          <w14:ligatures w14:val="none"/>
        </w:rPr>
      </w:pPr>
      <w:r w:rsidRPr="00C66E31">
        <w:rPr>
          <w:rFonts w:ascii="Arial" w:eastAsia="Times New Roman" w:hAnsi="Arial" w:cs="Arial"/>
          <w:color w:val="000000"/>
          <w:kern w:val="0"/>
          <w:sz w:val="24"/>
          <w:szCs w:val="24"/>
          <w14:ligatures w14:val="none"/>
        </w:rPr>
        <w:t>Complete application is submitted to the Administrative Land Use Authority;</w:t>
      </w:r>
    </w:p>
    <w:p w14:paraId="4DDA1D39" w14:textId="77777777" w:rsidR="00C66E31" w:rsidRPr="00C66E31" w:rsidRDefault="00C66E31" w:rsidP="00C66E31">
      <w:pPr>
        <w:numPr>
          <w:ilvl w:val="2"/>
          <w:numId w:val="39"/>
        </w:numPr>
        <w:spacing w:after="0" w:line="240" w:lineRule="auto"/>
        <w:ind w:right="524"/>
        <w:textAlignment w:val="baseline"/>
        <w:rPr>
          <w:rFonts w:ascii="Arial" w:eastAsia="Times New Roman" w:hAnsi="Arial" w:cs="Arial"/>
          <w:color w:val="000000"/>
          <w:kern w:val="0"/>
          <w:sz w:val="24"/>
          <w:szCs w:val="24"/>
          <w14:ligatures w14:val="none"/>
        </w:rPr>
      </w:pPr>
      <w:r w:rsidRPr="00C66E31">
        <w:rPr>
          <w:rFonts w:ascii="Arial" w:eastAsia="Times New Roman" w:hAnsi="Arial" w:cs="Arial"/>
          <w:color w:val="000000"/>
          <w:kern w:val="0"/>
          <w:sz w:val="24"/>
          <w:szCs w:val="24"/>
          <w14:ligatures w14:val="none"/>
        </w:rPr>
        <w:t>The Administrative Land Use Authority Review is complete;</w:t>
      </w:r>
    </w:p>
    <w:p w14:paraId="439FF9D6" w14:textId="77777777" w:rsidR="00C66E31" w:rsidRPr="00C66E31" w:rsidRDefault="00C66E31" w:rsidP="00C66E31">
      <w:pPr>
        <w:numPr>
          <w:ilvl w:val="2"/>
          <w:numId w:val="40"/>
        </w:numPr>
        <w:spacing w:after="0" w:line="240" w:lineRule="auto"/>
        <w:ind w:right="524"/>
        <w:textAlignment w:val="baseline"/>
        <w:rPr>
          <w:rFonts w:ascii="Arial" w:eastAsia="Times New Roman" w:hAnsi="Arial" w:cs="Arial"/>
          <w:color w:val="000000"/>
          <w:kern w:val="0"/>
          <w:sz w:val="24"/>
          <w:szCs w:val="24"/>
          <w14:ligatures w14:val="none"/>
        </w:rPr>
      </w:pPr>
      <w:r w:rsidRPr="00C66E31">
        <w:rPr>
          <w:rFonts w:ascii="Arial" w:eastAsia="Times New Roman" w:hAnsi="Arial" w:cs="Arial"/>
          <w:color w:val="000000"/>
          <w:kern w:val="0"/>
          <w:sz w:val="24"/>
          <w:szCs w:val="24"/>
          <w14:ligatures w14:val="none"/>
        </w:rPr>
        <w:t>The Applicant Response to Review is complete; and</w:t>
      </w:r>
    </w:p>
    <w:p w14:paraId="6B405052" w14:textId="77777777" w:rsidR="00C66E31" w:rsidRPr="00C66E31" w:rsidRDefault="00C66E31" w:rsidP="00C66E31">
      <w:pPr>
        <w:numPr>
          <w:ilvl w:val="2"/>
          <w:numId w:val="41"/>
        </w:numPr>
        <w:spacing w:after="0" w:line="240" w:lineRule="auto"/>
        <w:ind w:left="2880" w:right="524"/>
        <w:textAlignment w:val="baseline"/>
        <w:rPr>
          <w:rFonts w:ascii="Arial" w:eastAsia="Times New Roman" w:hAnsi="Arial" w:cs="Arial"/>
          <w:color w:val="000000"/>
          <w:kern w:val="0"/>
          <w:sz w:val="24"/>
          <w:szCs w:val="24"/>
          <w14:ligatures w14:val="none"/>
        </w:rPr>
      </w:pPr>
      <w:r w:rsidRPr="00C66E31">
        <w:rPr>
          <w:rFonts w:ascii="Arial" w:eastAsia="Times New Roman" w:hAnsi="Arial" w:cs="Arial"/>
          <w:color w:val="000000"/>
          <w:kern w:val="0"/>
          <w:sz w:val="24"/>
          <w:szCs w:val="24"/>
          <w14:ligatures w14:val="none"/>
        </w:rPr>
        <w:t>The Administrative Land Use Authority provides a written statement to the applicant stating completion of the review cycle and next required steps for approval</w:t>
      </w:r>
    </w:p>
    <w:p w14:paraId="1D5641DE" w14:textId="77777777" w:rsidR="00C66E31" w:rsidRPr="00C66E31" w:rsidRDefault="00C66E31" w:rsidP="00C66E31">
      <w:pPr>
        <w:numPr>
          <w:ilvl w:val="1"/>
          <w:numId w:val="42"/>
        </w:numPr>
        <w:spacing w:after="0" w:line="240" w:lineRule="auto"/>
        <w:ind w:left="2160" w:right="524"/>
        <w:textAlignment w:val="baseline"/>
        <w:rPr>
          <w:rFonts w:ascii="Arial" w:eastAsia="Times New Roman" w:hAnsi="Arial" w:cs="Arial"/>
          <w:color w:val="000000"/>
          <w:kern w:val="0"/>
          <w:sz w:val="24"/>
          <w:szCs w:val="24"/>
          <w14:ligatures w14:val="none"/>
        </w:rPr>
      </w:pPr>
      <w:r w:rsidRPr="00C66E31">
        <w:rPr>
          <w:rFonts w:ascii="Arial" w:eastAsia="Times New Roman" w:hAnsi="Arial" w:cs="Arial"/>
          <w:color w:val="000000"/>
          <w:kern w:val="0"/>
          <w:sz w:val="24"/>
          <w:szCs w:val="24"/>
          <w14:ligatures w14:val="none"/>
        </w:rPr>
        <w:t> Review Cycle exceptions as follows:</w:t>
      </w:r>
    </w:p>
    <w:p w14:paraId="1129A0AB" w14:textId="77777777" w:rsidR="00C66E31" w:rsidRPr="00C66E31" w:rsidRDefault="00C66E31" w:rsidP="00C66E31">
      <w:pPr>
        <w:numPr>
          <w:ilvl w:val="2"/>
          <w:numId w:val="43"/>
        </w:numPr>
        <w:spacing w:after="0" w:line="240" w:lineRule="auto"/>
        <w:ind w:right="524"/>
        <w:textAlignment w:val="baseline"/>
        <w:rPr>
          <w:rFonts w:ascii="Arial" w:eastAsia="Times New Roman" w:hAnsi="Arial" w:cs="Arial"/>
          <w:color w:val="000000"/>
          <w:kern w:val="0"/>
          <w:sz w:val="24"/>
          <w:szCs w:val="24"/>
          <w14:ligatures w14:val="none"/>
        </w:rPr>
      </w:pPr>
      <w:r w:rsidRPr="00C66E31">
        <w:rPr>
          <w:rFonts w:ascii="Arial" w:eastAsia="Times New Roman" w:hAnsi="Arial" w:cs="Arial"/>
          <w:color w:val="000000"/>
          <w:kern w:val="0"/>
          <w:sz w:val="24"/>
          <w:szCs w:val="24"/>
          <w14:ligatures w14:val="none"/>
        </w:rPr>
        <w:t>Additional Review Cycle(s).  May be required when a modification or correction is necessary to protect public health and safety or to enforce state or federal law when a change or correction is necessitated by the Applicant’s adjustment to a plan set or an update to a phase plan that adjusts infrastructure needed for the specific development.</w:t>
      </w:r>
    </w:p>
    <w:p w14:paraId="05056A62" w14:textId="77777777" w:rsidR="00C66E31" w:rsidRPr="00C66E31" w:rsidRDefault="00C66E31" w:rsidP="00C66E31">
      <w:pPr>
        <w:numPr>
          <w:ilvl w:val="2"/>
          <w:numId w:val="44"/>
        </w:numPr>
        <w:spacing w:after="0" w:line="240" w:lineRule="auto"/>
        <w:ind w:right="524"/>
        <w:textAlignment w:val="baseline"/>
        <w:rPr>
          <w:rFonts w:ascii="Arial" w:eastAsia="Times New Roman" w:hAnsi="Arial" w:cs="Arial"/>
          <w:color w:val="000000"/>
          <w:kern w:val="0"/>
          <w:sz w:val="24"/>
          <w:szCs w:val="24"/>
          <w14:ligatures w14:val="none"/>
        </w:rPr>
      </w:pPr>
      <w:r w:rsidRPr="00C66E31">
        <w:rPr>
          <w:rFonts w:ascii="Arial" w:eastAsia="Times New Roman" w:hAnsi="Arial" w:cs="Arial"/>
          <w:color w:val="000000"/>
          <w:kern w:val="0"/>
          <w:sz w:val="24"/>
          <w:szCs w:val="24"/>
          <w14:ligatures w14:val="none"/>
        </w:rPr>
        <w:t>Additional Time for Review.  If the Applicant does not submit a revised plat within twenty (20) business days after the Administrative Land Use Authority requires a modification or correction, the Administrative Land Use Authority shall have an additional twenty (20) days to respond.   </w:t>
      </w:r>
    </w:p>
    <w:p w14:paraId="3BCEF629"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0DC66474"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Section 23 was also added:</w:t>
      </w:r>
    </w:p>
    <w:p w14:paraId="0F087CA7"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53A2C338"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b/>
          <w:bCs/>
          <w:color w:val="202429"/>
          <w:kern w:val="0"/>
          <w:sz w:val="24"/>
          <w:szCs w:val="24"/>
          <w14:ligatures w14:val="none"/>
        </w:rPr>
        <w:t>Section 23 - Warranty</w:t>
      </w:r>
    </w:p>
    <w:p w14:paraId="26283029"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6ECC4F30"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202429"/>
          <w:kern w:val="0"/>
          <w:sz w:val="24"/>
          <w:szCs w:val="24"/>
          <w14:ligatures w14:val="none"/>
        </w:rPr>
        <w:lastRenderedPageBreak/>
        <w:t>The applicant or subdivider shall warrant and guarantee that the subdivision improvements, and every part thereof, remain in good condition for a period of one (1) year, after the Planning Commission has initially accepted the improvements, after written request by the applicant or subdivider.  The applicant or subdivider also is responsible for all repairs and maintenance of all subdivision improvements, and every part thereof, in good working condition during the one (1) year warranty period with no cost to the Town, affected entity, or other party.  </w:t>
      </w:r>
    </w:p>
    <w:p w14:paraId="2F06CA6B"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32902697"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A change was also made to the appeal process in 13. F to state that the appeal cost is split 50/50 between the developer and the Town as mandated by SB 174.</w:t>
      </w:r>
    </w:p>
    <w:p w14:paraId="5F253FC7"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p>
    <w:p w14:paraId="330C95BA"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Jim had some changes he wanted made to both applications:</w:t>
      </w:r>
    </w:p>
    <w:p w14:paraId="04D8D1A6"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ab/>
        <w:t>The Scale on the preliminary app shows 1:100 where our ordinance says 1:50</w:t>
      </w:r>
    </w:p>
    <w:p w14:paraId="0CEF6EF3"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ab/>
        <w:t>Both applications make reference to ‘Sewer’ system and Railroads which we</w:t>
      </w:r>
    </w:p>
    <w:p w14:paraId="5880291B" w14:textId="77777777" w:rsidR="00C66E31" w:rsidRPr="00C66E31" w:rsidRDefault="00C66E31" w:rsidP="00C66E31">
      <w:pPr>
        <w:spacing w:after="0" w:line="240" w:lineRule="auto"/>
        <w:ind w:left="720" w:firstLine="720"/>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 don’t have.  Need to be removed.</w:t>
      </w:r>
    </w:p>
    <w:p w14:paraId="47B5DFED" w14:textId="77777777" w:rsidR="00C66E31" w:rsidRPr="00C66E31"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Arial" w:eastAsia="Times New Roman" w:hAnsi="Arial" w:cs="Arial"/>
          <w:color w:val="000000"/>
          <w:kern w:val="0"/>
          <w:sz w:val="24"/>
          <w:szCs w:val="24"/>
          <w14:ligatures w14:val="none"/>
        </w:rPr>
        <w:tab/>
        <w:t>The Final App has a ‘Note’ on the Bicknell Water table which needs to be removed.</w:t>
      </w:r>
    </w:p>
    <w:p w14:paraId="6BEF32DA" w14:textId="275C6F40" w:rsidR="003C01B5" w:rsidRPr="004D0844" w:rsidRDefault="00C66E31" w:rsidP="00C66E31">
      <w:pPr>
        <w:spacing w:after="0" w:line="240" w:lineRule="auto"/>
        <w:rPr>
          <w:rFonts w:ascii="Times New Roman" w:eastAsia="Times New Roman" w:hAnsi="Times New Roman" w:cs="Times New Roman"/>
          <w:kern w:val="0"/>
          <w:sz w:val="24"/>
          <w:szCs w:val="24"/>
          <w14:ligatures w14:val="none"/>
        </w:rPr>
      </w:pPr>
      <w:r w:rsidRPr="00C66E31">
        <w:rPr>
          <w:rFonts w:ascii="Times New Roman" w:eastAsia="Times New Roman" w:hAnsi="Times New Roman" w:cs="Times New Roman"/>
          <w:kern w:val="0"/>
          <w:sz w:val="24"/>
          <w:szCs w:val="24"/>
          <w14:ligatures w14:val="none"/>
        </w:rPr>
        <w:br/>
      </w:r>
      <w:r w:rsidRPr="00C66E31">
        <w:rPr>
          <w:rFonts w:ascii="Times New Roman" w:eastAsia="Times New Roman" w:hAnsi="Times New Roman" w:cs="Times New Roman"/>
          <w:kern w:val="0"/>
          <w:sz w:val="24"/>
          <w:szCs w:val="24"/>
          <w14:ligatures w14:val="none"/>
        </w:rPr>
        <w:br/>
      </w:r>
      <w:r w:rsidRPr="00C66E31">
        <w:rPr>
          <w:rFonts w:ascii="Arial" w:eastAsia="Times New Roman" w:hAnsi="Arial" w:cs="Arial"/>
          <w:b/>
          <w:bCs/>
          <w:color w:val="000000"/>
          <w:kern w:val="0"/>
          <w:sz w:val="26"/>
          <w:szCs w:val="26"/>
          <w14:ligatures w14:val="none"/>
        </w:rPr>
        <w:t>The meeting was adjourned.</w:t>
      </w:r>
      <w:r w:rsidRPr="00C66E31">
        <w:rPr>
          <w:rFonts w:ascii="Arial" w:eastAsia="Times New Roman" w:hAnsi="Arial" w:cs="Arial"/>
          <w:color w:val="000000"/>
          <w:kern w:val="0"/>
          <w:sz w:val="26"/>
          <w:szCs w:val="26"/>
          <w14:ligatures w14:val="none"/>
        </w:rPr>
        <w:t xml:space="preserve">        </w:t>
      </w:r>
    </w:p>
    <w:sectPr w:rsidR="003C01B5" w:rsidRPr="004D0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B530C"/>
    <w:multiLevelType w:val="multilevel"/>
    <w:tmpl w:val="6E0C5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4663B1"/>
    <w:multiLevelType w:val="multilevel"/>
    <w:tmpl w:val="B4A22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F939D3"/>
    <w:multiLevelType w:val="multilevel"/>
    <w:tmpl w:val="1256F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0D69A6"/>
    <w:multiLevelType w:val="multilevel"/>
    <w:tmpl w:val="960CCF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0063CB"/>
    <w:multiLevelType w:val="multilevel"/>
    <w:tmpl w:val="627236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8F507C"/>
    <w:multiLevelType w:val="multilevel"/>
    <w:tmpl w:val="D1844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1F4E7A"/>
    <w:multiLevelType w:val="multilevel"/>
    <w:tmpl w:val="B12A09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936536"/>
    <w:multiLevelType w:val="multilevel"/>
    <w:tmpl w:val="1D2EC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213CD9"/>
    <w:multiLevelType w:val="multilevel"/>
    <w:tmpl w:val="107A7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2E09C3"/>
    <w:multiLevelType w:val="multilevel"/>
    <w:tmpl w:val="46105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805469"/>
    <w:multiLevelType w:val="multilevel"/>
    <w:tmpl w:val="FAD08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D32DD7"/>
    <w:multiLevelType w:val="multilevel"/>
    <w:tmpl w:val="9FBA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EB0173"/>
    <w:multiLevelType w:val="multilevel"/>
    <w:tmpl w:val="73EC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673598"/>
    <w:multiLevelType w:val="multilevel"/>
    <w:tmpl w:val="8848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4D0CF3"/>
    <w:multiLevelType w:val="multilevel"/>
    <w:tmpl w:val="08CA9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537A3E"/>
    <w:multiLevelType w:val="multilevel"/>
    <w:tmpl w:val="DD1AC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CA3E01"/>
    <w:multiLevelType w:val="multilevel"/>
    <w:tmpl w:val="DB12B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332E3B"/>
    <w:multiLevelType w:val="multilevel"/>
    <w:tmpl w:val="76646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A42948"/>
    <w:multiLevelType w:val="multilevel"/>
    <w:tmpl w:val="C5C48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722FC2"/>
    <w:multiLevelType w:val="multilevel"/>
    <w:tmpl w:val="CD363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B31372E"/>
    <w:multiLevelType w:val="multilevel"/>
    <w:tmpl w:val="58A2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9C3174"/>
    <w:multiLevelType w:val="multilevel"/>
    <w:tmpl w:val="E0666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392450"/>
    <w:multiLevelType w:val="multilevel"/>
    <w:tmpl w:val="B5D6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2F121B"/>
    <w:multiLevelType w:val="multilevel"/>
    <w:tmpl w:val="A32C6C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483236A"/>
    <w:multiLevelType w:val="multilevel"/>
    <w:tmpl w:val="B16E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AA2E18"/>
    <w:multiLevelType w:val="multilevel"/>
    <w:tmpl w:val="09AE9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3554274">
    <w:abstractNumId w:val="9"/>
  </w:num>
  <w:num w:numId="2" w16cid:durableId="2132430056">
    <w:abstractNumId w:val="24"/>
  </w:num>
  <w:num w:numId="3" w16cid:durableId="1654482170">
    <w:abstractNumId w:val="5"/>
  </w:num>
  <w:num w:numId="4" w16cid:durableId="1149516602">
    <w:abstractNumId w:val="8"/>
  </w:num>
  <w:num w:numId="5" w16cid:durableId="673462440">
    <w:abstractNumId w:val="20"/>
  </w:num>
  <w:num w:numId="6" w16cid:durableId="1877425464">
    <w:abstractNumId w:val="15"/>
  </w:num>
  <w:num w:numId="7" w16cid:durableId="2114739424">
    <w:abstractNumId w:val="16"/>
  </w:num>
  <w:num w:numId="8" w16cid:durableId="2096701204">
    <w:abstractNumId w:val="13"/>
  </w:num>
  <w:num w:numId="9" w16cid:durableId="731807725">
    <w:abstractNumId w:val="22"/>
  </w:num>
  <w:num w:numId="10" w16cid:durableId="506821898">
    <w:abstractNumId w:val="25"/>
  </w:num>
  <w:num w:numId="11" w16cid:durableId="1648166152">
    <w:abstractNumId w:val="17"/>
  </w:num>
  <w:num w:numId="12" w16cid:durableId="1853763434">
    <w:abstractNumId w:val="11"/>
  </w:num>
  <w:num w:numId="13" w16cid:durableId="1819954009">
    <w:abstractNumId w:val="12"/>
    <w:lvlOverride w:ilvl="0">
      <w:lvl w:ilvl="0">
        <w:numFmt w:val="lowerLetter"/>
        <w:lvlText w:val="%1."/>
        <w:lvlJc w:val="left"/>
      </w:lvl>
    </w:lvlOverride>
  </w:num>
  <w:num w:numId="14" w16cid:durableId="763846544">
    <w:abstractNumId w:val="10"/>
  </w:num>
  <w:num w:numId="15" w16cid:durableId="25717773">
    <w:abstractNumId w:val="23"/>
    <w:lvlOverride w:ilvl="0">
      <w:lvl w:ilvl="0">
        <w:numFmt w:val="upperLetter"/>
        <w:lvlText w:val="%1."/>
        <w:lvlJc w:val="left"/>
      </w:lvl>
    </w:lvlOverride>
  </w:num>
  <w:num w:numId="16" w16cid:durableId="849097992">
    <w:abstractNumId w:val="23"/>
    <w:lvlOverride w:ilvl="1">
      <w:lvl w:ilvl="1">
        <w:numFmt w:val="lowerLetter"/>
        <w:lvlText w:val="%2."/>
        <w:lvlJc w:val="left"/>
      </w:lvl>
    </w:lvlOverride>
  </w:num>
  <w:num w:numId="17" w16cid:durableId="799880949">
    <w:abstractNumId w:val="23"/>
    <w:lvlOverride w:ilvl="1">
      <w:lvl w:ilvl="1">
        <w:numFmt w:val="lowerLetter"/>
        <w:lvlText w:val="%2."/>
        <w:lvlJc w:val="left"/>
      </w:lvl>
    </w:lvlOverride>
  </w:num>
  <w:num w:numId="18" w16cid:durableId="1523084226">
    <w:abstractNumId w:val="23"/>
    <w:lvlOverride w:ilvl="1">
      <w:lvl w:ilvl="1">
        <w:numFmt w:val="lowerLetter"/>
        <w:lvlText w:val="%2."/>
        <w:lvlJc w:val="left"/>
      </w:lvl>
    </w:lvlOverride>
  </w:num>
  <w:num w:numId="19" w16cid:durableId="141194570">
    <w:abstractNumId w:val="23"/>
    <w:lvlOverride w:ilvl="1">
      <w:lvl w:ilvl="1">
        <w:numFmt w:val="lowerLetter"/>
        <w:lvlText w:val="%2."/>
        <w:lvlJc w:val="left"/>
      </w:lvl>
    </w:lvlOverride>
  </w:num>
  <w:num w:numId="20" w16cid:durableId="1092315830">
    <w:abstractNumId w:val="23"/>
    <w:lvlOverride w:ilvl="1">
      <w:lvl w:ilvl="1">
        <w:numFmt w:val="lowerLetter"/>
        <w:lvlText w:val="%2."/>
        <w:lvlJc w:val="left"/>
      </w:lvl>
    </w:lvlOverride>
  </w:num>
  <w:num w:numId="21" w16cid:durableId="1186482795">
    <w:abstractNumId w:val="23"/>
    <w:lvlOverride w:ilvl="1">
      <w:lvl w:ilvl="1">
        <w:numFmt w:val="lowerLetter"/>
        <w:lvlText w:val="%2."/>
        <w:lvlJc w:val="left"/>
      </w:lvl>
    </w:lvlOverride>
  </w:num>
  <w:num w:numId="22" w16cid:durableId="411898924">
    <w:abstractNumId w:val="2"/>
  </w:num>
  <w:num w:numId="23" w16cid:durableId="1843006089">
    <w:abstractNumId w:val="0"/>
  </w:num>
  <w:num w:numId="24" w16cid:durableId="233200345">
    <w:abstractNumId w:val="18"/>
  </w:num>
  <w:num w:numId="25" w16cid:durableId="577906129">
    <w:abstractNumId w:val="1"/>
  </w:num>
  <w:num w:numId="26" w16cid:durableId="2090691710">
    <w:abstractNumId w:val="19"/>
    <w:lvlOverride w:ilvl="0">
      <w:lvl w:ilvl="0">
        <w:numFmt w:val="lowerLetter"/>
        <w:lvlText w:val="%1."/>
        <w:lvlJc w:val="left"/>
      </w:lvl>
    </w:lvlOverride>
  </w:num>
  <w:num w:numId="27" w16cid:durableId="2115899661">
    <w:abstractNumId w:val="19"/>
    <w:lvlOverride w:ilvl="0">
      <w:lvl w:ilvl="0">
        <w:numFmt w:val="lowerLetter"/>
        <w:lvlText w:val="%1."/>
        <w:lvlJc w:val="left"/>
      </w:lvl>
    </w:lvlOverride>
  </w:num>
  <w:num w:numId="28" w16cid:durableId="1972635158">
    <w:abstractNumId w:val="19"/>
    <w:lvlOverride w:ilvl="0">
      <w:lvl w:ilvl="0">
        <w:numFmt w:val="lowerLetter"/>
        <w:lvlText w:val="%1."/>
        <w:lvlJc w:val="left"/>
      </w:lvl>
    </w:lvlOverride>
  </w:num>
  <w:num w:numId="29" w16cid:durableId="1489832883">
    <w:abstractNumId w:val="19"/>
    <w:lvlOverride w:ilvl="0">
      <w:lvl w:ilvl="0">
        <w:numFmt w:val="lowerLetter"/>
        <w:lvlText w:val="%1."/>
        <w:lvlJc w:val="left"/>
      </w:lvl>
    </w:lvlOverride>
  </w:num>
  <w:num w:numId="30" w16cid:durableId="1971085917">
    <w:abstractNumId w:val="4"/>
    <w:lvlOverride w:ilvl="0">
      <w:lvl w:ilvl="0">
        <w:numFmt w:val="decimal"/>
        <w:lvlText w:val="%1."/>
        <w:lvlJc w:val="left"/>
      </w:lvl>
    </w:lvlOverride>
  </w:num>
  <w:num w:numId="31" w16cid:durableId="37516229">
    <w:abstractNumId w:val="21"/>
    <w:lvlOverride w:ilvl="0">
      <w:lvl w:ilvl="0">
        <w:numFmt w:val="upperLetter"/>
        <w:lvlText w:val="%1."/>
        <w:lvlJc w:val="left"/>
      </w:lvl>
    </w:lvlOverride>
  </w:num>
  <w:num w:numId="32" w16cid:durableId="426076744">
    <w:abstractNumId w:val="14"/>
  </w:num>
  <w:num w:numId="33" w16cid:durableId="2015299498">
    <w:abstractNumId w:val="3"/>
  </w:num>
  <w:num w:numId="34" w16cid:durableId="1127510912">
    <w:abstractNumId w:val="3"/>
    <w:lvlOverride w:ilvl="1">
      <w:lvl w:ilvl="1">
        <w:numFmt w:val="lowerLetter"/>
        <w:lvlText w:val="%2."/>
        <w:lvlJc w:val="left"/>
      </w:lvl>
    </w:lvlOverride>
  </w:num>
  <w:num w:numId="35" w16cid:durableId="1048528728">
    <w:abstractNumId w:val="7"/>
    <w:lvlOverride w:ilvl="0">
      <w:lvl w:ilvl="0">
        <w:numFmt w:val="lowerLetter"/>
        <w:lvlText w:val="%1."/>
        <w:lvlJc w:val="left"/>
      </w:lvl>
    </w:lvlOverride>
  </w:num>
  <w:num w:numId="36" w16cid:durableId="399251987">
    <w:abstractNumId w:val="6"/>
  </w:num>
  <w:num w:numId="37" w16cid:durableId="1030496849">
    <w:abstractNumId w:val="6"/>
    <w:lvlOverride w:ilvl="1">
      <w:lvl w:ilvl="1">
        <w:numFmt w:val="lowerLetter"/>
        <w:lvlText w:val="%2."/>
        <w:lvlJc w:val="left"/>
      </w:lvl>
    </w:lvlOverride>
  </w:num>
  <w:num w:numId="38" w16cid:durableId="1806005355">
    <w:abstractNumId w:val="6"/>
    <w:lvlOverride w:ilvl="2">
      <w:lvl w:ilvl="2">
        <w:numFmt w:val="lowerRoman"/>
        <w:lvlText w:val="%3."/>
        <w:lvlJc w:val="right"/>
      </w:lvl>
    </w:lvlOverride>
  </w:num>
  <w:num w:numId="39" w16cid:durableId="1074083686">
    <w:abstractNumId w:val="6"/>
    <w:lvlOverride w:ilvl="2">
      <w:lvl w:ilvl="2">
        <w:numFmt w:val="lowerRoman"/>
        <w:lvlText w:val="%3."/>
        <w:lvlJc w:val="right"/>
      </w:lvl>
    </w:lvlOverride>
  </w:num>
  <w:num w:numId="40" w16cid:durableId="763842627">
    <w:abstractNumId w:val="6"/>
    <w:lvlOverride w:ilvl="2">
      <w:lvl w:ilvl="2">
        <w:numFmt w:val="lowerRoman"/>
        <w:lvlText w:val="%3."/>
        <w:lvlJc w:val="right"/>
      </w:lvl>
    </w:lvlOverride>
  </w:num>
  <w:num w:numId="41" w16cid:durableId="36975114">
    <w:abstractNumId w:val="6"/>
    <w:lvlOverride w:ilvl="2">
      <w:lvl w:ilvl="2">
        <w:numFmt w:val="lowerRoman"/>
        <w:lvlText w:val="%3."/>
        <w:lvlJc w:val="right"/>
      </w:lvl>
    </w:lvlOverride>
  </w:num>
  <w:num w:numId="42" w16cid:durableId="2114858009">
    <w:abstractNumId w:val="6"/>
    <w:lvlOverride w:ilvl="1">
      <w:lvl w:ilvl="1">
        <w:numFmt w:val="lowerLetter"/>
        <w:lvlText w:val="%2."/>
        <w:lvlJc w:val="left"/>
      </w:lvl>
    </w:lvlOverride>
  </w:num>
  <w:num w:numId="43" w16cid:durableId="173688590">
    <w:abstractNumId w:val="6"/>
    <w:lvlOverride w:ilvl="2">
      <w:lvl w:ilvl="2">
        <w:numFmt w:val="lowerRoman"/>
        <w:lvlText w:val="%3."/>
        <w:lvlJc w:val="right"/>
      </w:lvl>
    </w:lvlOverride>
  </w:num>
  <w:num w:numId="44" w16cid:durableId="1356233082">
    <w:abstractNumId w:val="6"/>
    <w:lvlOverride w:ilvl="2">
      <w:lvl w:ilvl="2">
        <w:numFmt w:val="lowerRoman"/>
        <w:lvlText w:val="%3."/>
        <w:lvlJc w:val="righ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A81"/>
    <w:rsid w:val="0032109C"/>
    <w:rsid w:val="00334F7F"/>
    <w:rsid w:val="003C01B5"/>
    <w:rsid w:val="004D0844"/>
    <w:rsid w:val="00512A81"/>
    <w:rsid w:val="0054174D"/>
    <w:rsid w:val="008A783E"/>
    <w:rsid w:val="008C580B"/>
    <w:rsid w:val="00B42D86"/>
    <w:rsid w:val="00C379A5"/>
    <w:rsid w:val="00C650D5"/>
    <w:rsid w:val="00C66E31"/>
    <w:rsid w:val="00F44CBC"/>
    <w:rsid w:val="00FC0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D6F4F6"/>
  <w15:chartTrackingRefBased/>
  <w15:docId w15:val="{58947AC3-3D5D-4B78-8352-0531D8F0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2A8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3793350">
      <w:bodyDiv w:val="1"/>
      <w:marLeft w:val="0"/>
      <w:marRight w:val="0"/>
      <w:marTop w:val="0"/>
      <w:marBottom w:val="0"/>
      <w:divBdr>
        <w:top w:val="none" w:sz="0" w:space="0" w:color="auto"/>
        <w:left w:val="none" w:sz="0" w:space="0" w:color="auto"/>
        <w:bottom w:val="none" w:sz="0" w:space="0" w:color="auto"/>
        <w:right w:val="none" w:sz="0" w:space="0" w:color="auto"/>
      </w:divBdr>
    </w:div>
    <w:div w:id="477461518">
      <w:bodyDiv w:val="1"/>
      <w:marLeft w:val="0"/>
      <w:marRight w:val="0"/>
      <w:marTop w:val="0"/>
      <w:marBottom w:val="0"/>
      <w:divBdr>
        <w:top w:val="none" w:sz="0" w:space="0" w:color="auto"/>
        <w:left w:val="none" w:sz="0" w:space="0" w:color="auto"/>
        <w:bottom w:val="none" w:sz="0" w:space="0" w:color="auto"/>
        <w:right w:val="none" w:sz="0" w:space="0" w:color="auto"/>
      </w:divBdr>
    </w:div>
    <w:div w:id="577056915">
      <w:bodyDiv w:val="1"/>
      <w:marLeft w:val="0"/>
      <w:marRight w:val="0"/>
      <w:marTop w:val="0"/>
      <w:marBottom w:val="0"/>
      <w:divBdr>
        <w:top w:val="none" w:sz="0" w:space="0" w:color="auto"/>
        <w:left w:val="none" w:sz="0" w:space="0" w:color="auto"/>
        <w:bottom w:val="none" w:sz="0" w:space="0" w:color="auto"/>
        <w:right w:val="none" w:sz="0" w:space="0" w:color="auto"/>
      </w:divBdr>
    </w:div>
    <w:div w:id="837689920">
      <w:bodyDiv w:val="1"/>
      <w:marLeft w:val="0"/>
      <w:marRight w:val="0"/>
      <w:marTop w:val="0"/>
      <w:marBottom w:val="0"/>
      <w:divBdr>
        <w:top w:val="none" w:sz="0" w:space="0" w:color="auto"/>
        <w:left w:val="none" w:sz="0" w:space="0" w:color="auto"/>
        <w:bottom w:val="none" w:sz="0" w:space="0" w:color="auto"/>
        <w:right w:val="none" w:sz="0" w:space="0" w:color="auto"/>
      </w:divBdr>
    </w:div>
    <w:div w:id="985166155">
      <w:bodyDiv w:val="1"/>
      <w:marLeft w:val="0"/>
      <w:marRight w:val="0"/>
      <w:marTop w:val="0"/>
      <w:marBottom w:val="0"/>
      <w:divBdr>
        <w:top w:val="none" w:sz="0" w:space="0" w:color="auto"/>
        <w:left w:val="none" w:sz="0" w:space="0" w:color="auto"/>
        <w:bottom w:val="none" w:sz="0" w:space="0" w:color="auto"/>
        <w:right w:val="none" w:sz="0" w:space="0" w:color="auto"/>
      </w:divBdr>
    </w:div>
    <w:div w:id="1253200877">
      <w:bodyDiv w:val="1"/>
      <w:marLeft w:val="0"/>
      <w:marRight w:val="0"/>
      <w:marTop w:val="0"/>
      <w:marBottom w:val="0"/>
      <w:divBdr>
        <w:top w:val="none" w:sz="0" w:space="0" w:color="auto"/>
        <w:left w:val="none" w:sz="0" w:space="0" w:color="auto"/>
        <w:bottom w:val="none" w:sz="0" w:space="0" w:color="auto"/>
        <w:right w:val="none" w:sz="0" w:space="0" w:color="auto"/>
      </w:divBdr>
    </w:div>
    <w:div w:id="1600482687">
      <w:bodyDiv w:val="1"/>
      <w:marLeft w:val="0"/>
      <w:marRight w:val="0"/>
      <w:marTop w:val="0"/>
      <w:marBottom w:val="0"/>
      <w:divBdr>
        <w:top w:val="none" w:sz="0" w:space="0" w:color="auto"/>
        <w:left w:val="none" w:sz="0" w:space="0" w:color="auto"/>
        <w:bottom w:val="none" w:sz="0" w:space="0" w:color="auto"/>
        <w:right w:val="none" w:sz="0" w:space="0" w:color="auto"/>
      </w:divBdr>
    </w:div>
    <w:div w:id="196654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1305</Words>
  <Characters>6483</Characters>
  <Application>Microsoft Office Word</Application>
  <DocSecurity>0</DocSecurity>
  <Lines>156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Gregg Anderson</dc:creator>
  <cp:keywords/>
  <dc:description/>
  <cp:lastModifiedBy>Kelsey Brinkerhoff</cp:lastModifiedBy>
  <cp:revision>2</cp:revision>
  <dcterms:created xsi:type="dcterms:W3CDTF">2024-08-21T19:39:00Z</dcterms:created>
  <dcterms:modified xsi:type="dcterms:W3CDTF">2024-08-21T19:39:00Z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2f1efe972974f382675404923142dd20de6d073cfeae7b52740c85eb45202e7c</vt:lpwstr>
  </property>
</Properties>
</file>