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0" w:hanging="2"/>
        <w:jc w:val="center"/>
        <w:rPr>
          <w:b w:val="1"/>
          <w:sz w:val="24"/>
          <w:szCs w:val="24"/>
          <w:u w:val="single"/>
        </w:rPr>
      </w:pPr>
      <w:r w:rsidDel="00000000" w:rsidR="00000000" w:rsidRPr="00000000">
        <w:rPr>
          <w:b w:val="1"/>
          <w:sz w:val="24"/>
          <w:szCs w:val="24"/>
          <w:u w:val="single"/>
          <w:rtl w:val="0"/>
        </w:rPr>
        <w:t xml:space="preserve">ERDA, UTAH</w:t>
      </w:r>
    </w:p>
    <w:p w:rsidR="00000000" w:rsidDel="00000000" w:rsidP="00000000" w:rsidRDefault="00000000" w:rsidRPr="00000000" w14:paraId="00000002">
      <w:pPr>
        <w:ind w:left="0" w:hanging="2"/>
        <w:jc w:val="center"/>
        <w:rPr>
          <w:b w:val="1"/>
          <w:sz w:val="24"/>
          <w:szCs w:val="24"/>
        </w:rPr>
      </w:pPr>
      <w:r w:rsidDel="00000000" w:rsidR="00000000" w:rsidRPr="00000000">
        <w:rPr>
          <w:b w:val="1"/>
          <w:sz w:val="24"/>
          <w:szCs w:val="24"/>
          <w:u w:val="single"/>
          <w:rtl w:val="0"/>
        </w:rPr>
        <w:t xml:space="preserve">ORDINANCE NO. 24-09__</w:t>
      </w:r>
      <w:r w:rsidDel="00000000" w:rsidR="00000000" w:rsidRPr="00000000">
        <w:rPr>
          <w:rtl w:val="0"/>
        </w:rPr>
      </w:r>
    </w:p>
    <w:p w:rsidR="00000000" w:rsidDel="00000000" w:rsidP="00000000" w:rsidRDefault="00000000" w:rsidRPr="00000000" w14:paraId="00000003">
      <w:pPr>
        <w:tabs>
          <w:tab w:val="center" w:leader="none" w:pos="4680"/>
        </w:tabs>
        <w:ind w:left="0" w:hanging="2"/>
        <w:jc w:val="center"/>
        <w:rPr>
          <w:b w:val="1"/>
          <w:sz w:val="24"/>
          <w:szCs w:val="24"/>
        </w:rPr>
      </w:pPr>
      <w:r w:rsidDel="00000000" w:rsidR="00000000" w:rsidRPr="00000000">
        <w:rPr>
          <w:rtl w:val="0"/>
        </w:rPr>
      </w:r>
    </w:p>
    <w:p w:rsidR="00000000" w:rsidDel="00000000" w:rsidP="00000000" w:rsidRDefault="00000000" w:rsidRPr="00000000" w14:paraId="00000004">
      <w:pPr>
        <w:tabs>
          <w:tab w:val="center" w:leader="none" w:pos="4680"/>
        </w:tabs>
        <w:ind w:left="0" w:hanging="2"/>
        <w:jc w:val="center"/>
        <w:rPr>
          <w:b w:val="1"/>
          <w:sz w:val="24"/>
          <w:szCs w:val="24"/>
        </w:rPr>
      </w:pPr>
      <w:r w:rsidDel="00000000" w:rsidR="00000000" w:rsidRPr="00000000">
        <w:rPr>
          <w:rtl w:val="0"/>
        </w:rPr>
      </w:r>
    </w:p>
    <w:p w:rsidR="00000000" w:rsidDel="00000000" w:rsidP="00000000" w:rsidRDefault="00000000" w:rsidRPr="00000000" w14:paraId="00000005">
      <w:pPr>
        <w:ind w:left="0" w:hanging="2"/>
        <w:jc w:val="center"/>
        <w:rPr>
          <w:b w:val="1"/>
          <w:sz w:val="23"/>
          <w:szCs w:val="23"/>
        </w:rPr>
      </w:pPr>
      <w:r w:rsidDel="00000000" w:rsidR="00000000" w:rsidRPr="00000000">
        <w:rPr>
          <w:b w:val="1"/>
          <w:sz w:val="24"/>
          <w:szCs w:val="24"/>
          <w:rtl w:val="0"/>
        </w:rPr>
        <w:t xml:space="preserve">AN ORDINANCE GRANTING A </w:t>
      </w:r>
      <w:r w:rsidDel="00000000" w:rsidR="00000000" w:rsidRPr="00000000">
        <w:rPr>
          <w:b w:val="1"/>
          <w:sz w:val="23"/>
          <w:szCs w:val="23"/>
          <w:rtl w:val="0"/>
        </w:rPr>
        <w:t xml:space="preserve">CABLE TELEVISION FRANCHISE AGREEMENT TO COMCAST OF UTAH II, INC.</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pacing w:line="240" w:lineRule="auto"/>
        <w:ind w:left="0" w:hanging="2"/>
        <w:jc w:val="center"/>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007">
      <w:pPr>
        <w:spacing w:line="215" w:lineRule="auto"/>
        <w:ind w:left="0" w:hanging="2"/>
        <w:rPr>
          <w:sz w:val="24"/>
          <w:szCs w:val="24"/>
        </w:rPr>
      </w:pPr>
      <w:r w:rsidDel="00000000" w:rsidR="00000000" w:rsidRPr="00000000">
        <w:rPr>
          <w:rtl w:val="0"/>
        </w:rPr>
      </w:r>
    </w:p>
    <w:p w:rsidR="00000000" w:rsidDel="00000000" w:rsidP="00000000" w:rsidRDefault="00000000" w:rsidRPr="00000000" w14:paraId="00000008">
      <w:pPr>
        <w:ind w:left="0" w:hanging="2"/>
        <w:jc w:val="both"/>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the Erda City Council (“Council”) met in a regular on July 11th, 2024, to consider, among other things, granting a </w:t>
      </w:r>
      <w:r w:rsidDel="00000000" w:rsidR="00000000" w:rsidRPr="00000000">
        <w:rPr>
          <w:sz w:val="23"/>
          <w:szCs w:val="23"/>
          <w:rtl w:val="0"/>
        </w:rPr>
        <w:t xml:space="preserve">Cable Television Franchise Agreement to Comcast Of Utah II, Inc</w:t>
      </w:r>
      <w:r w:rsidDel="00000000" w:rsidR="00000000" w:rsidRPr="00000000">
        <w:rPr>
          <w:sz w:val="24"/>
          <w:szCs w:val="24"/>
          <w:rtl w:val="0"/>
        </w:rPr>
        <w:t xml:space="preserve">; and</w:t>
      </w:r>
    </w:p>
    <w:p w:rsidR="00000000" w:rsidDel="00000000" w:rsidP="00000000" w:rsidRDefault="00000000" w:rsidRPr="00000000" w14:paraId="00000009">
      <w:pPr>
        <w:widowControl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35" w:lineRule="auto"/>
        <w:ind w:left="0" w:hanging="2"/>
        <w:jc w:val="both"/>
        <w:rPr>
          <w:sz w:val="24"/>
          <w:szCs w:val="24"/>
        </w:rPr>
      </w:pPr>
      <w:r w:rsidDel="00000000" w:rsidR="00000000" w:rsidRPr="00000000">
        <w:rPr>
          <w:rtl w:val="0"/>
        </w:rPr>
      </w:r>
    </w:p>
    <w:p w:rsidR="00000000" w:rsidDel="00000000" w:rsidP="00000000" w:rsidRDefault="00000000" w:rsidRPr="00000000" w14:paraId="0000000A">
      <w:pPr>
        <w:spacing w:line="215" w:lineRule="auto"/>
        <w:ind w:left="0" w:hanging="2"/>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0B">
      <w:pPr>
        <w:ind w:left="0" w:hanging="2"/>
        <w:jc w:val="both"/>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the Council </w:t>
      </w:r>
      <w:r w:rsidDel="00000000" w:rsidR="00000000" w:rsidRPr="00000000">
        <w:rPr>
          <w:sz w:val="23"/>
          <w:szCs w:val="23"/>
          <w:rtl w:val="0"/>
        </w:rPr>
        <w:t xml:space="preserve">having determined that the financial, legal and technical abilities of Comcast Of Utah II, Inc  are reasonably sufficient to provide the services, facilities, and equipment necessary to meet the future cable-related needs of the City, desires to enter into this Franchise Agreement with the Comcast Of Utah II, Inc  for the construction, operation and maintenance of a Cable System on the terms and conditions in the attached franchise  agreement (“Franchise Agreement”)</w:t>
      </w:r>
      <w:r w:rsidDel="00000000" w:rsidR="00000000" w:rsidRPr="00000000">
        <w:rPr>
          <w:sz w:val="24"/>
          <w:szCs w:val="24"/>
          <w:rtl w:val="0"/>
        </w:rPr>
        <w:t xml:space="preserve">; and</w:t>
      </w:r>
    </w:p>
    <w:p w:rsidR="00000000" w:rsidDel="00000000" w:rsidP="00000000" w:rsidRDefault="00000000" w:rsidRPr="00000000" w14:paraId="0000000C">
      <w:pPr>
        <w:spacing w:line="215" w:lineRule="auto"/>
        <w:ind w:left="0" w:hanging="2"/>
        <w:jc w:val="both"/>
        <w:rPr>
          <w:sz w:val="24"/>
          <w:szCs w:val="24"/>
        </w:rPr>
      </w:pPr>
      <w:r w:rsidDel="00000000" w:rsidR="00000000" w:rsidRPr="00000000">
        <w:rPr>
          <w:rtl w:val="0"/>
        </w:rPr>
      </w:r>
    </w:p>
    <w:p w:rsidR="00000000" w:rsidDel="00000000" w:rsidP="00000000" w:rsidRDefault="00000000" w:rsidRPr="00000000" w14:paraId="0000000D">
      <w:pPr>
        <w:spacing w:line="215" w:lineRule="auto"/>
        <w:ind w:left="0" w:hanging="2"/>
        <w:jc w:val="both"/>
        <w:rPr>
          <w:sz w:val="24"/>
          <w:szCs w:val="24"/>
        </w:rPr>
      </w:pPr>
      <w:r w:rsidDel="00000000" w:rsidR="00000000" w:rsidRPr="00000000">
        <w:rPr>
          <w:sz w:val="24"/>
          <w:szCs w:val="24"/>
          <w:rtl w:val="0"/>
        </w:rPr>
        <w:tab/>
      </w:r>
    </w:p>
    <w:p w:rsidR="00000000" w:rsidDel="00000000" w:rsidP="00000000" w:rsidRDefault="00000000" w:rsidRPr="00000000" w14:paraId="0000000E">
      <w:pPr>
        <w:spacing w:line="215" w:lineRule="auto"/>
        <w:ind w:left="0"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Franchise A</w:t>
      </w:r>
      <w:r w:rsidDel="00000000" w:rsidR="00000000" w:rsidRPr="00000000">
        <w:rPr>
          <w:sz w:val="23"/>
          <w:szCs w:val="23"/>
          <w:rtl w:val="0"/>
        </w:rPr>
        <w:t xml:space="preserve">greement is entered into by and between the parties under the authority and shall be governed by the Cable Communications Policy Act of 1984, as amended from time to time, 47 U.S.C. Sections 521 </w:t>
      </w:r>
      <w:r w:rsidDel="00000000" w:rsidR="00000000" w:rsidRPr="00000000">
        <w:rPr>
          <w:i w:val="1"/>
          <w:sz w:val="23"/>
          <w:szCs w:val="23"/>
          <w:rtl w:val="0"/>
        </w:rPr>
        <w:t xml:space="preserve">et seq, </w:t>
      </w:r>
      <w:r w:rsidDel="00000000" w:rsidR="00000000" w:rsidRPr="00000000">
        <w:rPr>
          <w:sz w:val="23"/>
          <w:szCs w:val="23"/>
          <w:rtl w:val="0"/>
        </w:rPr>
        <w:t xml:space="preserve"> and the Utah Municipal Code;</w:t>
      </w:r>
      <w:r w:rsidDel="00000000" w:rsidR="00000000" w:rsidRPr="00000000">
        <w:rPr>
          <w:sz w:val="24"/>
          <w:szCs w:val="24"/>
          <w:rtl w:val="0"/>
        </w:rPr>
        <w:t xml:space="preserve"> and</w:t>
      </w:r>
    </w:p>
    <w:p w:rsidR="00000000" w:rsidDel="00000000" w:rsidP="00000000" w:rsidRDefault="00000000" w:rsidRPr="00000000" w14:paraId="0000000F">
      <w:pPr>
        <w:spacing w:line="215" w:lineRule="auto"/>
        <w:ind w:left="0" w:hanging="2"/>
        <w:jc w:val="both"/>
        <w:rPr>
          <w:sz w:val="24"/>
          <w:szCs w:val="24"/>
        </w:rPr>
      </w:pPr>
      <w:r w:rsidDel="00000000" w:rsidR="00000000" w:rsidRPr="00000000">
        <w:rPr>
          <w:rtl w:val="0"/>
        </w:rPr>
      </w:r>
    </w:p>
    <w:p w:rsidR="00000000" w:rsidDel="00000000" w:rsidP="00000000" w:rsidRDefault="00000000" w:rsidRPr="00000000" w14:paraId="00000010">
      <w:pPr>
        <w:spacing w:line="215" w:lineRule="auto"/>
        <w:ind w:left="0" w:hanging="2"/>
        <w:jc w:val="both"/>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a copy of the Franchise Agreement has been presented to the Council for review and approval; and</w:t>
      </w:r>
    </w:p>
    <w:p w:rsidR="00000000" w:rsidDel="00000000" w:rsidP="00000000" w:rsidRDefault="00000000" w:rsidRPr="00000000" w14:paraId="00000011">
      <w:pPr>
        <w:spacing w:line="215" w:lineRule="auto"/>
        <w:ind w:left="0" w:hanging="2"/>
        <w:jc w:val="both"/>
        <w:rPr>
          <w:sz w:val="24"/>
          <w:szCs w:val="24"/>
        </w:rPr>
      </w:pPr>
      <w:r w:rsidDel="00000000" w:rsidR="00000000" w:rsidRPr="00000000">
        <w:rPr>
          <w:rtl w:val="0"/>
        </w:rPr>
      </w:r>
    </w:p>
    <w:p w:rsidR="00000000" w:rsidDel="00000000" w:rsidP="00000000" w:rsidRDefault="00000000" w:rsidRPr="00000000" w14:paraId="00000012">
      <w:pPr>
        <w:spacing w:line="215" w:lineRule="auto"/>
        <w:ind w:left="0" w:hanging="2"/>
        <w:jc w:val="both"/>
        <w:rPr>
          <w:sz w:val="24"/>
          <w:szCs w:val="24"/>
        </w:rPr>
      </w:pPr>
      <w:r w:rsidDel="00000000" w:rsidR="00000000" w:rsidRPr="00000000">
        <w:rPr>
          <w:sz w:val="24"/>
          <w:szCs w:val="24"/>
          <w:rtl w:val="0"/>
        </w:rPr>
        <w:tab/>
        <w:tab/>
      </w:r>
      <w:r w:rsidDel="00000000" w:rsidR="00000000" w:rsidRPr="00000000">
        <w:rPr>
          <w:b w:val="1"/>
          <w:sz w:val="24"/>
          <w:szCs w:val="24"/>
          <w:rtl w:val="0"/>
        </w:rPr>
        <w:t xml:space="preserve">WHEREAS</w:t>
      </w:r>
      <w:r w:rsidDel="00000000" w:rsidR="00000000" w:rsidRPr="00000000">
        <w:rPr>
          <w:sz w:val="24"/>
          <w:szCs w:val="24"/>
          <w:rtl w:val="0"/>
        </w:rPr>
        <w:t xml:space="preserve">, the Franchise Agreement sets forth the purpose thereof, the extent of participation of the parties, and the rights, duties, and responsibilities of the parties.</w:t>
      </w:r>
    </w:p>
    <w:p w:rsidR="00000000" w:rsidDel="00000000" w:rsidP="00000000" w:rsidRDefault="00000000" w:rsidRPr="00000000" w14:paraId="00000013">
      <w:pPr>
        <w:spacing w:line="215" w:lineRule="auto"/>
        <w:ind w:left="0" w:hanging="2"/>
        <w:jc w:val="both"/>
        <w:rPr>
          <w:sz w:val="24"/>
          <w:szCs w:val="24"/>
        </w:rPr>
      </w:pPr>
      <w:r w:rsidDel="00000000" w:rsidR="00000000" w:rsidRPr="00000000">
        <w:rPr>
          <w:rtl w:val="0"/>
        </w:rPr>
      </w:r>
    </w:p>
    <w:p w:rsidR="00000000" w:rsidDel="00000000" w:rsidP="00000000" w:rsidRDefault="00000000" w:rsidRPr="00000000" w14:paraId="00000014">
      <w:pPr>
        <w:spacing w:line="215" w:lineRule="auto"/>
        <w:ind w:left="0" w:hanging="2"/>
        <w:jc w:val="both"/>
        <w:rPr>
          <w:sz w:val="24"/>
          <w:szCs w:val="24"/>
        </w:rPr>
        <w:sectPr>
          <w:pgSz w:h="15840" w:w="12240" w:orient="portrait"/>
          <w:pgMar w:bottom="1080" w:top="1170" w:left="1800" w:right="1800" w:header="1440" w:footer="1080"/>
          <w:pgNumType w:start="1"/>
        </w:sectPr>
      </w:pPr>
      <w:r w:rsidDel="00000000" w:rsidR="00000000" w:rsidRPr="00000000">
        <w:rPr>
          <w:sz w:val="24"/>
          <w:szCs w:val="24"/>
          <w:rtl w:val="0"/>
        </w:rPr>
        <w:tab/>
        <w:tab/>
      </w:r>
      <w:r w:rsidDel="00000000" w:rsidR="00000000" w:rsidRPr="00000000">
        <w:rPr>
          <w:b w:val="1"/>
          <w:sz w:val="24"/>
          <w:szCs w:val="24"/>
          <w:rtl w:val="0"/>
        </w:rPr>
        <w:t xml:space="preserve">NOW, THEREFORE, BE IT RESOLVED</w:t>
      </w:r>
      <w:r w:rsidDel="00000000" w:rsidR="00000000" w:rsidRPr="00000000">
        <w:rPr>
          <w:sz w:val="24"/>
          <w:szCs w:val="24"/>
          <w:rtl w:val="0"/>
        </w:rPr>
        <w:t xml:space="preserve"> that the Franchise Agreement is approved, and that the Council Chair and  Recorder are hereby authorized and directed to execute and deliver the same.</w:t>
      </w:r>
    </w:p>
    <w:p w:rsidR="00000000" w:rsidDel="00000000" w:rsidP="00000000" w:rsidRDefault="00000000" w:rsidRPr="00000000" w14:paraId="00000015">
      <w:pPr>
        <w:spacing w:line="215" w:lineRule="auto"/>
        <w:ind w:left="0" w:hanging="2"/>
        <w:jc w:val="both"/>
        <w:rPr>
          <w:sz w:val="24"/>
          <w:szCs w:val="24"/>
        </w:rPr>
      </w:pPr>
      <w:r w:rsidDel="00000000" w:rsidR="00000000" w:rsidRPr="00000000">
        <w:rPr>
          <w:rtl w:val="0"/>
        </w:rPr>
      </w:r>
    </w:p>
    <w:p w:rsidR="00000000" w:rsidDel="00000000" w:rsidP="00000000" w:rsidRDefault="00000000" w:rsidRPr="00000000" w14:paraId="00000016">
      <w:pPr>
        <w:ind w:left="0" w:hanging="2"/>
        <w:jc w:val="both"/>
        <w:rPr>
          <w:sz w:val="24"/>
          <w:szCs w:val="24"/>
        </w:rPr>
      </w:pPr>
      <w:r w:rsidDel="00000000" w:rsidR="00000000" w:rsidRPr="00000000">
        <w:rPr>
          <w:sz w:val="24"/>
          <w:szCs w:val="24"/>
          <w:rtl w:val="0"/>
        </w:rPr>
        <w:tab/>
        <w:t xml:space="preserve">This Resolution assigned No. 24-09, shall take effect immediately on passage.</w:t>
      </w:r>
    </w:p>
    <w:p w:rsidR="00000000" w:rsidDel="00000000" w:rsidP="00000000" w:rsidRDefault="00000000" w:rsidRPr="00000000" w14:paraId="00000017">
      <w:pPr>
        <w:ind w:left="0" w:hanging="2"/>
        <w:jc w:val="both"/>
        <w:rPr>
          <w:sz w:val="24"/>
          <w:szCs w:val="24"/>
        </w:rPr>
      </w:pPr>
      <w:r w:rsidDel="00000000" w:rsidR="00000000" w:rsidRPr="00000000">
        <w:rPr>
          <w:rtl w:val="0"/>
        </w:rPr>
      </w:r>
    </w:p>
    <w:p w:rsidR="00000000" w:rsidDel="00000000" w:rsidP="00000000" w:rsidRDefault="00000000" w:rsidRPr="00000000" w14:paraId="00000018">
      <w:pPr>
        <w:ind w:left="0" w:hanging="2"/>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PASSED AND APPROVED</w:t>
      </w:r>
      <w:r w:rsidDel="00000000" w:rsidR="00000000" w:rsidRPr="00000000">
        <w:rPr>
          <w:sz w:val="24"/>
          <w:szCs w:val="24"/>
          <w:rtl w:val="0"/>
        </w:rPr>
        <w:t xml:space="preserve"> by the Council this 11th day of July 2024.  </w:t>
      </w:r>
    </w:p>
    <w:p w:rsidR="00000000" w:rsidDel="00000000" w:rsidP="00000000" w:rsidRDefault="00000000" w:rsidRPr="00000000" w14:paraId="00000019">
      <w:pPr>
        <w:ind w:left="0" w:hanging="2"/>
        <w:jc w:val="both"/>
        <w:rPr>
          <w:sz w:val="24"/>
          <w:szCs w:val="24"/>
        </w:rPr>
      </w:pPr>
      <w:r w:rsidDel="00000000" w:rsidR="00000000" w:rsidRPr="00000000">
        <w:rPr>
          <w:rtl w:val="0"/>
        </w:rPr>
      </w:r>
    </w:p>
    <w:p w:rsidR="00000000" w:rsidDel="00000000" w:rsidP="00000000" w:rsidRDefault="00000000" w:rsidRPr="00000000" w14:paraId="0000001A">
      <w:pPr>
        <w:ind w:left="0" w:hanging="2"/>
        <w:jc w:val="both"/>
        <w:rPr>
          <w:sz w:val="24"/>
          <w:szCs w:val="24"/>
        </w:rPr>
      </w:pPr>
      <w:r w:rsidDel="00000000" w:rsidR="00000000" w:rsidRPr="00000000">
        <w:rPr>
          <w:b w:val="1"/>
          <w:sz w:val="24"/>
          <w:szCs w:val="24"/>
          <w:rtl w:val="0"/>
        </w:rPr>
        <w:tab/>
        <w:tab/>
        <w:tab/>
        <w:tab/>
        <w:tab/>
        <w:t xml:space="preserve">ERDA COUNCIL</w:t>
      </w:r>
      <w:r w:rsidDel="00000000" w:rsidR="00000000" w:rsidRPr="00000000">
        <w:rPr>
          <w:rtl w:val="0"/>
        </w:rPr>
      </w:r>
    </w:p>
    <w:p w:rsidR="00000000" w:rsidDel="00000000" w:rsidP="00000000" w:rsidRDefault="00000000" w:rsidRPr="00000000" w14:paraId="0000001B">
      <w:pPr>
        <w:ind w:left="0" w:hanging="2"/>
        <w:jc w:val="both"/>
        <w:rPr>
          <w:sz w:val="24"/>
          <w:szCs w:val="24"/>
        </w:rPr>
      </w:pPr>
      <w:r w:rsidDel="00000000" w:rsidR="00000000" w:rsidRPr="00000000">
        <w:rPr>
          <w:rtl w:val="0"/>
        </w:rPr>
      </w:r>
    </w:p>
    <w:p w:rsidR="00000000" w:rsidDel="00000000" w:rsidP="00000000" w:rsidRDefault="00000000" w:rsidRPr="00000000" w14:paraId="0000001C">
      <w:pPr>
        <w:ind w:left="0" w:hanging="2"/>
        <w:jc w:val="both"/>
        <w:rPr>
          <w:sz w:val="24"/>
          <w:szCs w:val="24"/>
        </w:rPr>
      </w:pPr>
      <w:r w:rsidDel="00000000" w:rsidR="00000000" w:rsidRPr="00000000">
        <w:rPr>
          <w:rtl w:val="0"/>
        </w:rPr>
      </w:r>
    </w:p>
    <w:p w:rsidR="00000000" w:rsidDel="00000000" w:rsidP="00000000" w:rsidRDefault="00000000" w:rsidRPr="00000000" w14:paraId="0000001D">
      <w:pPr>
        <w:ind w:left="0" w:hanging="2"/>
        <w:jc w:val="both"/>
        <w:rPr>
          <w:sz w:val="24"/>
          <w:szCs w:val="24"/>
        </w:rPr>
      </w:pPr>
      <w:r w:rsidDel="00000000" w:rsidR="00000000" w:rsidRPr="00000000">
        <w:rPr>
          <w:sz w:val="24"/>
          <w:szCs w:val="24"/>
          <w:rtl w:val="0"/>
        </w:rPr>
        <w:tab/>
        <w:tab/>
        <w:tab/>
        <w:tab/>
        <w:tab/>
        <w:t xml:space="preserve">By: ______________________________________</w:t>
      </w:r>
    </w:p>
    <w:p w:rsidR="00000000" w:rsidDel="00000000" w:rsidP="00000000" w:rsidRDefault="00000000" w:rsidRPr="00000000" w14:paraId="0000001E">
      <w:pPr>
        <w:ind w:left="0" w:hanging="2"/>
        <w:jc w:val="both"/>
        <w:rPr>
          <w:sz w:val="24"/>
          <w:szCs w:val="24"/>
        </w:rPr>
      </w:pPr>
      <w:r w:rsidDel="00000000" w:rsidR="00000000" w:rsidRPr="00000000">
        <w:rPr>
          <w:sz w:val="24"/>
          <w:szCs w:val="24"/>
          <w:rtl w:val="0"/>
        </w:rPr>
        <w:tab/>
        <w:tab/>
        <w:tab/>
        <w:tab/>
        <w:tab/>
        <w:t xml:space="preserve">       Sheldon Birch, Chair </w:t>
      </w:r>
    </w:p>
    <w:p w:rsidR="00000000" w:rsidDel="00000000" w:rsidP="00000000" w:rsidRDefault="00000000" w:rsidRPr="00000000" w14:paraId="0000001F">
      <w:pPr>
        <w:ind w:left="0" w:hanging="2"/>
        <w:jc w:val="both"/>
        <w:rPr>
          <w:sz w:val="24"/>
          <w:szCs w:val="24"/>
        </w:rPr>
      </w:pPr>
      <w:r w:rsidDel="00000000" w:rsidR="00000000" w:rsidRPr="00000000">
        <w:rPr>
          <w:rtl w:val="0"/>
        </w:rPr>
      </w:r>
    </w:p>
    <w:p w:rsidR="00000000" w:rsidDel="00000000" w:rsidP="00000000" w:rsidRDefault="00000000" w:rsidRPr="00000000" w14:paraId="00000020">
      <w:pPr>
        <w:ind w:left="0" w:hanging="2"/>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r>
    </w:p>
    <w:p w:rsidR="00000000" w:rsidDel="00000000" w:rsidP="00000000" w:rsidRDefault="00000000" w:rsidRPr="00000000" w14:paraId="00000021">
      <w:pPr>
        <w:ind w:left="0" w:hanging="2"/>
        <w:jc w:val="both"/>
        <w:rPr>
          <w:sz w:val="24"/>
          <w:szCs w:val="24"/>
        </w:rPr>
      </w:pPr>
      <w:r w:rsidDel="00000000" w:rsidR="00000000" w:rsidRPr="00000000">
        <w:rPr>
          <w:rtl w:val="0"/>
        </w:rPr>
      </w:r>
    </w:p>
    <w:p w:rsidR="00000000" w:rsidDel="00000000" w:rsidP="00000000" w:rsidRDefault="00000000" w:rsidRPr="00000000" w14:paraId="00000022">
      <w:pPr>
        <w:ind w:left="0" w:hanging="2"/>
        <w:jc w:val="both"/>
        <w:rPr>
          <w:sz w:val="24"/>
          <w:szCs w:val="24"/>
        </w:rPr>
      </w:pPr>
      <w:r w:rsidDel="00000000" w:rsidR="00000000" w:rsidRPr="00000000">
        <w:rPr>
          <w:sz w:val="24"/>
          <w:szCs w:val="24"/>
          <w:rtl w:val="0"/>
        </w:rPr>
        <w:t xml:space="preserve">________________________________</w:t>
      </w:r>
    </w:p>
    <w:p w:rsidR="00000000" w:rsidDel="00000000" w:rsidP="00000000" w:rsidRDefault="00000000" w:rsidRPr="00000000" w14:paraId="00000023">
      <w:pPr>
        <w:ind w:left="0" w:hanging="2"/>
        <w:jc w:val="both"/>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r w:rsidDel="00000000" w:rsidR="00000000" w:rsidRPr="00000000">
        <w:rPr>
          <w:rtl w:val="0"/>
        </w:rPr>
      </w:r>
    </w:p>
    <w:sectPr>
      <w:footerReference r:id="rId7" w:type="default"/>
      <w:type w:val="continuous"/>
      <w:pgSz w:h="15840" w:w="12240" w:orient="portrait"/>
      <w:pgMar w:bottom="1080" w:top="1800" w:left="1800" w:right="1800" w:header="1440" w:footer="10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ind w:left="0" w:hanging="2"/>
      <w:rPr>
        <w:sz w:val="24"/>
        <w:szCs w:val="24"/>
      </w:rPr>
    </w:pPr>
    <w:r w:rsidDel="00000000" w:rsidR="00000000" w:rsidRPr="00000000">
      <w:rPr>
        <w:sz w:val="16"/>
        <w:szCs w:val="16"/>
        <w:rtl w:val="0"/>
      </w:rPr>
      <w:t xml:space="preserve">{00050920.RTF /}</w:t>
    </w:r>
    <w:r w:rsidDel="00000000" w:rsidR="00000000" w:rsidRPr="00000000">
      <w:rPr>
        <w:rtl w:val="0"/>
      </w:rPr>
    </w:r>
  </w:p>
  <w:p w:rsidR="00000000" w:rsidDel="00000000" w:rsidP="00000000" w:rsidRDefault="00000000" w:rsidRPr="00000000" w14:paraId="00000025">
    <w:pPr>
      <w:ind w:left="0" w:hanging="2"/>
      <w:rPr>
        <w:sz w:val="16"/>
        <w:szCs w:val="16"/>
      </w:rPr>
    </w:pPr>
    <w:r w:rsidDel="00000000" w:rsidR="00000000" w:rsidRPr="00000000">
      <w:rPr>
        <w:sz w:val="16"/>
        <w:szCs w:val="16"/>
        <w:rtl w:val="0"/>
      </w:rPr>
      <w:t xml:space="preserve">00034814.DOC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US"/>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autoSpaceDE w:val="0"/>
      <w:autoSpaceDN w:val="0"/>
      <w:adjustRightInd w:val="0"/>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Paragraph1" w:customStyle="1">
    <w:name w:val="Paragraph[1]"/>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2" w:customStyle="1">
    <w:name w:val="Paragraph[2]"/>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3" w:customStyle="1">
    <w:name w:val="Paragraph[3]"/>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4" w:customStyle="1">
    <w:name w:val="Paragraph[4]"/>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5" w:customStyle="1">
    <w:name w:val="Paragraph[5]"/>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6" w:customStyle="1">
    <w:name w:val="Paragraph[6]"/>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7" w:customStyle="1">
    <w:name w:val="Paragraph[7]"/>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Paragraph8" w:customStyle="1">
    <w:name w:val="Paragraph[8]"/>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9" w:customStyle="1">
    <w:name w:val="Level 9"/>
    <w:pPr>
      <w:suppressAutoHyphens w:val="1"/>
      <w:autoSpaceDE w:val="0"/>
      <w:autoSpaceDN w:val="0"/>
      <w:adjustRightInd w:val="0"/>
      <w:spacing w:line="1" w:lineRule="atLeast"/>
      <w:ind w:left="-1440" w:leftChars="-1" w:hanging="1" w:hangingChars="1"/>
      <w:jc w:val="both"/>
      <w:textDirection w:val="btLr"/>
      <w:textAlignment w:val="top"/>
      <w:outlineLvl w:val="0"/>
    </w:pPr>
    <w:rPr>
      <w:b w:val="1"/>
      <w:bCs w:val="1"/>
      <w:position w:val="-1"/>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EC0CB5"/>
    <w:pPr>
      <w:widowControl w:val="1"/>
      <w:suppressAutoHyphens w:val="0"/>
      <w:autoSpaceDE w:val="1"/>
      <w:autoSpaceDN w:val="1"/>
      <w:adjustRightInd w:val="1"/>
      <w:spacing w:line="240" w:lineRule="auto"/>
      <w:ind w:left="720" w:leftChars="0" w:firstLine="0" w:firstLineChars="0"/>
      <w:contextualSpacing w:val="1"/>
      <w:textDirection w:val="lrTb"/>
      <w:textAlignment w:val="auto"/>
      <w:outlineLvl w:val="9"/>
    </w:pPr>
    <w:rPr>
      <w:rFonts w:cstheme="minorBidi" w:eastAsiaTheme="minorHAnsi"/>
      <w:position w:val="0"/>
      <w:sz w:val="24"/>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zSbaaTG802quKnAZ+lPSehNig==">CgMxLjA4AHIhMTlrTGo5UWZoNTJ4dmRYdjJrZ0R5UHQ2dm9rbjgzWi1I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2024-07-08T22:40:00Z</dcterms:created>
  <dc:creator>Parsons Kinghorn Harris</dc:creator>
</cp:coreProperties>
</file>