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39D3B" w14:textId="2A4F9456" w:rsidR="00A14F1E" w:rsidRDefault="00A14F1E" w:rsidP="00841490">
      <w:pPr>
        <w:keepNext/>
        <w:tabs>
          <w:tab w:val="center" w:pos="468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</w:tabs>
        <w:ind w:left="360" w:right="-450" w:hanging="450"/>
        <w:jc w:val="center"/>
        <w:rPr>
          <w:rFonts w:ascii="Tahoma" w:eastAsia="Tahoma" w:hAnsi="Tahoma" w:cs="Tahoma"/>
          <w:sz w:val="40"/>
          <w:szCs w:val="40"/>
        </w:rPr>
      </w:pPr>
      <w:bookmarkStart w:id="0" w:name="_GoBack"/>
      <w:bookmarkEnd w:id="0"/>
      <w:r>
        <w:rPr>
          <w:rFonts w:ascii="Tahoma" w:eastAsia="Tahoma" w:hAnsi="Tahoma" w:cs="Tahoma"/>
          <w:sz w:val="40"/>
          <w:szCs w:val="40"/>
        </w:rPr>
        <w:t>PART 24</w:t>
      </w:r>
    </w:p>
    <w:p w14:paraId="7D839A33" w14:textId="77777777" w:rsidR="00A14F1E" w:rsidRDefault="00A14F1E" w:rsidP="00A14F1E">
      <w:pPr>
        <w:keepNext/>
        <w:tabs>
          <w:tab w:val="center" w:pos="468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</w:tabs>
        <w:ind w:left="360" w:hanging="450"/>
        <w:jc w:val="center"/>
        <w:rPr>
          <w:rFonts w:ascii="Tahoma" w:eastAsia="Tahoma" w:hAnsi="Tahoma" w:cs="Tahoma"/>
          <w:sz w:val="36"/>
          <w:szCs w:val="36"/>
        </w:rPr>
      </w:pPr>
    </w:p>
    <w:p w14:paraId="2FD5034F" w14:textId="1B561A03" w:rsidR="00A14F1E" w:rsidRDefault="00A14F1E" w:rsidP="00EB098B">
      <w:pPr>
        <w:jc w:val="center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sz w:val="36"/>
          <w:szCs w:val="36"/>
        </w:rPr>
        <w:t>TEMPORARY WATER SHORTAGE EMERGENCY LOAN PROGRAM</w:t>
      </w:r>
    </w:p>
    <w:p w14:paraId="51F1F1FC" w14:textId="77777777" w:rsidR="00EB098B" w:rsidRDefault="00EB098B" w:rsidP="00EB098B">
      <w:pPr>
        <w:jc w:val="center"/>
        <w:rPr>
          <w:rFonts w:ascii="Tahoma" w:eastAsia="Tahoma" w:hAnsi="Tahoma" w:cs="Tahoma"/>
          <w:sz w:val="36"/>
          <w:szCs w:val="36"/>
        </w:rPr>
      </w:pPr>
    </w:p>
    <w:p w14:paraId="4328FB3A" w14:textId="4DF594B9" w:rsidR="00EB098B" w:rsidRDefault="00882BDB" w:rsidP="00882BDB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This describes what is eligible for ARDL financing to persons whose water use is interrupted during a temporary water shortage emergency.</w:t>
      </w:r>
    </w:p>
    <w:p w14:paraId="7150FAE5" w14:textId="3ED8D078" w:rsidR="00882BDB" w:rsidRDefault="00882BDB" w:rsidP="00882BDB">
      <w:pPr>
        <w:pStyle w:val="ListParagraph"/>
        <w:numPr>
          <w:ilvl w:val="0"/>
          <w:numId w:val="4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An interrupted user is eligible to receive one or more 0% interest loans of up to $150,000 each from the commission if:</w:t>
      </w:r>
    </w:p>
    <w:p w14:paraId="4CA7330C" w14:textId="6F77FB1D" w:rsidR="00882BDB" w:rsidRPr="00841490" w:rsidRDefault="00841490" w:rsidP="00841490">
      <w:pPr>
        <w:pStyle w:val="ListParagraph"/>
        <w:numPr>
          <w:ilvl w:val="0"/>
          <w:numId w:val="9"/>
        </w:numPr>
        <w:rPr>
          <w:rFonts w:ascii="Tahoma" w:eastAsia="Tahoma" w:hAnsi="Tahoma" w:cs="Tahoma"/>
        </w:rPr>
      </w:pPr>
      <w:r w:rsidRPr="00841490">
        <w:rPr>
          <w:rFonts w:ascii="Tahoma" w:eastAsia="Tahoma" w:hAnsi="Tahoma" w:cs="Tahoma"/>
        </w:rPr>
        <w:t>t</w:t>
      </w:r>
      <w:r w:rsidR="00882BDB" w:rsidRPr="00841490">
        <w:rPr>
          <w:rFonts w:ascii="Tahoma" w:eastAsia="Tahoma" w:hAnsi="Tahoma" w:cs="Tahoma"/>
        </w:rPr>
        <w:t>he governor declares a temporary water shortage emergency via an executive order specifying:</w:t>
      </w:r>
    </w:p>
    <w:p w14:paraId="3F6926A2" w14:textId="383108AA" w:rsidR="00882BDB" w:rsidRPr="00841490" w:rsidRDefault="00841490" w:rsidP="0084149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(</w:t>
      </w:r>
      <w:proofErr w:type="spellStart"/>
      <w:r>
        <w:rPr>
          <w:rFonts w:ascii="Tahoma" w:eastAsia="Tahoma" w:hAnsi="Tahoma" w:cs="Tahoma"/>
        </w:rPr>
        <w:t>i</w:t>
      </w:r>
      <w:proofErr w:type="spellEnd"/>
      <w:r>
        <w:rPr>
          <w:rFonts w:ascii="Tahoma" w:eastAsia="Tahoma" w:hAnsi="Tahoma" w:cs="Tahoma"/>
        </w:rPr>
        <w:t>)</w:t>
      </w:r>
      <w:r w:rsidRPr="00841490">
        <w:rPr>
          <w:rFonts w:ascii="Tahoma" w:eastAsia="Tahoma" w:hAnsi="Tahoma" w:cs="Tahoma"/>
        </w:rPr>
        <w:t xml:space="preserve"> t</w:t>
      </w:r>
      <w:r w:rsidR="00882BDB" w:rsidRPr="00841490">
        <w:rPr>
          <w:rFonts w:ascii="Tahoma" w:eastAsia="Tahoma" w:hAnsi="Tahoma" w:cs="Tahoma"/>
        </w:rPr>
        <w:t>he time period for the emergency;</w:t>
      </w:r>
    </w:p>
    <w:p w14:paraId="1EF3E29B" w14:textId="523348D8" w:rsidR="00882BDB" w:rsidRDefault="00882BDB" w:rsidP="00841490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(ii) </w:t>
      </w:r>
      <w:r w:rsidR="00841490">
        <w:rPr>
          <w:rFonts w:ascii="Tahoma" w:eastAsia="Tahoma" w:hAnsi="Tahoma" w:cs="Tahoma"/>
        </w:rPr>
        <w:t xml:space="preserve"> t</w:t>
      </w:r>
      <w:r>
        <w:rPr>
          <w:rFonts w:ascii="Tahoma" w:eastAsia="Tahoma" w:hAnsi="Tahoma" w:cs="Tahoma"/>
        </w:rPr>
        <w:t>he area</w:t>
      </w:r>
      <w:r w:rsidR="00841490">
        <w:rPr>
          <w:rFonts w:ascii="Tahoma" w:eastAsia="Tahoma" w:hAnsi="Tahoma" w:cs="Tahoma"/>
        </w:rPr>
        <w:t xml:space="preserve"> subject to the order;</w:t>
      </w:r>
    </w:p>
    <w:p w14:paraId="1561781E" w14:textId="429A82A2" w:rsidR="00841490" w:rsidRDefault="00841490" w:rsidP="00841490">
      <w:pPr>
        <w:ind w:right="-27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(iii) a list of persons entitled to make a request to preferentially use water; and</w:t>
      </w:r>
    </w:p>
    <w:p w14:paraId="147396A2" w14:textId="22E6BE98" w:rsidR="00841490" w:rsidRDefault="00841490" w:rsidP="00841490">
      <w:pPr>
        <w:ind w:right="-27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(iv) the purposes for which a person who is entitled may take the water; and</w:t>
      </w:r>
    </w:p>
    <w:p w14:paraId="6E0ED930" w14:textId="625B2244" w:rsidR="00841490" w:rsidRDefault="00841490" w:rsidP="00841490">
      <w:pPr>
        <w:pStyle w:val="ListParagraph"/>
        <w:numPr>
          <w:ilvl w:val="0"/>
          <w:numId w:val="9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water held by an interrupted user is used by a preferential user.</w:t>
      </w:r>
    </w:p>
    <w:p w14:paraId="42610398" w14:textId="689F8D82" w:rsidR="00841490" w:rsidRDefault="00841490" w:rsidP="00841490">
      <w:pPr>
        <w:ind w:left="720"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(2) The purpose of a loan under this rule shall be to compensate an interrupted use</w:t>
      </w:r>
    </w:p>
    <w:p w14:paraId="69180DD3" w14:textId="2C6CE53F" w:rsidR="00841490" w:rsidRDefault="00841490" w:rsidP="00841490">
      <w:pPr>
        <w:ind w:left="720"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user while they are waiting to receive payment of compensation from a</w:t>
      </w:r>
    </w:p>
    <w:p w14:paraId="62F0DEB0" w14:textId="66ECB1AB" w:rsidR="00841490" w:rsidRDefault="00841490" w:rsidP="00841490">
      <w:pPr>
        <w:ind w:left="720"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preferential user under Section 73-3d-402.</w:t>
      </w:r>
    </w:p>
    <w:p w14:paraId="41B71A62" w14:textId="244AF10A" w:rsidR="00841490" w:rsidRDefault="00841490" w:rsidP="00841490">
      <w:pPr>
        <w:ind w:left="720"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(3) Pursuant to Subsection 73-3d-301(4) the preferential user shall meter the water</w:t>
      </w:r>
    </w:p>
    <w:p w14:paraId="2E199221" w14:textId="27BE76D9" w:rsidR="00841490" w:rsidRDefault="00841490" w:rsidP="00841490">
      <w:pPr>
        <w:ind w:left="720"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</w:t>
      </w:r>
      <w:r w:rsidR="0042447E">
        <w:rPr>
          <w:rFonts w:ascii="Tahoma" w:eastAsia="Tahoma" w:hAnsi="Tahoma" w:cs="Tahoma"/>
        </w:rPr>
        <w:t>Used and provide this information to the interrupted user and the department.</w:t>
      </w:r>
    </w:p>
    <w:p w14:paraId="06B40123" w14:textId="77777777" w:rsidR="0042447E" w:rsidRDefault="0042447E" w:rsidP="0042447E">
      <w:pPr>
        <w:ind w:right="-270"/>
        <w:rPr>
          <w:rFonts w:ascii="Tahoma" w:eastAsia="Tahoma" w:hAnsi="Tahoma" w:cs="Tahoma"/>
        </w:rPr>
      </w:pPr>
    </w:p>
    <w:p w14:paraId="02192A2D" w14:textId="77777777" w:rsidR="005636C3" w:rsidRDefault="0042447E" w:rsidP="0042447E">
      <w:pPr>
        <w:pStyle w:val="ListParagraph"/>
        <w:numPr>
          <w:ilvl w:val="0"/>
          <w:numId w:val="3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An interrupted user who is eligible for a loan may apply on a department provided application. The application may be submitted at any time during the executive order declaring the temporary water shortage emergency is in place.</w:t>
      </w:r>
    </w:p>
    <w:p w14:paraId="58BACE60" w14:textId="77777777" w:rsidR="005636C3" w:rsidRDefault="005636C3" w:rsidP="005636C3">
      <w:pPr>
        <w:ind w:left="360" w:right="-270"/>
        <w:rPr>
          <w:rFonts w:ascii="Tahoma" w:eastAsia="Tahoma" w:hAnsi="Tahoma" w:cs="Tahoma"/>
        </w:rPr>
      </w:pPr>
    </w:p>
    <w:p w14:paraId="034EA8B1" w14:textId="73B87A4C" w:rsidR="0042447E" w:rsidRDefault="009178F3" w:rsidP="005636C3">
      <w:pPr>
        <w:pStyle w:val="ListParagraph"/>
        <w:numPr>
          <w:ilvl w:val="0"/>
          <w:numId w:val="3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Included with the application, the interrupted user shall provide </w:t>
      </w:r>
      <w:r w:rsidR="008B2A2D">
        <w:rPr>
          <w:rFonts w:ascii="Tahoma" w:eastAsia="Tahoma" w:hAnsi="Tahoma" w:cs="Tahoma"/>
        </w:rPr>
        <w:t>sufficient</w:t>
      </w:r>
      <w:r>
        <w:rPr>
          <w:rFonts w:ascii="Tahoma" w:eastAsia="Tahoma" w:hAnsi="Tahoma" w:cs="Tahoma"/>
        </w:rPr>
        <w:t xml:space="preserve"> inf</w:t>
      </w:r>
      <w:r w:rsidR="008B2A2D">
        <w:rPr>
          <w:rFonts w:ascii="Tahoma" w:eastAsia="Tahoma" w:hAnsi="Tahoma" w:cs="Tahoma"/>
        </w:rPr>
        <w:t>ormation to establish:</w:t>
      </w:r>
    </w:p>
    <w:p w14:paraId="25226435" w14:textId="1B71A187" w:rsidR="008B2A2D" w:rsidRDefault="008B2A2D" w:rsidP="008B2A2D">
      <w:pPr>
        <w:pStyle w:val="ListParagraph"/>
        <w:numPr>
          <w:ilvl w:val="0"/>
          <w:numId w:val="10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the basis by which the person is entitled to use of the water;</w:t>
      </w:r>
    </w:p>
    <w:p w14:paraId="68DE7AB8" w14:textId="46E4F0AE" w:rsidR="008B2A2D" w:rsidRDefault="008B2A2D" w:rsidP="008B2A2D">
      <w:pPr>
        <w:pStyle w:val="ListParagraph"/>
        <w:numPr>
          <w:ilvl w:val="0"/>
          <w:numId w:val="10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the use of water that would have been made by the person without the interruption;</w:t>
      </w:r>
    </w:p>
    <w:p w14:paraId="56A240FF" w14:textId="7C7CC279" w:rsidR="008B2A2D" w:rsidRDefault="008B2A2D" w:rsidP="008B2A2D">
      <w:pPr>
        <w:pStyle w:val="ListParagraph"/>
        <w:numPr>
          <w:ilvl w:val="0"/>
          <w:numId w:val="10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the length of the interruption;</w:t>
      </w:r>
    </w:p>
    <w:p w14:paraId="04746C24" w14:textId="0A651E5A" w:rsidR="008B2A2D" w:rsidRDefault="008B2A2D" w:rsidP="008B2A2D">
      <w:pPr>
        <w:pStyle w:val="ListParagraph"/>
        <w:numPr>
          <w:ilvl w:val="0"/>
          <w:numId w:val="10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 good faith </w:t>
      </w:r>
      <w:proofErr w:type="gramStart"/>
      <w:r>
        <w:rPr>
          <w:rFonts w:ascii="Tahoma" w:eastAsia="Tahoma" w:hAnsi="Tahoma" w:cs="Tahoma"/>
        </w:rPr>
        <w:t>estimate</w:t>
      </w:r>
      <w:proofErr w:type="gramEnd"/>
      <w:r>
        <w:rPr>
          <w:rFonts w:ascii="Tahoma" w:eastAsia="Tahoma" w:hAnsi="Tahoma" w:cs="Tahoma"/>
        </w:rPr>
        <w:t xml:space="preserve"> of the amount of water the person entitled to the use of water would otherwise have made;</w:t>
      </w:r>
    </w:p>
    <w:p w14:paraId="075E7D63" w14:textId="33F24B4B" w:rsidR="008B2A2D" w:rsidRDefault="008B2A2D" w:rsidP="008B2A2D">
      <w:pPr>
        <w:pStyle w:val="ListParagraph"/>
        <w:numPr>
          <w:ilvl w:val="0"/>
          <w:numId w:val="10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an estimate of the value of the water used, crop losses, and consequential damages incurred as a result of the interruption; and</w:t>
      </w:r>
    </w:p>
    <w:p w14:paraId="71174FF8" w14:textId="11977C0C" w:rsidR="008B2A2D" w:rsidRDefault="008B2A2D" w:rsidP="008B2A2D">
      <w:pPr>
        <w:pStyle w:val="ListParagraph"/>
        <w:numPr>
          <w:ilvl w:val="0"/>
          <w:numId w:val="10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whether the interrupted user has previously received a loan from the commission for the same interruption of water use.</w:t>
      </w:r>
    </w:p>
    <w:p w14:paraId="551CD153" w14:textId="0AB5650F" w:rsidR="006F24C3" w:rsidRDefault="006F24C3" w:rsidP="008B2A2D">
      <w:pPr>
        <w:pStyle w:val="ListParagraph"/>
        <w:numPr>
          <w:ilvl w:val="0"/>
          <w:numId w:val="10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the interrupted user shall provide any other information requested by the department, including any </w:t>
      </w:r>
      <w:proofErr w:type="gramStart"/>
      <w:r>
        <w:rPr>
          <w:rFonts w:ascii="Tahoma" w:eastAsia="Tahoma" w:hAnsi="Tahoma" w:cs="Tahoma"/>
        </w:rPr>
        <w:t>documentation  related</w:t>
      </w:r>
      <w:proofErr w:type="gramEnd"/>
      <w:r>
        <w:rPr>
          <w:rFonts w:ascii="Tahoma" w:eastAsia="Tahoma" w:hAnsi="Tahoma" w:cs="Tahoma"/>
        </w:rPr>
        <w:t xml:space="preserve"> to the value of the water used, crop losses, and consequential damages.</w:t>
      </w:r>
    </w:p>
    <w:p w14:paraId="5A70FBE2" w14:textId="77777777" w:rsidR="006F24C3" w:rsidRDefault="006F24C3" w:rsidP="006F24C3">
      <w:pPr>
        <w:pStyle w:val="ListParagraph"/>
        <w:ind w:left="1080" w:right="-270"/>
        <w:rPr>
          <w:rFonts w:ascii="Tahoma" w:eastAsia="Tahoma" w:hAnsi="Tahoma" w:cs="Tahoma"/>
        </w:rPr>
      </w:pPr>
    </w:p>
    <w:p w14:paraId="1BECF680" w14:textId="77777777" w:rsidR="006F24C3" w:rsidRDefault="006F24C3" w:rsidP="006F24C3">
      <w:pPr>
        <w:pStyle w:val="ListParagraph"/>
        <w:ind w:left="1080" w:right="-270"/>
        <w:rPr>
          <w:rFonts w:ascii="Tahoma" w:eastAsia="Tahoma" w:hAnsi="Tahoma" w:cs="Tahoma"/>
        </w:rPr>
      </w:pPr>
    </w:p>
    <w:p w14:paraId="654926F1" w14:textId="3BD2147A" w:rsidR="002A3926" w:rsidRDefault="006F24C3" w:rsidP="002A3926">
      <w:pPr>
        <w:pStyle w:val="ListParagraph"/>
        <w:numPr>
          <w:ilvl w:val="0"/>
          <w:numId w:val="3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The applications shall be reviewed for eligibility and loan amount </w:t>
      </w:r>
      <w:r w:rsidR="002A3926">
        <w:rPr>
          <w:rFonts w:ascii="Tahoma" w:eastAsia="Tahoma" w:hAnsi="Tahoma" w:cs="Tahoma"/>
        </w:rPr>
        <w:t>does not</w:t>
      </w:r>
      <w:r>
        <w:rPr>
          <w:rFonts w:ascii="Tahoma" w:eastAsia="Tahoma" w:hAnsi="Tahoma" w:cs="Tahoma"/>
        </w:rPr>
        <w:t xml:space="preserve"> exceed the amount of </w:t>
      </w:r>
      <w:r w:rsidR="002A3926">
        <w:rPr>
          <w:rFonts w:ascii="Tahoma" w:eastAsia="Tahoma" w:hAnsi="Tahoma" w:cs="Tahoma"/>
        </w:rPr>
        <w:t>$150,000.</w:t>
      </w:r>
    </w:p>
    <w:p w14:paraId="4B964920" w14:textId="77777777" w:rsidR="00D833F8" w:rsidRDefault="00D833F8" w:rsidP="00D833F8">
      <w:pPr>
        <w:pStyle w:val="ListParagraph"/>
        <w:ind w:right="-270"/>
        <w:rPr>
          <w:rFonts w:ascii="Tahoma" w:eastAsia="Tahoma" w:hAnsi="Tahoma" w:cs="Tahoma"/>
        </w:rPr>
      </w:pPr>
    </w:p>
    <w:p w14:paraId="10E7A749" w14:textId="69726D3C" w:rsidR="002A3926" w:rsidRDefault="002A3926" w:rsidP="002A3926">
      <w:pPr>
        <w:pStyle w:val="ListParagraph"/>
        <w:numPr>
          <w:ilvl w:val="0"/>
          <w:numId w:val="3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The amount determination in Subsection R64-5-4(5) shall be based on reliable third-party market and producer information, when available, as close as possible to the beginning date of the water delivery interruption.  The determination may be based on agricultural </w:t>
      </w:r>
      <w:r w:rsidR="00D833F8">
        <w:rPr>
          <w:rFonts w:ascii="Tahoma" w:eastAsia="Tahoma" w:hAnsi="Tahoma" w:cs="Tahoma"/>
        </w:rPr>
        <w:t>based data sets from state, federal, university, and documentation provided by the interrupted user to establish historical product or records.  For non-agricultural products and services, the department may consider information from state, federal, and industry leaders within Utah, or other available information or experts.</w:t>
      </w:r>
    </w:p>
    <w:p w14:paraId="613C8084" w14:textId="77777777" w:rsidR="00D833F8" w:rsidRPr="00D833F8" w:rsidRDefault="00D833F8" w:rsidP="00D833F8">
      <w:pPr>
        <w:pStyle w:val="ListParagraph"/>
        <w:rPr>
          <w:rFonts w:ascii="Tahoma" w:eastAsia="Tahoma" w:hAnsi="Tahoma" w:cs="Tahoma"/>
        </w:rPr>
      </w:pPr>
    </w:p>
    <w:p w14:paraId="50BC41FE" w14:textId="3A6B456B" w:rsidR="00D833F8" w:rsidRDefault="00455875" w:rsidP="002A3926">
      <w:pPr>
        <w:pStyle w:val="ListParagraph"/>
        <w:numPr>
          <w:ilvl w:val="0"/>
          <w:numId w:val="3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The Commission shall award loan contracts in the order of completed and eligible applications are received upon receipt of executed documents.</w:t>
      </w:r>
    </w:p>
    <w:p w14:paraId="61E7AC52" w14:textId="77777777" w:rsidR="00455875" w:rsidRPr="00455875" w:rsidRDefault="00455875" w:rsidP="00455875">
      <w:pPr>
        <w:pStyle w:val="ListParagraph"/>
        <w:rPr>
          <w:rFonts w:ascii="Tahoma" w:eastAsia="Tahoma" w:hAnsi="Tahoma" w:cs="Tahoma"/>
        </w:rPr>
      </w:pPr>
    </w:p>
    <w:p w14:paraId="4A05F729" w14:textId="19A15021" w:rsidR="00455875" w:rsidRPr="002A3926" w:rsidRDefault="00455875" w:rsidP="002A3926">
      <w:pPr>
        <w:pStyle w:val="ListParagraph"/>
        <w:numPr>
          <w:ilvl w:val="0"/>
          <w:numId w:val="3"/>
        </w:num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An interrupted user shall repay a loan in accordance with rule R64-5-1 within 30 days of the day the interrupted user is paid in full by a preferential user.  If it is determined a borrower fails to repay a loan in accordance with this rule, the department may bring suit in a court of competent jurisdiction to require repayment of the loan by the preferential user or interrupted user. If the department prevails in an action brought under Subsection R64-5-4(2) the department may recover amounts owed, court costs, and reasonable attorney fees. The commission my delegate responsibilities under this rule to a commission appointed advisory board pursuant to Subsection 4-18-106(7).</w:t>
      </w:r>
    </w:p>
    <w:p w14:paraId="5DDADDE4" w14:textId="1A84CC8A" w:rsidR="006F24C3" w:rsidRDefault="006F24C3" w:rsidP="006F24C3">
      <w:pPr>
        <w:ind w:right="-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</w:p>
    <w:p w14:paraId="7EE054EE" w14:textId="197AD7EC" w:rsidR="006F24C3" w:rsidRPr="006F24C3" w:rsidRDefault="006F24C3" w:rsidP="006F24C3">
      <w:pPr>
        <w:ind w:right="-270"/>
        <w:rPr>
          <w:rFonts w:ascii="Tahoma" w:eastAsia="Tahoma" w:hAnsi="Tahoma" w:cs="Tahoma"/>
        </w:rPr>
      </w:pPr>
    </w:p>
    <w:sectPr w:rsidR="006F24C3" w:rsidRPr="006F2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48A"/>
    <w:multiLevelType w:val="hybridMultilevel"/>
    <w:tmpl w:val="30DEFF1E"/>
    <w:lvl w:ilvl="0" w:tplc="0C4043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533C6"/>
    <w:multiLevelType w:val="hybridMultilevel"/>
    <w:tmpl w:val="44CCC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25CE"/>
    <w:multiLevelType w:val="hybridMultilevel"/>
    <w:tmpl w:val="6512C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46802"/>
    <w:multiLevelType w:val="hybridMultilevel"/>
    <w:tmpl w:val="AE5EB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F51A9"/>
    <w:multiLevelType w:val="hybridMultilevel"/>
    <w:tmpl w:val="196A363A"/>
    <w:lvl w:ilvl="0" w:tplc="6EC4EE7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AE38D6"/>
    <w:multiLevelType w:val="hybridMultilevel"/>
    <w:tmpl w:val="CFA0E986"/>
    <w:lvl w:ilvl="0" w:tplc="BDEA5D62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A858F7"/>
    <w:multiLevelType w:val="hybridMultilevel"/>
    <w:tmpl w:val="C60C745A"/>
    <w:lvl w:ilvl="0" w:tplc="7AB27F1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1F7948"/>
    <w:multiLevelType w:val="hybridMultilevel"/>
    <w:tmpl w:val="6ED8EF02"/>
    <w:lvl w:ilvl="0" w:tplc="947E24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D44737"/>
    <w:multiLevelType w:val="hybridMultilevel"/>
    <w:tmpl w:val="F13E68B8"/>
    <w:lvl w:ilvl="0" w:tplc="895AB8D2">
      <w:start w:val="1"/>
      <w:numFmt w:val="lowerRoman"/>
      <w:lvlText w:val="(%1)"/>
      <w:lvlJc w:val="left"/>
      <w:pPr>
        <w:ind w:left="18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70C21A70"/>
    <w:multiLevelType w:val="hybridMultilevel"/>
    <w:tmpl w:val="13DA033C"/>
    <w:lvl w:ilvl="0" w:tplc="B9823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1E"/>
    <w:rsid w:val="00052659"/>
    <w:rsid w:val="002A3926"/>
    <w:rsid w:val="0042447E"/>
    <w:rsid w:val="00455875"/>
    <w:rsid w:val="005636C3"/>
    <w:rsid w:val="0060086D"/>
    <w:rsid w:val="006E6C66"/>
    <w:rsid w:val="006F24C3"/>
    <w:rsid w:val="00841490"/>
    <w:rsid w:val="00882BDB"/>
    <w:rsid w:val="008B2A2D"/>
    <w:rsid w:val="009178F3"/>
    <w:rsid w:val="009218CD"/>
    <w:rsid w:val="00A14F1E"/>
    <w:rsid w:val="00C25FDF"/>
    <w:rsid w:val="00D06061"/>
    <w:rsid w:val="00D833F8"/>
    <w:rsid w:val="00E76EAD"/>
    <w:rsid w:val="00E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9467"/>
  <w15:chartTrackingRefBased/>
  <w15:docId w15:val="{59B45381-D41F-4A81-B407-6BA50A45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F1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F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F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F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F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F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Valdez</dc:creator>
  <cp:keywords/>
  <dc:description/>
  <cp:lastModifiedBy>Sherie Edginton</cp:lastModifiedBy>
  <cp:revision>2</cp:revision>
  <dcterms:created xsi:type="dcterms:W3CDTF">2024-06-13T16:53:00Z</dcterms:created>
  <dcterms:modified xsi:type="dcterms:W3CDTF">2024-06-13T16:53:00Z</dcterms:modified>
</cp:coreProperties>
</file>