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before="240" w:lineRule="auto"/>
        <w:jc w:val="right"/>
        <w:rPr>
          <w:rFonts w:ascii="Times New Roman" w:cs="Times New Roman" w:eastAsia="Times New Roman" w:hAnsi="Times New Roman"/>
          <w:b w:val="1"/>
          <w:sz w:val="36"/>
          <w:szCs w:val="36"/>
        </w:rPr>
      </w:pPr>
      <w:r w:rsidDel="00000000" w:rsidR="00000000" w:rsidRPr="00000000">
        <w:rPr>
          <w:rFonts w:ascii="Times New Roman" w:cs="Times New Roman" w:eastAsia="Times New Roman" w:hAnsi="Times New Roman"/>
          <w:b w:val="1"/>
          <w:sz w:val="36"/>
          <w:szCs w:val="36"/>
          <w:rtl w:val="0"/>
        </w:rPr>
        <w:t xml:space="preserve">                                                                     </w:t>
        <w:tab/>
      </w:r>
      <w:r w:rsidDel="00000000" w:rsidR="00000000" w:rsidRPr="00000000">
        <w:drawing>
          <wp:anchor allowOverlap="1" behindDoc="0" distB="114300" distT="114300" distL="114300" distR="114300" hidden="0" layoutInCell="1" locked="0" relativeHeight="0" simplePos="0">
            <wp:simplePos x="0" y="0"/>
            <wp:positionH relativeFrom="column">
              <wp:posOffset>1695450</wp:posOffset>
            </wp:positionH>
            <wp:positionV relativeFrom="paragraph">
              <wp:posOffset>114300</wp:posOffset>
            </wp:positionV>
            <wp:extent cx="2728155" cy="2205038"/>
            <wp:effectExtent b="0" l="0" r="0" t="0"/>
            <wp:wrapNone/>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2728155" cy="2205038"/>
                    </a:xfrm>
                    <a:prstGeom prst="rect"/>
                    <a:ln/>
                  </pic:spPr>
                </pic:pic>
              </a:graphicData>
            </a:graphic>
          </wp:anchor>
        </w:drawing>
      </w:r>
    </w:p>
    <w:p w:rsidR="00000000" w:rsidDel="00000000" w:rsidP="00000000" w:rsidRDefault="00000000" w:rsidRPr="00000000" w14:paraId="00000002">
      <w:pPr>
        <w:spacing w:before="240" w:lineRule="auto"/>
        <w:jc w:val="center"/>
        <w:rPr>
          <w:rFonts w:ascii="Times New Roman" w:cs="Times New Roman" w:eastAsia="Times New Roman" w:hAnsi="Times New Roman"/>
          <w:b w:val="1"/>
          <w:sz w:val="36"/>
          <w:szCs w:val="36"/>
        </w:rPr>
      </w:pPr>
      <w:r w:rsidDel="00000000" w:rsidR="00000000" w:rsidRPr="00000000">
        <w:rPr>
          <w:rFonts w:ascii="Times New Roman" w:cs="Times New Roman" w:eastAsia="Times New Roman" w:hAnsi="Times New Roman"/>
          <w:b w:val="1"/>
          <w:sz w:val="36"/>
          <w:szCs w:val="36"/>
          <w:rtl w:val="0"/>
        </w:rPr>
        <w:t xml:space="preserve"> </w:t>
      </w:r>
    </w:p>
    <w:p w:rsidR="00000000" w:rsidDel="00000000" w:rsidP="00000000" w:rsidRDefault="00000000" w:rsidRPr="00000000" w14:paraId="00000003">
      <w:pPr>
        <w:spacing w:before="240" w:lineRule="auto"/>
        <w:jc w:val="center"/>
        <w:rPr>
          <w:rFonts w:ascii="Times New Roman" w:cs="Times New Roman" w:eastAsia="Times New Roman" w:hAnsi="Times New Roman"/>
          <w:b w:val="1"/>
          <w:sz w:val="36"/>
          <w:szCs w:val="36"/>
        </w:rPr>
      </w:pPr>
      <w:r w:rsidDel="00000000" w:rsidR="00000000" w:rsidRPr="00000000">
        <w:rPr>
          <w:rtl w:val="0"/>
        </w:rPr>
      </w:r>
    </w:p>
    <w:p w:rsidR="00000000" w:rsidDel="00000000" w:rsidP="00000000" w:rsidRDefault="00000000" w:rsidRPr="00000000" w14:paraId="00000004">
      <w:pPr>
        <w:spacing w:before="240" w:lineRule="auto"/>
        <w:jc w:val="center"/>
        <w:rPr>
          <w:rFonts w:ascii="Times New Roman" w:cs="Times New Roman" w:eastAsia="Times New Roman" w:hAnsi="Times New Roman"/>
          <w:b w:val="1"/>
          <w:sz w:val="36"/>
          <w:szCs w:val="36"/>
        </w:rPr>
      </w:pPr>
      <w:r w:rsidDel="00000000" w:rsidR="00000000" w:rsidRPr="00000000">
        <w:rPr>
          <w:rtl w:val="0"/>
        </w:rPr>
      </w:r>
    </w:p>
    <w:p w:rsidR="00000000" w:rsidDel="00000000" w:rsidP="00000000" w:rsidRDefault="00000000" w:rsidRPr="00000000" w14:paraId="00000005">
      <w:pPr>
        <w:spacing w:before="240" w:lineRule="auto"/>
        <w:jc w:val="center"/>
        <w:rPr>
          <w:rFonts w:ascii="Times New Roman" w:cs="Times New Roman" w:eastAsia="Times New Roman" w:hAnsi="Times New Roman"/>
          <w:b w:val="1"/>
          <w:sz w:val="36"/>
          <w:szCs w:val="36"/>
        </w:rPr>
      </w:pPr>
      <w:r w:rsidDel="00000000" w:rsidR="00000000" w:rsidRPr="00000000">
        <w:rPr>
          <w:rtl w:val="0"/>
        </w:rPr>
      </w:r>
    </w:p>
    <w:p w:rsidR="00000000" w:rsidDel="00000000" w:rsidP="00000000" w:rsidRDefault="00000000" w:rsidRPr="00000000" w14:paraId="00000006">
      <w:pPr>
        <w:spacing w:before="240" w:lineRule="auto"/>
        <w:ind w:left="2160" w:firstLine="720"/>
        <w:jc w:val="left"/>
        <w:rPr>
          <w:rFonts w:ascii="Times New Roman" w:cs="Times New Roman" w:eastAsia="Times New Roman" w:hAnsi="Times New Roman"/>
          <w:b w:val="1"/>
          <w:sz w:val="36"/>
          <w:szCs w:val="36"/>
        </w:rPr>
      </w:pPr>
      <w:r w:rsidDel="00000000" w:rsidR="00000000" w:rsidRPr="00000000">
        <w:rPr>
          <w:rFonts w:ascii="Times New Roman" w:cs="Times New Roman" w:eastAsia="Times New Roman" w:hAnsi="Times New Roman"/>
          <w:b w:val="1"/>
          <w:sz w:val="36"/>
          <w:szCs w:val="36"/>
          <w:rtl w:val="0"/>
        </w:rPr>
        <w:t xml:space="preserve">CHANNING HALL</w:t>
      </w:r>
    </w:p>
    <w:p w:rsidR="00000000" w:rsidDel="00000000" w:rsidP="00000000" w:rsidRDefault="00000000" w:rsidRPr="00000000" w14:paraId="00000007">
      <w:pPr>
        <w:spacing w:before="240" w:lineRule="auto"/>
        <w:jc w:val="center"/>
        <w:rPr>
          <w:rFonts w:ascii="Times New Roman" w:cs="Times New Roman" w:eastAsia="Times New Roman" w:hAnsi="Times New Roman"/>
          <w:b w:val="1"/>
          <w:sz w:val="36"/>
          <w:szCs w:val="36"/>
        </w:rPr>
      </w:pPr>
      <w:r w:rsidDel="00000000" w:rsidR="00000000" w:rsidRPr="00000000">
        <w:rPr>
          <w:rFonts w:ascii="Times New Roman" w:cs="Times New Roman" w:eastAsia="Times New Roman" w:hAnsi="Times New Roman"/>
          <w:b w:val="1"/>
          <w:sz w:val="36"/>
          <w:szCs w:val="36"/>
          <w:rtl w:val="0"/>
        </w:rPr>
        <w:t xml:space="preserve">Public Comment Guidelines</w:t>
      </w:r>
    </w:p>
    <w:p w:rsidR="00000000" w:rsidDel="00000000" w:rsidP="00000000" w:rsidRDefault="00000000" w:rsidRPr="00000000" w14:paraId="00000008">
      <w:pPr>
        <w:spacing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Welcome to the Channing Hall Board of Trustees Meeting.  We appreciate your interest in what we do as well as respect and value input from the public. </w:t>
      </w:r>
    </w:p>
    <w:p w:rsidR="00000000" w:rsidDel="00000000" w:rsidP="00000000" w:rsidRDefault="00000000" w:rsidRPr="00000000" w14:paraId="00000009">
      <w:pPr>
        <w:spacing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such, while not required by law, the first five minutes of every open board meeting is reserved for public comment. One individual may take up to 2 minutes and if speaking for a group, he or she may take up to 5 minutes.* A public comment can express simple support of or dissent for a regulatory action.  However, a constructive comment supported with evidence, data, and information is more likely to influence regulatory decision-making.  Speakers making a highly detailed or complex comment should also consider providing a written outline of their comments to the Board by emailing board@channinghall.org. The same person may present the same issue for discussion only once in a three month period to give the board time to address that issue.  Please be aware that it is the Board’s practice to listen and take notes during public comment, not engage in discussion and that any comments made are part of the public record of the meeting.</w:t>
      </w:r>
    </w:p>
    <w:p w:rsidR="00000000" w:rsidDel="00000000" w:rsidP="00000000" w:rsidRDefault="00000000" w:rsidRPr="00000000" w14:paraId="0000000A">
      <w:pPr>
        <w:spacing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*Note: The Board does not engage in public comment about individual students, teachers, or staff to protect their privacy.  It is not appropriate to complain about, attack or defame an individual; personnel issues cannot be discussed at public board meetings and must be addressed in a closed session in which case only board members and specifically invited individuals may attend.  Adherence to this policy will be strictly enforced by the Board Chair.</w:t>
      </w:r>
    </w:p>
    <w:p w:rsidR="00000000" w:rsidDel="00000000" w:rsidP="00000000" w:rsidRDefault="00000000" w:rsidRPr="00000000" w14:paraId="0000000B">
      <w:pPr>
        <w:spacing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(See Channing Hall Family Handbook and/or Governance Policy GC-19)</w:t>
      </w:r>
    </w:p>
    <w:p w:rsidR="00000000" w:rsidDel="00000000" w:rsidP="00000000" w:rsidRDefault="00000000" w:rsidRPr="00000000" w14:paraId="0000000C">
      <w:pPr>
        <w:spacing w:before="24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Updated April 2023</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