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357A" w:rsidRPr="006C274D" w14:paraId="1E35CB9B" w14:textId="77777777" w:rsidTr="00D1151D">
        <w:tc>
          <w:tcPr>
            <w:tcW w:w="4675" w:type="dxa"/>
          </w:tcPr>
          <w:p w14:paraId="0B4D1D93" w14:textId="77777777" w:rsidR="0035357A" w:rsidRPr="006C274D" w:rsidRDefault="00643413" w:rsidP="00D1151D">
            <w:pPr>
              <w:suppressAutoHyphens/>
              <w:spacing w:line="240" w:lineRule="atLeast"/>
              <w:rPr>
                <w:rFonts w:ascii="Times New Roman" w:hAnsi="Times New Roman" w:cs="Times New Roman"/>
                <w:b/>
                <w:bCs/>
                <w:spacing w:val="-3"/>
              </w:rPr>
            </w:pPr>
            <w:r>
              <w:rPr>
                <w:rFonts w:ascii="Times New Roman" w:hAnsi="Times New Roman" w:cs="Times New Roman"/>
                <w:b/>
                <w:bCs/>
                <w:spacing w:val="-3"/>
              </w:rPr>
              <w:t xml:space="preserve"> </w:t>
            </w:r>
          </w:p>
        </w:tc>
        <w:tc>
          <w:tcPr>
            <w:tcW w:w="4675" w:type="dxa"/>
            <w:vMerge w:val="restart"/>
          </w:tcPr>
          <w:p w14:paraId="2874502B" w14:textId="77777777" w:rsidR="0035357A" w:rsidRPr="006C274D" w:rsidRDefault="0035357A" w:rsidP="00D1151D">
            <w:pPr>
              <w:suppressAutoHyphens/>
              <w:spacing w:line="240" w:lineRule="atLeast"/>
              <w:rPr>
                <w:rFonts w:ascii="Times New Roman" w:hAnsi="Times New Roman" w:cs="Times New Roman"/>
                <w:bCs/>
                <w:spacing w:val="-3"/>
                <w:sz w:val="96"/>
                <w:szCs w:val="96"/>
              </w:rPr>
            </w:pPr>
            <w:r w:rsidRPr="006C274D">
              <w:rPr>
                <w:rFonts w:ascii="Times New Roman" w:hAnsi="Times New Roman" w:cs="Times New Roman"/>
                <w:bCs/>
                <w:spacing w:val="-3"/>
                <w:sz w:val="96"/>
                <w:szCs w:val="96"/>
              </w:rPr>
              <w:t>DRAFT</w:t>
            </w:r>
          </w:p>
          <w:p w14:paraId="11344B34" w14:textId="77777777" w:rsidR="0035357A" w:rsidRPr="006C274D" w:rsidRDefault="0035357A" w:rsidP="00D1151D">
            <w:pPr>
              <w:suppressAutoHyphens/>
              <w:spacing w:line="240" w:lineRule="atLeast"/>
              <w:jc w:val="center"/>
              <w:rPr>
                <w:rFonts w:ascii="Times New Roman" w:hAnsi="Times New Roman" w:cs="Times New Roman"/>
                <w:b/>
                <w:bCs/>
                <w:spacing w:val="-3"/>
              </w:rPr>
            </w:pPr>
          </w:p>
        </w:tc>
      </w:tr>
      <w:tr w:rsidR="0035357A" w:rsidRPr="006C274D" w14:paraId="7F84928C" w14:textId="77777777" w:rsidTr="00D1151D">
        <w:tc>
          <w:tcPr>
            <w:tcW w:w="4675" w:type="dxa"/>
          </w:tcPr>
          <w:p w14:paraId="10D0B840" w14:textId="77777777" w:rsidR="0035357A" w:rsidRPr="00B31E2E" w:rsidRDefault="0035357A" w:rsidP="00D1151D">
            <w:pPr>
              <w:suppressAutoHyphens/>
              <w:spacing w:line="240" w:lineRule="atLeast"/>
              <w:rPr>
                <w:rFonts w:ascii="Times New Roman" w:hAnsi="Times New Roman" w:cs="Times New Roman"/>
                <w:b/>
                <w:bCs/>
                <w:spacing w:val="-3"/>
                <w:sz w:val="24"/>
                <w:szCs w:val="24"/>
              </w:rPr>
            </w:pPr>
            <w:r w:rsidRPr="00B31E2E">
              <w:rPr>
                <w:rFonts w:ascii="Times New Roman" w:hAnsi="Times New Roman" w:cs="Times New Roman"/>
                <w:b/>
                <w:bCs/>
                <w:spacing w:val="-3"/>
                <w:sz w:val="24"/>
                <w:szCs w:val="24"/>
              </w:rPr>
              <w:t>Draft Amendment</w:t>
            </w:r>
          </w:p>
          <w:p w14:paraId="323938E8" w14:textId="6CBC9307" w:rsidR="0035357A" w:rsidRPr="006C274D" w:rsidRDefault="000E79A1" w:rsidP="00D1151D">
            <w:pPr>
              <w:suppressAutoHyphens/>
              <w:spacing w:line="240" w:lineRule="atLeast"/>
              <w:rPr>
                <w:rFonts w:ascii="Times New Roman" w:hAnsi="Times New Roman" w:cs="Times New Roman"/>
                <w:b/>
                <w:bCs/>
                <w:spacing w:val="-3"/>
              </w:rPr>
            </w:pPr>
            <w:r>
              <w:rPr>
                <w:rFonts w:ascii="Times New Roman" w:hAnsi="Times New Roman" w:cs="Times New Roman"/>
                <w:b/>
                <w:bCs/>
                <w:spacing w:val="-3"/>
                <w:sz w:val="24"/>
                <w:szCs w:val="24"/>
              </w:rPr>
              <w:t>June 4</w:t>
            </w:r>
            <w:r w:rsidR="00BA52F4">
              <w:rPr>
                <w:rFonts w:ascii="Times New Roman" w:hAnsi="Times New Roman" w:cs="Times New Roman"/>
                <w:b/>
                <w:bCs/>
                <w:spacing w:val="-3"/>
                <w:sz w:val="24"/>
                <w:szCs w:val="24"/>
              </w:rPr>
              <w:t>, 202</w:t>
            </w:r>
            <w:r>
              <w:rPr>
                <w:rFonts w:ascii="Times New Roman" w:hAnsi="Times New Roman" w:cs="Times New Roman"/>
                <w:b/>
                <w:bCs/>
                <w:spacing w:val="-3"/>
                <w:sz w:val="24"/>
                <w:szCs w:val="24"/>
              </w:rPr>
              <w:t>4</w:t>
            </w:r>
          </w:p>
        </w:tc>
        <w:tc>
          <w:tcPr>
            <w:tcW w:w="4675" w:type="dxa"/>
            <w:vMerge/>
          </w:tcPr>
          <w:p w14:paraId="5848E4F6" w14:textId="77777777" w:rsidR="0035357A" w:rsidRPr="006C274D" w:rsidRDefault="0035357A" w:rsidP="00D1151D">
            <w:pPr>
              <w:suppressAutoHyphens/>
              <w:spacing w:line="240" w:lineRule="atLeast"/>
              <w:rPr>
                <w:rFonts w:ascii="Times New Roman" w:hAnsi="Times New Roman" w:cs="Times New Roman"/>
                <w:b/>
                <w:bCs/>
                <w:spacing w:val="-3"/>
              </w:rPr>
            </w:pPr>
          </w:p>
        </w:tc>
      </w:tr>
    </w:tbl>
    <w:p w14:paraId="1BF6F541" w14:textId="77777777" w:rsidR="0035357A" w:rsidRDefault="0035357A" w:rsidP="0035357A">
      <w:pPr>
        <w:autoSpaceDE w:val="0"/>
        <w:autoSpaceDN w:val="0"/>
        <w:adjustRightInd w:val="0"/>
        <w:spacing w:after="0" w:line="240" w:lineRule="auto"/>
        <w:rPr>
          <w:rFonts w:ascii="Times New Roman" w:hAnsi="Times New Roman" w:cs="Times New Roman"/>
          <w:bCs/>
          <w:sz w:val="24"/>
          <w:szCs w:val="24"/>
        </w:rPr>
      </w:pPr>
    </w:p>
    <w:p w14:paraId="6C2B83C5" w14:textId="77777777" w:rsidR="005C3FBA" w:rsidRDefault="005C3FBA" w:rsidP="0035357A">
      <w:pPr>
        <w:autoSpaceDE w:val="0"/>
        <w:autoSpaceDN w:val="0"/>
        <w:adjustRightInd w:val="0"/>
        <w:spacing w:after="0" w:line="240" w:lineRule="auto"/>
        <w:rPr>
          <w:rFonts w:ascii="Times New Roman" w:hAnsi="Times New Roman" w:cs="Times New Roman"/>
          <w:b/>
          <w:bCs/>
          <w:spacing w:val="-3"/>
          <w:sz w:val="24"/>
          <w:szCs w:val="24"/>
        </w:rPr>
        <w:sectPr w:rsidR="005C3FBA">
          <w:pgSz w:w="12240" w:h="15840"/>
          <w:pgMar w:top="1440" w:right="1440" w:bottom="1440" w:left="1440" w:header="720" w:footer="720" w:gutter="0"/>
          <w:cols w:space="720"/>
          <w:docGrid w:linePitch="360"/>
        </w:sectPr>
      </w:pPr>
    </w:p>
    <w:p w14:paraId="5C6B0F81"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
          <w:bCs/>
          <w:spacing w:val="-3"/>
          <w:sz w:val="24"/>
          <w:szCs w:val="24"/>
        </w:rPr>
        <w:t xml:space="preserve">R884-24P-16.  Assessment of </w:t>
      </w:r>
      <w:proofErr w:type="spellStart"/>
      <w:r w:rsidRPr="00005B39">
        <w:rPr>
          <w:rFonts w:ascii="Times New Roman" w:hAnsi="Times New Roman" w:cs="Times New Roman"/>
          <w:b/>
          <w:bCs/>
          <w:spacing w:val="-3"/>
          <w:sz w:val="24"/>
          <w:szCs w:val="24"/>
        </w:rPr>
        <w:t>Interlocal</w:t>
      </w:r>
      <w:proofErr w:type="spellEnd"/>
      <w:r w:rsidRPr="00005B39">
        <w:rPr>
          <w:rFonts w:ascii="Times New Roman" w:hAnsi="Times New Roman" w:cs="Times New Roman"/>
          <w:b/>
          <w:bCs/>
          <w:spacing w:val="-3"/>
          <w:sz w:val="24"/>
          <w:szCs w:val="24"/>
        </w:rPr>
        <w:t xml:space="preserve"> Cooperation Act Project Entity Properties Pursuant to Utah Code Ann. Section 11-13-302.</w:t>
      </w:r>
    </w:p>
    <w:p w14:paraId="123EBA48"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(1)  Definitions:</w:t>
      </w:r>
    </w:p>
    <w:p w14:paraId="0B7D1DA6"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(a)  "Utah fair market value" means the fair market value of that portion of the property of a project entity located within Utah upon which the fee in lieu of ad valorem property tax may be calculated.</w:t>
      </w:r>
    </w:p>
    <w:p w14:paraId="59E71357"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(b)  "Fee" means the annual fee in lieu of ad valorem property tax payable by a project entity pursuant to Section 11-13-302.</w:t>
      </w:r>
    </w:p>
    <w:p w14:paraId="10DDC6A0"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(c)  "Energy supplier" means an entity that purchases any capacity, service or other benefit of a project to provide electrical service.</w:t>
      </w:r>
    </w:p>
    <w:p w14:paraId="2719AFAF"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(d)  "Exempt energy supplier" means an energy supplier whose tangible property is exempted by Article XIII, Sec. 3 of the Constitution of Utah from the payment of ad valorem property tax.</w:t>
      </w:r>
    </w:p>
    <w:p w14:paraId="1F7591F6"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(e)  "Optimum operating capacity" means the capacity at which a project is capable of operating on a sustained basis taking into account its design, actual operating history, maintenance requirements, and similar information from comparable projects, if any.  The determination of the projected and actual optimum operating capacities of a project shall recognize that projects are not normally operated on a sustained basis at 100 percent of their designed or actual capacities and that the optimum level for operating a project on a sustained basis may vary from project to project.</w:t>
      </w:r>
    </w:p>
    <w:p w14:paraId="7C6D457B"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(f)  "Property" means any electric generating facilities, transmission facilities, distribution facilities, fuel facilities, fuel transportation facilities, water facilities, land, water or other existing facilities or tangible property owned by a project entity and required for the project which, if owned by an entity required to pay ad valorem property taxes, would be subject to assessment for ad valorem tax purposes.</w:t>
      </w:r>
    </w:p>
    <w:p w14:paraId="070F8BF4" w14:textId="2911CED1" w:rsidR="00005B39" w:rsidRPr="003A3A81" w:rsidRDefault="00005B39" w:rsidP="00005B39">
      <w:pPr>
        <w:shd w:val="clear" w:color="auto" w:fill="FFFFFF"/>
        <w:spacing w:after="0"/>
        <w:rPr>
          <w:rFonts w:ascii="Times New Roman" w:hAnsi="Times New Roman" w:cs="Times New Roman"/>
          <w:bCs/>
          <w:spacing w:val="-3"/>
          <w:sz w:val="24"/>
          <w:szCs w:val="24"/>
          <w:u w:val="single"/>
        </w:rPr>
      </w:pPr>
      <w:r w:rsidRPr="00005B39">
        <w:rPr>
          <w:rFonts w:ascii="Times New Roman" w:hAnsi="Times New Roman" w:cs="Times New Roman"/>
          <w:bCs/>
          <w:spacing w:val="-3"/>
          <w:sz w:val="24"/>
          <w:szCs w:val="24"/>
        </w:rPr>
        <w:tab/>
        <w:t xml:space="preserve">(g)  "Sold," </w:t>
      </w:r>
      <w:r w:rsidR="003A3A81">
        <w:rPr>
          <w:rFonts w:ascii="Times New Roman" w:hAnsi="Times New Roman" w:cs="Times New Roman"/>
          <w:bCs/>
          <w:spacing w:val="-3"/>
          <w:sz w:val="24"/>
          <w:szCs w:val="24"/>
        </w:rPr>
        <w:t>[</w:t>
      </w:r>
      <w:r w:rsidRPr="003A3A81">
        <w:rPr>
          <w:rFonts w:ascii="Times New Roman" w:hAnsi="Times New Roman" w:cs="Times New Roman"/>
          <w:bCs/>
          <w:strike/>
          <w:spacing w:val="-3"/>
          <w:sz w:val="24"/>
          <w:szCs w:val="24"/>
        </w:rPr>
        <w:t>for the purpose of interpreting Subsection (4),</w:t>
      </w:r>
      <w:r w:rsidR="003A3A81">
        <w:rPr>
          <w:rFonts w:ascii="Times New Roman" w:hAnsi="Times New Roman" w:cs="Times New Roman"/>
          <w:bCs/>
          <w:spacing w:val="-3"/>
          <w:sz w:val="24"/>
          <w:szCs w:val="24"/>
        </w:rPr>
        <w:t>]</w:t>
      </w:r>
      <w:r w:rsidRPr="00005B39">
        <w:rPr>
          <w:rFonts w:ascii="Times New Roman" w:hAnsi="Times New Roman" w:cs="Times New Roman"/>
          <w:bCs/>
          <w:spacing w:val="-3"/>
          <w:sz w:val="24"/>
          <w:szCs w:val="24"/>
        </w:rPr>
        <w:t xml:space="preserve"> means the </w:t>
      </w:r>
      <w:r w:rsidR="0081491F">
        <w:rPr>
          <w:rFonts w:ascii="Times New Roman" w:hAnsi="Times New Roman" w:cs="Times New Roman"/>
          <w:bCs/>
          <w:spacing w:val="-3"/>
          <w:sz w:val="24"/>
          <w:szCs w:val="24"/>
        </w:rPr>
        <w:t>[</w:t>
      </w:r>
      <w:r w:rsidRPr="0081491F">
        <w:rPr>
          <w:rFonts w:ascii="Times New Roman" w:hAnsi="Times New Roman" w:cs="Times New Roman"/>
          <w:bCs/>
          <w:strike/>
          <w:spacing w:val="-3"/>
          <w:sz w:val="24"/>
          <w:szCs w:val="24"/>
        </w:rPr>
        <w:t>first</w:t>
      </w:r>
      <w:r w:rsidR="0081491F">
        <w:rPr>
          <w:rFonts w:ascii="Times New Roman" w:hAnsi="Times New Roman" w:cs="Times New Roman"/>
          <w:bCs/>
          <w:spacing w:val="-3"/>
          <w:sz w:val="24"/>
          <w:szCs w:val="24"/>
        </w:rPr>
        <w:t>]</w:t>
      </w:r>
      <w:r w:rsidRPr="00005B39">
        <w:rPr>
          <w:rFonts w:ascii="Times New Roman" w:hAnsi="Times New Roman" w:cs="Times New Roman"/>
          <w:bCs/>
          <w:spacing w:val="-3"/>
          <w:sz w:val="24"/>
          <w:szCs w:val="24"/>
        </w:rPr>
        <w:t xml:space="preserve"> sale of </w:t>
      </w:r>
      <w:r w:rsidR="0081491F">
        <w:rPr>
          <w:rFonts w:ascii="Times New Roman" w:hAnsi="Times New Roman" w:cs="Times New Roman"/>
          <w:bCs/>
          <w:spacing w:val="-3"/>
          <w:sz w:val="24"/>
          <w:szCs w:val="24"/>
        </w:rPr>
        <w:t>[</w:t>
      </w:r>
      <w:r w:rsidRPr="0081491F">
        <w:rPr>
          <w:rFonts w:ascii="Times New Roman" w:hAnsi="Times New Roman" w:cs="Times New Roman"/>
          <w:bCs/>
          <w:strike/>
          <w:spacing w:val="-3"/>
          <w:sz w:val="24"/>
          <w:szCs w:val="24"/>
        </w:rPr>
        <w:t>the</w:t>
      </w:r>
      <w:r w:rsidR="0081491F">
        <w:rPr>
          <w:rFonts w:ascii="Times New Roman" w:hAnsi="Times New Roman" w:cs="Times New Roman"/>
          <w:bCs/>
          <w:spacing w:val="-3"/>
          <w:sz w:val="24"/>
          <w:szCs w:val="24"/>
        </w:rPr>
        <w:t>]</w:t>
      </w:r>
      <w:r w:rsidRPr="00005B39">
        <w:rPr>
          <w:rFonts w:ascii="Times New Roman" w:hAnsi="Times New Roman" w:cs="Times New Roman"/>
          <w:bCs/>
          <w:spacing w:val="-3"/>
          <w:sz w:val="24"/>
          <w:szCs w:val="24"/>
        </w:rPr>
        <w:t xml:space="preserve"> capacity, service, or other benefit produced by the project</w:t>
      </w:r>
      <w:r w:rsidR="0081491F">
        <w:rPr>
          <w:rFonts w:ascii="Times New Roman" w:hAnsi="Times New Roman" w:cs="Times New Roman"/>
          <w:bCs/>
          <w:spacing w:val="-3"/>
          <w:sz w:val="24"/>
          <w:szCs w:val="24"/>
          <w:u w:val="single"/>
        </w:rPr>
        <w:t>.</w:t>
      </w:r>
      <w:r w:rsidRPr="00005B39">
        <w:rPr>
          <w:rFonts w:ascii="Times New Roman" w:hAnsi="Times New Roman" w:cs="Times New Roman"/>
          <w:bCs/>
          <w:spacing w:val="-3"/>
          <w:sz w:val="24"/>
          <w:szCs w:val="24"/>
        </w:rPr>
        <w:t xml:space="preserve"> </w:t>
      </w:r>
      <w:r w:rsidR="0081491F">
        <w:rPr>
          <w:rFonts w:ascii="Times New Roman" w:hAnsi="Times New Roman" w:cs="Times New Roman"/>
          <w:bCs/>
          <w:spacing w:val="-3"/>
          <w:sz w:val="24"/>
          <w:szCs w:val="24"/>
        </w:rPr>
        <w:t>[</w:t>
      </w:r>
      <w:r w:rsidRPr="003A3A81">
        <w:rPr>
          <w:rFonts w:ascii="Times New Roman" w:hAnsi="Times New Roman" w:cs="Times New Roman"/>
          <w:bCs/>
          <w:strike/>
          <w:spacing w:val="-3"/>
          <w:sz w:val="24"/>
          <w:szCs w:val="24"/>
        </w:rPr>
        <w:t>without regard to any subsequent sale, resale, or lay-off of that capacity, service, or other benefit.</w:t>
      </w:r>
      <w:r w:rsidR="003A3A81">
        <w:rPr>
          <w:rFonts w:ascii="Times New Roman" w:hAnsi="Times New Roman" w:cs="Times New Roman"/>
          <w:bCs/>
          <w:spacing w:val="-3"/>
          <w:sz w:val="24"/>
          <w:szCs w:val="24"/>
        </w:rPr>
        <w:t>]</w:t>
      </w:r>
    </w:p>
    <w:p w14:paraId="7A78C450" w14:textId="5470193A"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(h)  "Taxing jurisdiction" means a political subdivision of this state in which any portion of the project is located.</w:t>
      </w:r>
    </w:p>
    <w:p w14:paraId="06102581" w14:textId="3E4220BE"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r>
      <w:r w:rsidRPr="00CA1821">
        <w:rPr>
          <w:rFonts w:ascii="Times New Roman" w:hAnsi="Times New Roman" w:cs="Times New Roman"/>
          <w:bCs/>
          <w:spacing w:val="-3"/>
          <w:sz w:val="24"/>
          <w:szCs w:val="24"/>
        </w:rPr>
        <w:t>(</w:t>
      </w:r>
      <w:proofErr w:type="spellStart"/>
      <w:r w:rsidRPr="00CA1821">
        <w:rPr>
          <w:rFonts w:ascii="Times New Roman" w:hAnsi="Times New Roman" w:cs="Times New Roman"/>
          <w:bCs/>
          <w:spacing w:val="-3"/>
          <w:sz w:val="24"/>
          <w:szCs w:val="24"/>
        </w:rPr>
        <w:t>i</w:t>
      </w:r>
      <w:proofErr w:type="spellEnd"/>
      <w:r w:rsidRPr="00CA1821">
        <w:rPr>
          <w:rFonts w:ascii="Times New Roman" w:hAnsi="Times New Roman" w:cs="Times New Roman"/>
          <w:bCs/>
          <w:spacing w:val="-3"/>
          <w:sz w:val="24"/>
          <w:szCs w:val="24"/>
        </w:rPr>
        <w:t>)</w:t>
      </w:r>
      <w:r w:rsidRPr="00005B39">
        <w:rPr>
          <w:rFonts w:ascii="Times New Roman" w:hAnsi="Times New Roman" w:cs="Times New Roman"/>
          <w:bCs/>
          <w:spacing w:val="-3"/>
          <w:sz w:val="24"/>
          <w:szCs w:val="24"/>
        </w:rPr>
        <w:t xml:space="preserve">  All definitions contained in Section 11-13-103 apply to this rule.</w:t>
      </w:r>
    </w:p>
    <w:p w14:paraId="347B83D4"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(2)  The Tax Commission shall determine the fair market value of the property of each project entity.  Fair market value shall be based upon standard appraisal theory and shall be determined by correlating estimates derived from the income and cost approaches to value described below.</w:t>
      </w:r>
    </w:p>
    <w:p w14:paraId="017D3E2D"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(a)  The income approach to value requires the imputation of an income stream and a capitalization rate.  The incom</w:t>
      </w:r>
      <w:bookmarkStart w:id="0" w:name="_GoBack"/>
      <w:bookmarkEnd w:id="0"/>
      <w:r w:rsidRPr="00005B39">
        <w:rPr>
          <w:rFonts w:ascii="Times New Roman" w:hAnsi="Times New Roman" w:cs="Times New Roman"/>
          <w:bCs/>
          <w:spacing w:val="-3"/>
          <w:sz w:val="24"/>
          <w:szCs w:val="24"/>
        </w:rPr>
        <w:t xml:space="preserve">e stream may be based on recognized indicators such as average income, weighted income, trended income, present value of future income streams, performance ratios, and discounted cash flows.  The imputation of income stream and capitalization rate shall be </w:t>
      </w:r>
      <w:r w:rsidRPr="00005B39">
        <w:rPr>
          <w:rFonts w:ascii="Times New Roman" w:hAnsi="Times New Roman" w:cs="Times New Roman"/>
          <w:bCs/>
          <w:spacing w:val="-3"/>
          <w:sz w:val="24"/>
          <w:szCs w:val="24"/>
        </w:rPr>
        <w:lastRenderedPageBreak/>
        <w:t>derived from the data of other similarly situated companies.  Similarity shall be based on factors such as location, fuel mix, customer mix, size and bond ratings.  Estimates may also be imputed from industry data generally.  Income data from similarly situated companies will be adjusted to reflect differences in governmental regulatory and tax policies.</w:t>
      </w:r>
    </w:p>
    <w:p w14:paraId="3CC6F5E0"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(b)  The cost approach to value shall consist of the total of the property's net book value of the project's property.  This total shall then be adjusted for obsolescence if any.</w:t>
      </w:r>
    </w:p>
    <w:p w14:paraId="37D36EB0"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(c)  In addition to, and not in lieu of, any adjustments for obsolescence made pursuant to Subsection (2)(b), a phase-in adjustment shall be made to the assessed valuation of any new project or expansion of an existing project on which construction commenced by a project entity after January 1, 1989 as follows:</w:t>
      </w:r>
    </w:p>
    <w:p w14:paraId="454A32D9"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w:t>
      </w:r>
      <w:proofErr w:type="spellStart"/>
      <w:r w:rsidRPr="00005B39">
        <w:rPr>
          <w:rFonts w:ascii="Times New Roman" w:hAnsi="Times New Roman" w:cs="Times New Roman"/>
          <w:bCs/>
          <w:spacing w:val="-3"/>
          <w:sz w:val="24"/>
          <w:szCs w:val="24"/>
        </w:rPr>
        <w:t>i</w:t>
      </w:r>
      <w:proofErr w:type="spellEnd"/>
      <w:r w:rsidRPr="00005B39">
        <w:rPr>
          <w:rFonts w:ascii="Times New Roman" w:hAnsi="Times New Roman" w:cs="Times New Roman"/>
          <w:bCs/>
          <w:spacing w:val="-3"/>
          <w:sz w:val="24"/>
          <w:szCs w:val="24"/>
        </w:rPr>
        <w:t>)  During the period the new project or expansion is valued as construction work in process, its assessed valuation shall be multiplied by the percentage calculated by dividing its projected production as of the projected date of completion of construction by its projected optimum operating capacity as of that date.</w:t>
      </w:r>
    </w:p>
    <w:p w14:paraId="4A8D91AA"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(ii)  Once the new project or expansion ceases to be valued as construction work in progress, its assessed valuation shall be multiplied by the percentage calculated by dividing its actual production by its actual optimum operating capacity. After the new project or expansion has sustained actual production at its optimum operating capacity during any tax year, this percentage shall be deemed to be 100 percent for the remainder of its useful life.</w:t>
      </w:r>
    </w:p>
    <w:p w14:paraId="3419F0A3"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(3)  If portions of the property of the project entity are located in states in addition to Utah and those states do not apply a unit valuation approach to that property, the fair market value of the property allocable to Utah shall be determined by computing the cost approach to value on the basis of the net book value of the property located in Utah and imputing an estimated income stream based solely on the value of the Utah property as computed under the cost approach. The correlated value so determined shall be the Utah fair market value of the property.</w:t>
      </w:r>
    </w:p>
    <w:p w14:paraId="62317ACC" w14:textId="77777777" w:rsid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(4)</w:t>
      </w:r>
      <w:r w:rsidR="003A3A81">
        <w:rPr>
          <w:rFonts w:ascii="Times New Roman" w:hAnsi="Times New Roman" w:cs="Times New Roman"/>
          <w:bCs/>
          <w:spacing w:val="-3"/>
          <w:sz w:val="24"/>
          <w:szCs w:val="24"/>
          <w:u w:val="single"/>
        </w:rPr>
        <w:t>(a)</w:t>
      </w:r>
      <w:r w:rsidRPr="00005B39">
        <w:rPr>
          <w:rFonts w:ascii="Times New Roman" w:hAnsi="Times New Roman" w:cs="Times New Roman"/>
          <w:bCs/>
          <w:spacing w:val="-3"/>
          <w:sz w:val="24"/>
          <w:szCs w:val="24"/>
        </w:rPr>
        <w:t xml:space="preserve">  Before fixing and apportioning the Utah fair market value of the property to the respective taxing jurisdictions in which the property, or a portion thereof is located, the Utah fair market value of the property shall be reduced by the percentage of the capacity, service, or other benefit sold by the project entity to exempt energy suppliers.</w:t>
      </w:r>
    </w:p>
    <w:p w14:paraId="1F40DF4B" w14:textId="19C78F2D" w:rsidR="003A3A81" w:rsidRPr="003A3A81" w:rsidRDefault="003A3A81" w:rsidP="00005B39">
      <w:pPr>
        <w:shd w:val="clear" w:color="auto" w:fill="FFFFFF"/>
        <w:spacing w:after="0"/>
        <w:rPr>
          <w:rFonts w:ascii="Times New Roman" w:hAnsi="Times New Roman" w:cs="Times New Roman"/>
          <w:bCs/>
          <w:spacing w:val="-3"/>
          <w:sz w:val="24"/>
          <w:szCs w:val="24"/>
          <w:u w:val="single"/>
        </w:rPr>
      </w:pPr>
      <w:r>
        <w:rPr>
          <w:rFonts w:ascii="Times New Roman" w:hAnsi="Times New Roman" w:cs="Times New Roman"/>
          <w:bCs/>
          <w:spacing w:val="-3"/>
          <w:sz w:val="24"/>
          <w:szCs w:val="24"/>
        </w:rPr>
        <w:tab/>
      </w:r>
      <w:r>
        <w:rPr>
          <w:rFonts w:ascii="Times New Roman" w:hAnsi="Times New Roman" w:cs="Times New Roman"/>
          <w:bCs/>
          <w:spacing w:val="-3"/>
          <w:sz w:val="24"/>
          <w:szCs w:val="24"/>
          <w:u w:val="single"/>
        </w:rPr>
        <w:t xml:space="preserve">(b) The Utah fair market value of the property </w:t>
      </w:r>
      <w:r w:rsidR="00647D62">
        <w:rPr>
          <w:rFonts w:ascii="Times New Roman" w:hAnsi="Times New Roman" w:cs="Times New Roman"/>
          <w:bCs/>
          <w:spacing w:val="-3"/>
          <w:sz w:val="24"/>
          <w:szCs w:val="24"/>
          <w:u w:val="single"/>
        </w:rPr>
        <w:t>may</w:t>
      </w:r>
      <w:r>
        <w:rPr>
          <w:rFonts w:ascii="Times New Roman" w:hAnsi="Times New Roman" w:cs="Times New Roman"/>
          <w:bCs/>
          <w:spacing w:val="-3"/>
          <w:sz w:val="24"/>
          <w:szCs w:val="24"/>
          <w:u w:val="single"/>
        </w:rPr>
        <w:t xml:space="preserve"> not be reduced by </w:t>
      </w:r>
      <w:r w:rsidR="00264B42">
        <w:rPr>
          <w:rFonts w:ascii="Times New Roman" w:hAnsi="Times New Roman" w:cs="Times New Roman"/>
          <w:bCs/>
          <w:spacing w:val="-3"/>
          <w:sz w:val="24"/>
          <w:szCs w:val="24"/>
          <w:u w:val="single"/>
        </w:rPr>
        <w:t xml:space="preserve">any </w:t>
      </w:r>
      <w:r>
        <w:rPr>
          <w:rFonts w:ascii="Times New Roman" w:hAnsi="Times New Roman" w:cs="Times New Roman"/>
          <w:bCs/>
          <w:spacing w:val="-3"/>
          <w:sz w:val="24"/>
          <w:szCs w:val="24"/>
          <w:u w:val="single"/>
        </w:rPr>
        <w:t xml:space="preserve">capacity, service, or other benefit sold by the project entity to </w:t>
      </w:r>
      <w:r w:rsidR="00647D62">
        <w:rPr>
          <w:rFonts w:ascii="Times New Roman" w:hAnsi="Times New Roman" w:cs="Times New Roman"/>
          <w:bCs/>
          <w:spacing w:val="-3"/>
          <w:sz w:val="24"/>
          <w:szCs w:val="24"/>
          <w:u w:val="single"/>
        </w:rPr>
        <w:t xml:space="preserve">an </w:t>
      </w:r>
      <w:r>
        <w:rPr>
          <w:rFonts w:ascii="Times New Roman" w:hAnsi="Times New Roman" w:cs="Times New Roman"/>
          <w:bCs/>
          <w:spacing w:val="-3"/>
          <w:sz w:val="24"/>
          <w:szCs w:val="24"/>
          <w:u w:val="single"/>
        </w:rPr>
        <w:t>exempt energy supplier if</w:t>
      </w:r>
      <w:r w:rsidR="00264B42">
        <w:rPr>
          <w:rFonts w:ascii="Times New Roman" w:hAnsi="Times New Roman" w:cs="Times New Roman"/>
          <w:bCs/>
          <w:spacing w:val="-3"/>
          <w:sz w:val="24"/>
          <w:szCs w:val="24"/>
          <w:u w:val="single"/>
        </w:rPr>
        <w:t xml:space="preserve"> </w:t>
      </w:r>
      <w:r>
        <w:rPr>
          <w:rFonts w:ascii="Times New Roman" w:hAnsi="Times New Roman" w:cs="Times New Roman"/>
          <w:bCs/>
          <w:spacing w:val="-3"/>
          <w:sz w:val="24"/>
          <w:szCs w:val="24"/>
          <w:u w:val="single"/>
        </w:rPr>
        <w:t>the capacity, service, or other benefit</w:t>
      </w:r>
      <w:r w:rsidR="00264B42">
        <w:rPr>
          <w:rFonts w:ascii="Times New Roman" w:hAnsi="Times New Roman" w:cs="Times New Roman"/>
          <w:bCs/>
          <w:spacing w:val="-3"/>
          <w:sz w:val="24"/>
          <w:szCs w:val="24"/>
          <w:u w:val="single"/>
        </w:rPr>
        <w:t xml:space="preserve"> is subsequently </w:t>
      </w:r>
      <w:r w:rsidR="00647D62">
        <w:rPr>
          <w:rFonts w:ascii="Times New Roman" w:hAnsi="Times New Roman" w:cs="Times New Roman"/>
          <w:bCs/>
          <w:spacing w:val="-3"/>
          <w:sz w:val="24"/>
          <w:szCs w:val="24"/>
          <w:u w:val="single"/>
        </w:rPr>
        <w:t xml:space="preserve">resold or laid off </w:t>
      </w:r>
      <w:r w:rsidR="00264B42">
        <w:rPr>
          <w:rFonts w:ascii="Times New Roman" w:hAnsi="Times New Roman" w:cs="Times New Roman"/>
          <w:bCs/>
          <w:spacing w:val="-3"/>
          <w:sz w:val="24"/>
          <w:szCs w:val="24"/>
          <w:u w:val="single"/>
        </w:rPr>
        <w:t xml:space="preserve">by the exempt energy supplier to an energy supplier whose tangible property is not exempted by Utah Constitution, Article XIII, Section 3, from the payment of ad valorem property tax.    </w:t>
      </w:r>
      <w:r>
        <w:rPr>
          <w:rFonts w:ascii="Times New Roman" w:hAnsi="Times New Roman" w:cs="Times New Roman"/>
          <w:bCs/>
          <w:spacing w:val="-3"/>
          <w:sz w:val="24"/>
          <w:szCs w:val="24"/>
          <w:u w:val="single"/>
        </w:rPr>
        <w:t xml:space="preserve"> </w:t>
      </w:r>
    </w:p>
    <w:p w14:paraId="16C30B67"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(5)  For purposes of calculating the amount of the fee payable under Section 11-13-302(3), the percentage of the project that is used to produce the capacity, service or other benefit sold shall be deemed to be 100 percent, subject to adjustments provided by this rule, from the date the project is determined to be commercially operational.</w:t>
      </w:r>
    </w:p>
    <w:p w14:paraId="53992903" w14:textId="77777777" w:rsidR="00005B39"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t xml:space="preserve">(6)  In computing its tax rate pursuant to the formula specified in Subsection 59-2-924(4), each taxing jurisdiction in which the project property is located shall add to the amount of its budgeted property tax revenues the amount of any credit due to the project entity that year under Section 11-13-302(3), and shall divide the result by the sum of the taxable value of all property </w:t>
      </w:r>
      <w:r w:rsidRPr="00005B39">
        <w:rPr>
          <w:rFonts w:ascii="Times New Roman" w:hAnsi="Times New Roman" w:cs="Times New Roman"/>
          <w:bCs/>
          <w:spacing w:val="-3"/>
          <w:sz w:val="24"/>
          <w:szCs w:val="24"/>
        </w:rPr>
        <w:lastRenderedPageBreak/>
        <w:t>taxed, including the value of the project property apportioned to the jurisdiction, and further adjusted pursuant to the requirements of Section 59-2-924.</w:t>
      </w:r>
    </w:p>
    <w:p w14:paraId="35C73394" w14:textId="4CA03BF9" w:rsidR="001C651D" w:rsidRPr="00005B39" w:rsidRDefault="00005B39" w:rsidP="00005B39">
      <w:pPr>
        <w:shd w:val="clear" w:color="auto" w:fill="FFFFFF"/>
        <w:spacing w:after="0"/>
        <w:rPr>
          <w:rFonts w:ascii="Times New Roman" w:hAnsi="Times New Roman" w:cs="Times New Roman"/>
          <w:bCs/>
          <w:spacing w:val="-3"/>
          <w:sz w:val="24"/>
          <w:szCs w:val="24"/>
        </w:rPr>
      </w:pPr>
      <w:r w:rsidRPr="00005B39">
        <w:rPr>
          <w:rFonts w:ascii="Times New Roman" w:hAnsi="Times New Roman" w:cs="Times New Roman"/>
          <w:bCs/>
          <w:spacing w:val="-3"/>
          <w:sz w:val="24"/>
          <w:szCs w:val="24"/>
        </w:rPr>
        <w:tab/>
      </w:r>
      <w:r w:rsidR="000E79A1">
        <w:rPr>
          <w:rFonts w:ascii="Times New Roman" w:hAnsi="Times New Roman" w:cs="Times New Roman"/>
          <w:bCs/>
          <w:spacing w:val="-3"/>
          <w:sz w:val="24"/>
          <w:szCs w:val="24"/>
        </w:rPr>
        <w:t>[</w:t>
      </w:r>
      <w:r w:rsidRPr="000E79A1">
        <w:rPr>
          <w:rFonts w:ascii="Times New Roman" w:hAnsi="Times New Roman" w:cs="Times New Roman"/>
          <w:bCs/>
          <w:strike/>
          <w:spacing w:val="-3"/>
          <w:sz w:val="24"/>
          <w:szCs w:val="24"/>
        </w:rPr>
        <w:t>(7)  Subsections (2)(a) and (2)(b) are retroactive to the lien date of January 1, 1984.  Subsection (2)(c) is effective as of the lien date of January 1, 1989.  The remainder of this rule is retroactive to the lien date of January 1, 1988.</w:t>
      </w:r>
      <w:r w:rsidR="000E79A1">
        <w:rPr>
          <w:rFonts w:ascii="Times New Roman" w:hAnsi="Times New Roman" w:cs="Times New Roman"/>
          <w:bCs/>
          <w:spacing w:val="-3"/>
          <w:sz w:val="24"/>
          <w:szCs w:val="24"/>
        </w:rPr>
        <w:t>]</w:t>
      </w:r>
    </w:p>
    <w:sectPr w:rsidR="001C651D" w:rsidRPr="00005B39" w:rsidSect="008839AA">
      <w:type w:val="continuous"/>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21F03" w16cex:dateUtc="2024-04-23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A134A5" w16cid:durableId="29D21D65"/>
  <w16cid:commentId w16cid:paraId="256D6965" w16cid:durableId="29D21D66"/>
  <w16cid:commentId w16cid:paraId="0BC13BA9" w16cid:durableId="29D21F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F6DB8"/>
    <w:multiLevelType w:val="hybridMultilevel"/>
    <w:tmpl w:val="E2C8BAF2"/>
    <w:lvl w:ilvl="0" w:tplc="35F09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89"/>
    <w:rsid w:val="0000542B"/>
    <w:rsid w:val="00005B39"/>
    <w:rsid w:val="00017367"/>
    <w:rsid w:val="0008661D"/>
    <w:rsid w:val="000B22CA"/>
    <w:rsid w:val="000E080D"/>
    <w:rsid w:val="000E79A1"/>
    <w:rsid w:val="0011049B"/>
    <w:rsid w:val="00146103"/>
    <w:rsid w:val="001518DA"/>
    <w:rsid w:val="00160494"/>
    <w:rsid w:val="0019052E"/>
    <w:rsid w:val="001A467A"/>
    <w:rsid w:val="001B176F"/>
    <w:rsid w:val="001C651D"/>
    <w:rsid w:val="00224489"/>
    <w:rsid w:val="00264B42"/>
    <w:rsid w:val="00314DA9"/>
    <w:rsid w:val="00342E24"/>
    <w:rsid w:val="0035357A"/>
    <w:rsid w:val="003A3A81"/>
    <w:rsid w:val="00405ABC"/>
    <w:rsid w:val="0044769F"/>
    <w:rsid w:val="004941F9"/>
    <w:rsid w:val="004F02F4"/>
    <w:rsid w:val="005C3FBA"/>
    <w:rsid w:val="00643413"/>
    <w:rsid w:val="00647D62"/>
    <w:rsid w:val="006A7F3E"/>
    <w:rsid w:val="0074007F"/>
    <w:rsid w:val="0081491F"/>
    <w:rsid w:val="008500A7"/>
    <w:rsid w:val="008839AA"/>
    <w:rsid w:val="008E463C"/>
    <w:rsid w:val="009B0FC8"/>
    <w:rsid w:val="009C2AB4"/>
    <w:rsid w:val="009E2F47"/>
    <w:rsid w:val="009F1291"/>
    <w:rsid w:val="00A4208F"/>
    <w:rsid w:val="00AA4F57"/>
    <w:rsid w:val="00AC7789"/>
    <w:rsid w:val="00AE5412"/>
    <w:rsid w:val="00B448FD"/>
    <w:rsid w:val="00B56E23"/>
    <w:rsid w:val="00B706D8"/>
    <w:rsid w:val="00BA52F4"/>
    <w:rsid w:val="00C6072C"/>
    <w:rsid w:val="00CA1821"/>
    <w:rsid w:val="00CF0022"/>
    <w:rsid w:val="00D20493"/>
    <w:rsid w:val="00D67909"/>
    <w:rsid w:val="00DA00D2"/>
    <w:rsid w:val="00DF4632"/>
    <w:rsid w:val="00E2265D"/>
    <w:rsid w:val="00E418F0"/>
    <w:rsid w:val="00EC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F504"/>
  <w15:chartTrackingRefBased/>
  <w15:docId w15:val="{33F936B7-2E14-41D5-A57E-45F1AA4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C7789"/>
  </w:style>
  <w:style w:type="paragraph" w:styleId="BalloonText">
    <w:name w:val="Balloon Text"/>
    <w:basedOn w:val="Normal"/>
    <w:link w:val="BalloonTextChar"/>
    <w:uiPriority w:val="99"/>
    <w:semiHidden/>
    <w:unhideWhenUsed/>
    <w:rsid w:val="0022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489"/>
    <w:rPr>
      <w:rFonts w:ascii="Segoe UI" w:hAnsi="Segoe UI" w:cs="Segoe UI"/>
      <w:sz w:val="18"/>
      <w:szCs w:val="18"/>
    </w:rPr>
  </w:style>
  <w:style w:type="table" w:styleId="TableGrid">
    <w:name w:val="Table Grid"/>
    <w:basedOn w:val="TableNormal"/>
    <w:uiPriority w:val="39"/>
    <w:rsid w:val="0035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67A"/>
    <w:pPr>
      <w:ind w:left="720"/>
      <w:contextualSpacing/>
    </w:pPr>
  </w:style>
  <w:style w:type="character" w:styleId="CommentReference">
    <w:name w:val="annotation reference"/>
    <w:basedOn w:val="DefaultParagraphFont"/>
    <w:uiPriority w:val="99"/>
    <w:semiHidden/>
    <w:unhideWhenUsed/>
    <w:rsid w:val="0081491F"/>
    <w:rPr>
      <w:sz w:val="16"/>
      <w:szCs w:val="16"/>
    </w:rPr>
  </w:style>
  <w:style w:type="paragraph" w:styleId="CommentText">
    <w:name w:val="annotation text"/>
    <w:basedOn w:val="Normal"/>
    <w:link w:val="CommentTextChar"/>
    <w:uiPriority w:val="99"/>
    <w:semiHidden/>
    <w:unhideWhenUsed/>
    <w:rsid w:val="0081491F"/>
    <w:pPr>
      <w:spacing w:line="240" w:lineRule="auto"/>
    </w:pPr>
    <w:rPr>
      <w:sz w:val="20"/>
      <w:szCs w:val="20"/>
    </w:rPr>
  </w:style>
  <w:style w:type="character" w:customStyle="1" w:styleId="CommentTextChar">
    <w:name w:val="Comment Text Char"/>
    <w:basedOn w:val="DefaultParagraphFont"/>
    <w:link w:val="CommentText"/>
    <w:uiPriority w:val="99"/>
    <w:semiHidden/>
    <w:rsid w:val="0081491F"/>
    <w:rPr>
      <w:sz w:val="20"/>
      <w:szCs w:val="20"/>
    </w:rPr>
  </w:style>
  <w:style w:type="paragraph" w:styleId="CommentSubject">
    <w:name w:val="annotation subject"/>
    <w:basedOn w:val="CommentText"/>
    <w:next w:val="CommentText"/>
    <w:link w:val="CommentSubjectChar"/>
    <w:uiPriority w:val="99"/>
    <w:semiHidden/>
    <w:unhideWhenUsed/>
    <w:rsid w:val="0081491F"/>
    <w:rPr>
      <w:b/>
      <w:bCs/>
    </w:rPr>
  </w:style>
  <w:style w:type="character" w:customStyle="1" w:styleId="CommentSubjectChar">
    <w:name w:val="Comment Subject Char"/>
    <w:basedOn w:val="CommentTextChar"/>
    <w:link w:val="CommentSubject"/>
    <w:uiPriority w:val="99"/>
    <w:semiHidden/>
    <w:rsid w:val="0081491F"/>
    <w:rPr>
      <w:b/>
      <w:bCs/>
      <w:sz w:val="20"/>
      <w:szCs w:val="20"/>
    </w:rPr>
  </w:style>
  <w:style w:type="paragraph" w:styleId="Revision">
    <w:name w:val="Revision"/>
    <w:hidden/>
    <w:uiPriority w:val="99"/>
    <w:semiHidden/>
    <w:rsid w:val="00647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CF4BB-B6A6-4A09-8593-71D53A09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Gardner</dc:creator>
  <cp:keywords/>
  <dc:description/>
  <cp:lastModifiedBy>Jason Gardner</cp:lastModifiedBy>
  <cp:revision>3</cp:revision>
  <cp:lastPrinted>2018-12-10T17:32:00Z</cp:lastPrinted>
  <dcterms:created xsi:type="dcterms:W3CDTF">2024-06-05T02:56:00Z</dcterms:created>
  <dcterms:modified xsi:type="dcterms:W3CDTF">2024-06-10T23:15:00Z</dcterms:modified>
</cp:coreProperties>
</file>