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tabs>
          <w:tab w:val="left" w:leader="none" w:pos="1440"/>
          <w:tab w:val="right" w:leader="none" w:pos="8640"/>
        </w:tabs>
        <w:rPr>
          <w:sz w:val="32"/>
          <w:szCs w:val="32"/>
        </w:rPr>
      </w:pPr>
      <w:r w:rsidDel="00000000" w:rsidR="00000000" w:rsidRPr="00000000">
        <w:rPr>
          <w:rtl w:val="0"/>
        </w:rPr>
      </w:r>
    </w:p>
    <w:p w:rsidR="00000000" w:rsidDel="00000000" w:rsidP="00000000" w:rsidRDefault="00000000" w:rsidRPr="00000000" w14:paraId="00000002">
      <w:pPr>
        <w:pStyle w:val="Heading3"/>
        <w:tabs>
          <w:tab w:val="left" w:leader="none" w:pos="1440"/>
          <w:tab w:val="right" w:leader="none" w:pos="8640"/>
        </w:tabs>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Housing and Transit Reinvestment Zone Committee</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City of South Salt Lake </w:t>
      </w:r>
    </w:p>
    <w:p w:rsidR="00000000" w:rsidDel="00000000" w:rsidP="00000000" w:rsidRDefault="00000000" w:rsidRPr="00000000" w14:paraId="00000004">
      <w:pPr>
        <w:tabs>
          <w:tab w:val="left" w:leader="none" w:pos="1440"/>
          <w:tab w:val="right" w:leader="none" w:pos="8640"/>
        </w:tabs>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PDQ Offices, 2200 S Main Street, South Salt Lake, UT 84115</w:t>
      </w:r>
    </w:p>
    <w:p w:rsidR="00000000" w:rsidDel="00000000" w:rsidP="00000000" w:rsidRDefault="00000000" w:rsidRPr="00000000" w14:paraId="00000005">
      <w:pPr>
        <w:tabs>
          <w:tab w:val="left" w:leader="none" w:pos="1440"/>
          <w:tab w:val="right" w:leader="none" w:pos="8640"/>
        </w:tabs>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3</w:t>
      </w:r>
      <w:r w:rsidDel="00000000" w:rsidR="00000000" w:rsidRPr="00000000">
        <w:rPr>
          <w:rFonts w:ascii="Calibri" w:cs="Calibri" w:eastAsia="Calibri" w:hAnsi="Calibri"/>
          <w:b w:val="1"/>
          <w:color w:val="000000"/>
          <w:sz w:val="26"/>
          <w:szCs w:val="26"/>
          <w:vertAlign w:val="superscript"/>
          <w:rtl w:val="0"/>
        </w:rPr>
        <w:t xml:space="preserve">rd</w:t>
      </w:r>
      <w:r w:rsidDel="00000000" w:rsidR="00000000" w:rsidRPr="00000000">
        <w:rPr>
          <w:rFonts w:ascii="Calibri" w:cs="Calibri" w:eastAsia="Calibri" w:hAnsi="Calibri"/>
          <w:b w:val="1"/>
          <w:color w:val="000000"/>
          <w:sz w:val="26"/>
          <w:szCs w:val="26"/>
          <w:rtl w:val="0"/>
        </w:rPr>
        <w:t xml:space="preserve"> Floor Conference Room</w:t>
      </w:r>
    </w:p>
    <w:p w:rsidR="00000000" w:rsidDel="00000000" w:rsidP="00000000" w:rsidRDefault="00000000" w:rsidRPr="00000000" w14:paraId="00000006">
      <w:pPr>
        <w:tabs>
          <w:tab w:val="left" w:leader="none" w:pos="1440"/>
          <w:tab w:val="right" w:leader="none" w:pos="8640"/>
        </w:tabs>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December 20, 2023 </w:t>
      </w:r>
      <w:r w:rsidDel="00000000" w:rsidR="00000000" w:rsidRPr="00000000">
        <w:rPr>
          <w:rFonts w:ascii="Symbol" w:cs="Symbol" w:eastAsia="Symbol" w:hAnsi="Symbol"/>
          <w:sz w:val="26"/>
          <w:szCs w:val="26"/>
          <w:rtl w:val="0"/>
        </w:rPr>
        <w:t xml:space="preserve">∙</w:t>
      </w:r>
      <w:r w:rsidDel="00000000" w:rsidR="00000000" w:rsidRPr="00000000">
        <w:rPr>
          <w:rFonts w:ascii="Calibri" w:cs="Calibri" w:eastAsia="Calibri" w:hAnsi="Calibri"/>
          <w:sz w:val="26"/>
          <w:szCs w:val="26"/>
          <w:rtl w:val="0"/>
        </w:rPr>
        <w:t xml:space="preserve">  10:30 AM – 11:45 AM</w:t>
      </w:r>
    </w:p>
    <w:p w:rsidR="00000000" w:rsidDel="00000000" w:rsidP="00000000" w:rsidRDefault="00000000" w:rsidRPr="00000000" w14:paraId="00000007">
      <w:pPr>
        <w:tabs>
          <w:tab w:val="left" w:leader="none" w:pos="1440"/>
          <w:tab w:val="right" w:leader="none" w:pos="8640"/>
        </w:tabs>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8">
      <w:pPr>
        <w:pStyle w:val="Heading4"/>
        <w:tabs>
          <w:tab w:val="left" w:leader="none" w:pos="1440"/>
          <w:tab w:val="right" w:leader="none" w:pos="864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Minutes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401320</wp:posOffset>
                </wp:positionV>
                <wp:extent cx="5584825" cy="2209800"/>
                <wp:effectExtent b="0" l="0" r="0" t="0"/>
                <wp:wrapSquare wrapText="bothSides" distB="45720" distT="45720" distL="114300" distR="114300"/>
                <wp:docPr id="218" name=""/>
                <a:graphic>
                  <a:graphicData uri="http://schemas.microsoft.com/office/word/2010/wordprocessingShape">
                    <wps:wsp>
                      <wps:cNvSpPr/>
                      <wps:cNvPr id="2" name="Shape 2"/>
                      <wps:spPr>
                        <a:xfrm>
                          <a:off x="2558350" y="2679863"/>
                          <a:ext cx="5575300" cy="22002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Committee Members Attending: </w:t>
                            </w:r>
                            <w:r w:rsidDel="00000000" w:rsidR="00000000" w:rsidRPr="00000000">
                              <w:rPr>
                                <w:rFonts w:ascii="Calibri" w:cs="Calibri" w:eastAsia="Calibri" w:hAnsi="Calibri"/>
                                <w:b w:val="0"/>
                                <w:i w:val="0"/>
                                <w:smallCaps w:val="0"/>
                                <w:strike w:val="0"/>
                                <w:color w:val="000000"/>
                                <w:sz w:val="24"/>
                                <w:vertAlign w:val="baseline"/>
                              </w:rPr>
                              <w:t xml:space="preserve">Representative Stephen Whyte, Senator Harper, Jim Grover, Jonathan Weidenhamer, Jim Evans, Kirt Slaugh (remote), Kersten Swinyard, Todd Hauber, Shawn Lambert (remote)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Members Excused: </w:t>
                            </w:r>
                            <w:r w:rsidDel="00000000" w:rsidR="00000000" w:rsidRPr="00000000">
                              <w:rPr>
                                <w:rFonts w:ascii="Calibri" w:cs="Calibri" w:eastAsia="Calibri" w:hAnsi="Calibri"/>
                                <w:b w:val="0"/>
                                <w:i w:val="0"/>
                                <w:smallCaps w:val="0"/>
                                <w:strike w:val="0"/>
                                <w:color w:val="000000"/>
                                <w:sz w:val="24"/>
                                <w:vertAlign w:val="baseline"/>
                              </w:rPr>
                              <w:t xml:space="preserve">Beth Holbrook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GOEO Staff Attending: </w:t>
                            </w:r>
                            <w:r w:rsidDel="00000000" w:rsidR="00000000" w:rsidRPr="00000000">
                              <w:rPr>
                                <w:rFonts w:ascii="Calibri" w:cs="Calibri" w:eastAsia="Calibri" w:hAnsi="Calibri"/>
                                <w:b w:val="0"/>
                                <w:i w:val="0"/>
                                <w:smallCaps w:val="0"/>
                                <w:strike w:val="0"/>
                                <w:color w:val="000000"/>
                                <w:sz w:val="24"/>
                                <w:vertAlign w:val="baseline"/>
                              </w:rPr>
                              <w:t xml:space="preserve">Tanner Anderson, Hyrum Worth, Allison James-Garcia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Guests Attending: </w:t>
                            </w:r>
                            <w:r w:rsidDel="00000000" w:rsidR="00000000" w:rsidRPr="00000000">
                              <w:rPr>
                                <w:rFonts w:ascii="Calibri" w:cs="Calibri" w:eastAsia="Calibri" w:hAnsi="Calibri"/>
                                <w:b w:val="0"/>
                                <w:i w:val="0"/>
                                <w:smallCaps w:val="0"/>
                                <w:strike w:val="0"/>
                                <w:color w:val="000000"/>
                                <w:sz w:val="24"/>
                                <w:vertAlign w:val="baseline"/>
                              </w:rPr>
                              <w:t xml:space="preserve">Susan Becker, Elliott Clark (remote)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South Salt Lake presenters and guests: SSL Mayor Cherie Wood, Sam Hartman, Martine Celestin (PDQ, host), Jessica Potter, Joseph Dane, and Lindsey Ferrari.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MPO representatives: Miranda Jones Cox, Andrew Gruber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Salt Lake County representatives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401320</wp:posOffset>
                </wp:positionV>
                <wp:extent cx="5584825" cy="220980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84825" cy="2209800"/>
                        </a:xfrm>
                        <a:prstGeom prst="rect"/>
                        <a:ln/>
                      </pic:spPr>
                    </pic:pic>
                  </a:graphicData>
                </a:graphic>
              </wp:anchor>
            </w:drawing>
          </mc:Fallback>
        </mc:AlternateContent>
      </w:r>
    </w:p>
    <w:p w:rsidR="00000000" w:rsidDel="00000000" w:rsidP="00000000" w:rsidRDefault="00000000" w:rsidRPr="00000000" w14:paraId="00000009">
      <w:pP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Welcome</w:t>
      </w:r>
    </w:p>
    <w:p w:rsidR="00000000" w:rsidDel="00000000" w:rsidP="00000000" w:rsidRDefault="00000000" w:rsidRPr="00000000" w14:paraId="0000000B">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Jim Grover of the Governor’s Office of Economic Opportunity welcomed all to the HTRZ meeting. This meeting is occurring because the City of South Salt Lake submitted an application for the creation of an HTRZ.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Oath of Office</w:t>
      </w:r>
    </w:p>
    <w:p w:rsidR="00000000" w:rsidDel="00000000" w:rsidP="00000000" w:rsidRDefault="00000000" w:rsidRPr="00000000" w14:paraId="0000000D">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Tanner Anderson, GOEO staff, administered the oath of office to new members, including: Representative Stephen Whyte, Jonathan Weidenhamer, and Todd Hauber. All three were present in-person in order to receive the oath of office.</w:t>
      </w:r>
    </w:p>
    <w:p w:rsidR="00000000" w:rsidDel="00000000" w:rsidP="00000000" w:rsidRDefault="00000000" w:rsidRPr="00000000" w14:paraId="0000000E">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Jim Grover, Jim Evans, Kirt Slaugh, Senator Wayne Harper, Kersten Swinyard, and Shawn Lambert all performed their oath of office at an earlier date. Because of this, they did not need to be sworn in again.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Approval of Minutes</w:t>
      </w:r>
    </w:p>
    <w:p w:rsidR="00000000" w:rsidDel="00000000" w:rsidP="00000000" w:rsidRDefault="00000000" w:rsidRPr="00000000" w14:paraId="00000010">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minutes from the last HTRZ Committee (Lehi), which took place on November 13, 2023 were approved. </w:t>
      </w:r>
    </w:p>
    <w:p w:rsidR="00000000" w:rsidDel="00000000" w:rsidP="00000000" w:rsidRDefault="00000000" w:rsidRPr="00000000" w14:paraId="00000011">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New members, who were not in the Lehi HTRZ meeting, abstained from voting. Abstaining votes included Representative Stephen Whyte, Jonathan Weidenhamer, Todd Hauber, and Kersten Swinyard.</w:t>
      </w:r>
    </w:p>
    <w:p w:rsidR="00000000" w:rsidDel="00000000" w:rsidP="00000000" w:rsidRDefault="00000000" w:rsidRPr="00000000" w14:paraId="00000012">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Beth Holbrook was not present and did not vote on the minutes.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Overview of Proposal</w:t>
      </w:r>
    </w:p>
    <w:p w:rsidR="00000000" w:rsidDel="00000000" w:rsidP="00000000" w:rsidRDefault="00000000" w:rsidRPr="00000000" w14:paraId="00000014">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Mayor Cherie Wood provided a history of South Salt Lake, as well as an overview of the HTRZ application.</w:t>
      </w:r>
    </w:p>
    <w:p w:rsidR="00000000" w:rsidDel="00000000" w:rsidP="00000000" w:rsidRDefault="00000000" w:rsidRPr="00000000" w14:paraId="00000015">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SSL HTRZ focuses on increasing availability of affordable housing, maximizing existing transportation infrastructure, and creating density where it belongs.</w:t>
      </w:r>
    </w:p>
    <w:p w:rsidR="00000000" w:rsidDel="00000000" w:rsidP="00000000" w:rsidRDefault="00000000" w:rsidRPr="00000000" w14:paraId="00000016">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Mayor Wood highlighted how SSL, the HTRZ area in particular, is at the epicenter of the Salt Lake Metro area and involves two transit stations – Central Pointe TRAX Station and the S-Line Station. The area is unique and in need of HTRZ funding because of the industrial history of the area and the need to convert antiquated buildings into a downtown location.</w:t>
      </w:r>
    </w:p>
    <w:p w:rsidR="00000000" w:rsidDel="00000000" w:rsidP="00000000" w:rsidRDefault="00000000" w:rsidRPr="00000000" w14:paraId="00000017">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presentation highlighted the following attributes of the proposal:</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SSL is projecting over 10,000 housing units over two phases – each phase will include just over 5,100 units.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For-sale vs. for-rent units – currently phase one is slated for for-rent units </w:t>
      </w:r>
      <w:r w:rsidDel="00000000" w:rsidR="00000000" w:rsidRPr="00000000">
        <w:rPr>
          <w:rFonts w:ascii="Calibri" w:cs="Calibri" w:eastAsia="Calibri" w:hAnsi="Calibri"/>
          <w:sz w:val="26"/>
          <w:szCs w:val="26"/>
          <w:rtl w:val="0"/>
        </w:rPr>
        <w:t xml:space="preserve">while SSL</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sz w:val="26"/>
          <w:szCs w:val="26"/>
          <w:rtl w:val="0"/>
        </w:rPr>
        <w:t xml:space="preserve">is looking</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to have more for-sale units in phase two which is in line with Governor Cox’s First Homes program announcement.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The proposal includes greenspace and trails system to make the downtown area a destination and true live, work, play community.</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SSL has downtown policies in place to make developing this space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SSL has many development partners, who have already generated $31 million to </w:t>
      </w:r>
      <w:r w:rsidDel="00000000" w:rsidR="00000000" w:rsidRPr="00000000">
        <w:rPr>
          <w:rFonts w:ascii="Calibri" w:cs="Calibri" w:eastAsia="Calibri" w:hAnsi="Calibri"/>
          <w:sz w:val="26"/>
          <w:szCs w:val="26"/>
          <w:rtl w:val="0"/>
        </w:rPr>
        <w:t xml:space="preserve">upgrade the sewer</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system.</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Transit allows HTRZ residents a 15-minute commute to jobs anywhere in the Valley.</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Focus on the ‘in between’ space that makes the area friendly and a truly walkable community.</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Per code, SSL is exempt from the affordability requirement due to SSL’s median income </w:t>
      </w:r>
      <w:r w:rsidDel="00000000" w:rsidR="00000000" w:rsidRPr="00000000">
        <w:rPr>
          <w:rFonts w:ascii="Calibri" w:cs="Calibri" w:eastAsia="Calibri" w:hAnsi="Calibri"/>
          <w:sz w:val="26"/>
          <w:szCs w:val="26"/>
          <w:rtl w:val="0"/>
        </w:rPr>
        <w:t xml:space="preserve">being less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than 60% AMI. However, SSL is committed to 12.5% units at or below 80% AMI.</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Gap with HTRZ Funds is $556,463,253 which includes enhanced construction costs, parking, and affordable housing impact.</w:t>
      </w:r>
    </w:p>
    <w:p w:rsidR="00000000" w:rsidDel="00000000" w:rsidP="00000000" w:rsidRDefault="00000000" w:rsidRPr="00000000" w14:paraId="00000021">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Jonathan Weidenhamer and Sam Hartman provided additional information on technical issues: property tax increment and sales and use tax increment. The property tax increment base year is 2022. For collection, SSL is proposing 15 consecutive years on each parcel with a 30-year period (per code) and to facilitate property tax collection and remittance, they are proposing removing from the Downtown SSL HTRZ collections, the increment of county assessing and collecting.</w:t>
      </w:r>
    </w:p>
    <w:p w:rsidR="00000000" w:rsidDel="00000000" w:rsidP="00000000" w:rsidRDefault="00000000" w:rsidRPr="00000000" w14:paraId="00000022">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Sam also indicated that SSL has been working with the Utah State Tax Commission and have come up with a sales and use tax boundary and parcels and the trigger year will be established via letter from SSL to the Tax Commission certifying the first year of collection.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Review of Zions Public Finance Gap Analysis </w:t>
      </w:r>
    </w:p>
    <w:p w:rsidR="00000000" w:rsidDel="00000000" w:rsidP="00000000" w:rsidRDefault="00000000" w:rsidRPr="00000000" w14:paraId="00000024">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Susan Becker with ZPFI reviewed the independent gap analysis. </w:t>
      </w:r>
    </w:p>
    <w:p w:rsidR="00000000" w:rsidDel="00000000" w:rsidP="00000000" w:rsidRDefault="00000000" w:rsidRPr="00000000" w14:paraId="00000025">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Susie indicated that in her market analysis of comparable project developments, none are proceeding without some sort of public assistance. </w:t>
      </w:r>
    </w:p>
    <w:p w:rsidR="00000000" w:rsidDel="00000000" w:rsidP="00000000" w:rsidRDefault="00000000" w:rsidRPr="00000000" w14:paraId="00000026">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Increment generated at 80% was slightly higher, but similar, number: applicant = $177 million vs. ZPFI = $184 million.</w:t>
      </w:r>
    </w:p>
    <w:p w:rsidR="00000000" w:rsidDel="00000000" w:rsidP="00000000" w:rsidRDefault="00000000" w:rsidRPr="00000000" w14:paraId="00000027">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Gap analysis included affordable housing units, higher-density construction types, and parking structures. Susie indicated the parking costs in the proposal ($45,000 per stall) is on the higher end. But also conceded that building or reinvesting on land that is already built does add to the construction costs so the numbers are in the ballpark.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Deliberation on a Motion</w:t>
      </w:r>
    </w:p>
    <w:p w:rsidR="00000000" w:rsidDel="00000000" w:rsidP="00000000" w:rsidRDefault="00000000" w:rsidRPr="00000000" w14:paraId="00000029">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Kersten Swinyard started the deliberation with a question about affordable housing in each phase. SSL clarified that they are proposing to have at least 12.5% affordable housing in each phase. Kersten also asked about SSL supporting projects with HTRZ funds that do not have an affordable housing component. Jonathan indicated that he sees the affordable housing aspect to be a requirement but there can also be ranges of affordability per project. </w:t>
      </w:r>
    </w:p>
    <w:p w:rsidR="00000000" w:rsidDel="00000000" w:rsidP="00000000" w:rsidRDefault="00000000" w:rsidRPr="00000000" w14:paraId="0000002A">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Senator Harper asked how SSL intended to ensure the affordable units remain affordable at least through the life of the HTRZ funding.</w:t>
      </w:r>
    </w:p>
    <w:p w:rsidR="00000000" w:rsidDel="00000000" w:rsidP="00000000" w:rsidRDefault="00000000" w:rsidRPr="00000000" w14:paraId="0000002B">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committee discussed for-rent vs. for-sale units. Jonathan indicated having for-sale units is something SSL is looking to commit to and they are looking at various avenues in which they can assist with providing options for residents. SSL is finalizing a moderate housing plan which is set to be adopted this year. Sam also indicated that the developers that have expressed interest in phase one projects have only come with for-rent units but these have all come before HTRZ has been a consideration. He indicated that with HTRZ funding, for-sale options could happen.</w:t>
      </w:r>
    </w:p>
    <w:p w:rsidR="00000000" w:rsidDel="00000000" w:rsidP="00000000" w:rsidRDefault="00000000" w:rsidRPr="00000000" w14:paraId="0000002C">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Jim Grover highlighted the Utah State Tax Commission letter from Jason Gardner about concerns for sales and use tax. Sam Hartman provided additional detail how they collaborated with the Tax Commission to come up with the boundary, have the start year be April 1, 2024, and they agreed to one trigger date. </w:t>
      </w:r>
    </w:p>
    <w:p w:rsidR="00000000" w:rsidDel="00000000" w:rsidP="00000000" w:rsidRDefault="00000000" w:rsidRPr="00000000" w14:paraId="0000002D">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committee had an extensive discussion on the property tax assessing and collecting. SSL has proposed to remit increment back to the county so as not to overburden any department in the county. Representatives from Salt Lake County provided their concerns with assessing and collecting. The committee discussed concerns over trigger by parcel by parcel, especially on small parcels. SSL indicated they would appreciate flexibility with parcel triggers as they work with developers.</w:t>
      </w:r>
    </w:p>
    <w:p w:rsidR="00000000" w:rsidDel="00000000" w:rsidP="00000000" w:rsidRDefault="00000000" w:rsidRPr="00000000" w14:paraId="0000002E">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Kirt Slaugh indicated he will have to leave before the vote happens but wanted to say he thinks this is a great project and would like to see more affordable housing in this location. </w:t>
      </w:r>
    </w:p>
    <w:p w:rsidR="00000000" w:rsidDel="00000000" w:rsidP="00000000" w:rsidRDefault="00000000" w:rsidRPr="00000000" w14:paraId="0000002F">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Funding Request: </w:t>
      </w:r>
      <w:r w:rsidDel="00000000" w:rsidR="00000000" w:rsidRPr="00000000">
        <w:rPr>
          <w:rFonts w:ascii="Calibri" w:cs="Calibri" w:eastAsia="Calibri" w:hAnsi="Calibri"/>
          <w:sz w:val="26"/>
          <w:szCs w:val="26"/>
          <w:rtl w:val="0"/>
        </w:rPr>
        <w:t xml:space="preserve">80% of TIF, with the requirement of 12.5% of affordable housing of at least 80% AMI, over 15 consecutive years on each parcel within a 30-year period. Includes the removal of taxing levy of the increment of county assessing and collecting.</w:t>
      </w:r>
      <w:r w:rsidDel="00000000" w:rsidR="00000000" w:rsidRPr="00000000">
        <w:rPr>
          <w:rtl w:val="0"/>
        </w:rPr>
      </w:r>
    </w:p>
    <w:p w:rsidR="00000000" w:rsidDel="00000000" w:rsidP="00000000" w:rsidRDefault="00000000" w:rsidRPr="00000000" w14:paraId="00000030">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Motion: The Housing and Transit Reinvestment Zone Committee approves the project, as presented to the committee, located within 1/4 mile of the Central Pointe TRAX and South Salt Lake S-Line Station for the duration 15 consecutive years over a 30-year period at 80% property tax and 15 years of sales and use tax increment with the requirement of 12.5% of affordable housing of less than or equal to 80% of AMI, estimated at $184 million. </w:t>
      </w:r>
    </w:p>
    <w:p w:rsidR="00000000" w:rsidDel="00000000" w:rsidP="00000000" w:rsidRDefault="00000000" w:rsidRPr="00000000" w14:paraId="00000031">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Including the removal of the tax levies of the increment of county assessing and collecting.</w:t>
      </w:r>
    </w:p>
    <w:p w:rsidR="00000000" w:rsidDel="00000000" w:rsidP="00000000" w:rsidRDefault="00000000" w:rsidRPr="00000000" w14:paraId="00000032">
      <w:pPr>
        <w:tabs>
          <w:tab w:val="left" w:leader="none" w:pos="900"/>
          <w:tab w:val="right" w:leader="none" w:pos="8820"/>
        </w:tabs>
        <w:spacing w:after="200" w:lineRule="auto"/>
        <w:rPr>
          <w:rFonts w:ascii="Calibri" w:cs="Calibri" w:eastAsia="Calibri" w:hAnsi="Calibri"/>
          <w:sz w:val="26"/>
          <w:szCs w:val="26"/>
        </w:rPr>
      </w:pPr>
      <w:bookmarkStart w:colFirst="0" w:colLast="0" w:name="_heading=h.1fob9te" w:id="0"/>
      <w:bookmarkEnd w:id="0"/>
      <w:r w:rsidDel="00000000" w:rsidR="00000000" w:rsidRPr="00000000">
        <w:rPr>
          <w:rFonts w:ascii="Calibri" w:cs="Calibri" w:eastAsia="Calibri" w:hAnsi="Calibri"/>
          <w:sz w:val="26"/>
          <w:szCs w:val="26"/>
          <w:rtl w:val="0"/>
        </w:rPr>
        <w:t xml:space="preserve">The motion was made by Jim Evans and seconded by Shawn Lambert. The motion passed unanimously (Beth Holbrook and Kirt Slaugh were absent for the vote).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Adjourn</w:t>
      </w:r>
    </w:p>
    <w:sectPr>
      <w:headerReference r:id="rId8" w:type="default"/>
      <w:headerReference r:id="rId9" w:type="first"/>
      <w:footerReference r:id="rId10" w:type="default"/>
      <w:footerReference r:id="rId11" w:type="first"/>
      <w:pgSz w:h="15840" w:w="12240" w:orient="portrait"/>
      <w:pgMar w:bottom="720" w:top="1152"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145790" cy="664210"/>
          <wp:effectExtent b="0" l="0" r="0" t="0"/>
          <wp:docPr id="2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45790" cy="66421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447D"/>
    <w:rPr>
      <w:sz w:val="24"/>
      <w:szCs w:val="24"/>
    </w:rPr>
  </w:style>
  <w:style w:type="paragraph" w:styleId="Heading3">
    <w:name w:val="heading 3"/>
    <w:basedOn w:val="Normal"/>
    <w:next w:val="Normal"/>
    <w:qFormat w:val="1"/>
    <w:pPr>
      <w:keepNext w:val="1"/>
      <w:tabs>
        <w:tab w:val="left" w:pos="1440"/>
        <w:tab w:val="right" w:leader="dot" w:pos="8640"/>
      </w:tabs>
      <w:jc w:val="center"/>
      <w:outlineLvl w:val="2"/>
    </w:pPr>
    <w:rPr>
      <w:rFonts w:ascii="Arial" w:cs="Arial" w:hAnsi="Arial"/>
      <w:b w:val="1"/>
      <w:bCs w:val="1"/>
      <w:sz w:val="28"/>
    </w:rPr>
  </w:style>
  <w:style w:type="paragraph" w:styleId="Heading4">
    <w:name w:val="heading 4"/>
    <w:basedOn w:val="Normal"/>
    <w:next w:val="Normal"/>
    <w:qFormat w:val="1"/>
    <w:pPr>
      <w:keepNext w:val="1"/>
      <w:tabs>
        <w:tab w:val="left" w:pos="1440"/>
        <w:tab w:val="right" w:leader="dot" w:pos="8640"/>
      </w:tabs>
      <w:jc w:val="center"/>
      <w:outlineLvl w:val="3"/>
    </w:pPr>
    <w:rPr>
      <w:rFonts w:ascii="Arial" w:cs="Arial" w:hAnsi="Arial"/>
      <w:b w:val="1"/>
      <w:bCs w:val="1"/>
    </w:rPr>
  </w:style>
  <w:style w:type="paragraph" w:styleId="Heading5">
    <w:name w:val="heading 5"/>
    <w:basedOn w:val="Normal"/>
    <w:next w:val="Normal"/>
    <w:qFormat w:val="1"/>
    <w:pPr>
      <w:keepNext w:val="1"/>
      <w:tabs>
        <w:tab w:val="left" w:pos="1080"/>
        <w:tab w:val="left" w:pos="3960"/>
      </w:tabs>
      <w:outlineLvl w:val="4"/>
    </w:pPr>
    <w:rPr>
      <w:rFonts w:ascii="Arial" w:cs="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ttentionLine" w:customStyle="1">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val="1"/>
    <w:rsid w:val="001D3700"/>
    <w:rPr>
      <w:rFonts w:ascii="Tahoma" w:cs="Tahoma" w:hAnsi="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p-headline-item" w:customStyle="1">
    <w:name w:val="pp-headline-item"/>
    <w:rsid w:val="00474515"/>
  </w:style>
  <w:style w:type="paragraph" w:styleId="Body" w:customStyle="1">
    <w:name w:val="Body"/>
    <w:basedOn w:val="Normal"/>
    <w:rsid w:val="00B25808"/>
    <w:rPr>
      <w:rFonts w:ascii="Tw Cen MT" w:hAnsi="Tw Cen MT"/>
      <w:color w:val="000000"/>
      <w:kern w:val="28"/>
    </w:rPr>
  </w:style>
  <w:style w:type="paragraph" w:styleId="ListParagraph">
    <w:name w:val="List Paragraph"/>
    <w:basedOn w:val="Normal"/>
    <w:uiPriority w:val="34"/>
    <w:qFormat w:val="1"/>
    <w:rsid w:val="00E60B63"/>
    <w:pPr>
      <w:ind w:left="720"/>
      <w:contextualSpacing w:val="1"/>
    </w:pPr>
  </w:style>
  <w:style w:type="paragraph" w:styleId="Header">
    <w:name w:val="header"/>
    <w:basedOn w:val="Normal"/>
    <w:link w:val="HeaderChar"/>
    <w:unhideWhenUsed w:val="1"/>
    <w:rsid w:val="00487D20"/>
    <w:pPr>
      <w:tabs>
        <w:tab w:val="center" w:pos="4680"/>
        <w:tab w:val="right" w:pos="9360"/>
      </w:tabs>
    </w:pPr>
  </w:style>
  <w:style w:type="character" w:styleId="HeaderChar" w:customStyle="1">
    <w:name w:val="Header Char"/>
    <w:basedOn w:val="DefaultParagraphFont"/>
    <w:link w:val="Header"/>
    <w:rsid w:val="00487D20"/>
    <w:rPr>
      <w:sz w:val="24"/>
      <w:szCs w:val="24"/>
    </w:rPr>
  </w:style>
  <w:style w:type="paragraph" w:styleId="Footer">
    <w:name w:val="footer"/>
    <w:basedOn w:val="Normal"/>
    <w:link w:val="FooterChar"/>
    <w:uiPriority w:val="99"/>
    <w:unhideWhenUsed w:val="1"/>
    <w:rsid w:val="00487D20"/>
    <w:pPr>
      <w:tabs>
        <w:tab w:val="center" w:pos="4680"/>
        <w:tab w:val="right" w:pos="9360"/>
      </w:tabs>
    </w:pPr>
  </w:style>
  <w:style w:type="character" w:styleId="FooterChar" w:customStyle="1">
    <w:name w:val="Footer Char"/>
    <w:basedOn w:val="DefaultParagraphFont"/>
    <w:link w:val="Footer"/>
    <w:uiPriority w:val="99"/>
    <w:rsid w:val="00487D20"/>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1Cvze9P2bC7kLKPxIBsl9WgIIg==">CgMxLjAyCWguMWZvYjl0ZTgAciExZUNOeDVYd3JVWFFlcjB5eDc2XzcwaHR0clE3WGJuaTI=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2023-11-29T17:38:00Z</dcterms:created>
  <dc:creator>Connie Gates</dc:creator>
</cp:coreProperties>
</file>