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5181" w14:textId="77777777" w:rsidR="000625F2" w:rsidRDefault="000625F2" w:rsidP="000625F2">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10.19   ACCESSORY APARTMENTS</w:t>
      </w:r>
      <w:r>
        <w:rPr>
          <w:rStyle w:val="eop"/>
          <w:rFonts w:ascii="Aptos" w:eastAsiaTheme="majorEastAsia" w:hAnsi="Aptos" w:cs="Segoe UI"/>
        </w:rPr>
        <w:t> </w:t>
      </w:r>
    </w:p>
    <w:p w14:paraId="6F4AA804" w14:textId="77777777" w:rsidR="000625F2" w:rsidRDefault="000625F2" w:rsidP="000625F2">
      <w:pPr>
        <w:pStyle w:val="paragraph"/>
        <w:spacing w:before="0" w:beforeAutospacing="0" w:after="0" w:afterAutospacing="0"/>
        <w:textAlignment w:val="baseline"/>
        <w:rPr>
          <w:rFonts w:ascii="Segoe UI" w:hAnsi="Segoe UI" w:cs="Segoe UI"/>
          <w:sz w:val="18"/>
          <w:szCs w:val="18"/>
        </w:rPr>
      </w:pPr>
    </w:p>
    <w:p w14:paraId="31599988" w14:textId="2E4B0AF7" w:rsidR="000625F2" w:rsidRDefault="000625F2" w:rsidP="000625F2">
      <w:pPr>
        <w:pStyle w:val="paragraph"/>
        <w:spacing w:before="0" w:beforeAutospacing="0" w:after="0" w:afterAutospacing="0"/>
        <w:textAlignment w:val="baseline"/>
        <w:rPr>
          <w:rStyle w:val="eop"/>
          <w:rFonts w:ascii="Aptos" w:eastAsiaTheme="majorEastAsia" w:hAnsi="Aptos" w:cs="Segoe UI"/>
        </w:rPr>
      </w:pPr>
      <w:r w:rsidRPr="000625F2">
        <w:rPr>
          <w:rStyle w:val="normaltextrun"/>
          <w:rFonts w:ascii="Aptos" w:eastAsiaTheme="majorEastAsia" w:hAnsi="Aptos" w:cs="Segoe UI"/>
        </w:rPr>
        <w:t>A.</w:t>
      </w:r>
      <w:r>
        <w:rPr>
          <w:rStyle w:val="normaltextrun"/>
          <w:rFonts w:ascii="Aptos" w:eastAsiaTheme="majorEastAsia" w:hAnsi="Aptos" w:cs="Segoe UI"/>
        </w:rPr>
        <w:t xml:space="preserve"> Intent: The following ordinance has been established to:</w:t>
      </w:r>
      <w:r>
        <w:rPr>
          <w:rStyle w:val="eop"/>
          <w:rFonts w:ascii="Aptos" w:eastAsiaTheme="majorEastAsia" w:hAnsi="Aptos" w:cs="Segoe UI"/>
        </w:rPr>
        <w:t> </w:t>
      </w:r>
    </w:p>
    <w:p w14:paraId="47E064E7" w14:textId="77777777" w:rsidR="000625F2" w:rsidRDefault="000625F2" w:rsidP="000625F2">
      <w:pPr>
        <w:pStyle w:val="paragraph"/>
        <w:spacing w:before="0" w:beforeAutospacing="0" w:after="0" w:afterAutospacing="0"/>
        <w:textAlignment w:val="baseline"/>
        <w:rPr>
          <w:rFonts w:ascii="Segoe UI" w:hAnsi="Segoe UI" w:cs="Segoe UI"/>
          <w:sz w:val="18"/>
          <w:szCs w:val="18"/>
        </w:rPr>
      </w:pPr>
    </w:p>
    <w:p w14:paraId="5563BDD0" w14:textId="77777777" w:rsidR="000625F2" w:rsidRDefault="000625F2" w:rsidP="000625F2">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rPr>
        <w:t xml:space="preserve">1. Provide minimum standards for the establishment and operation of accessory apartments within the city of Woodland Hills while keeping the look and appeal of </w:t>
      </w:r>
      <w:proofErr w:type="gramStart"/>
      <w:r>
        <w:rPr>
          <w:rStyle w:val="normaltextrun"/>
          <w:rFonts w:ascii="Aptos" w:eastAsiaTheme="majorEastAsia" w:hAnsi="Aptos" w:cs="Segoe UI"/>
        </w:rPr>
        <w:t>single family</w:t>
      </w:r>
      <w:proofErr w:type="gramEnd"/>
      <w:r>
        <w:rPr>
          <w:rStyle w:val="normaltextrun"/>
          <w:rFonts w:ascii="Aptos" w:eastAsiaTheme="majorEastAsia" w:hAnsi="Aptos" w:cs="Segoe UI"/>
        </w:rPr>
        <w:t xml:space="preserve"> residential housing. </w:t>
      </w:r>
      <w:r>
        <w:rPr>
          <w:rStyle w:val="eop"/>
          <w:rFonts w:ascii="Aptos" w:eastAsiaTheme="majorEastAsia" w:hAnsi="Aptos" w:cs="Segoe UI"/>
        </w:rPr>
        <w:t> </w:t>
      </w:r>
    </w:p>
    <w:p w14:paraId="6E75B25F" w14:textId="77777777" w:rsidR="000625F2" w:rsidRDefault="000625F2" w:rsidP="000625F2">
      <w:pPr>
        <w:pStyle w:val="paragraph"/>
        <w:spacing w:before="0" w:beforeAutospacing="0" w:after="0" w:afterAutospacing="0"/>
        <w:ind w:left="720"/>
        <w:textAlignment w:val="baseline"/>
        <w:rPr>
          <w:rFonts w:ascii="Segoe UI" w:hAnsi="Segoe UI" w:cs="Segoe UI"/>
          <w:sz w:val="18"/>
          <w:szCs w:val="18"/>
        </w:rPr>
      </w:pPr>
      <w:r>
        <w:rPr>
          <w:rStyle w:val="normaltextrun"/>
          <w:rFonts w:ascii="Aptos" w:eastAsiaTheme="majorEastAsia" w:hAnsi="Aptos" w:cs="Segoe UI"/>
        </w:rPr>
        <w:t>2. To facilitate the implementation of the affordable housing element of the general plan by adopting provisions allowing the construction and operation of accessory apartments within single family residential zones and is considered a permitted application, not requiring a Conditional Use Permit.</w:t>
      </w:r>
      <w:r>
        <w:rPr>
          <w:rStyle w:val="eop"/>
          <w:rFonts w:ascii="Aptos" w:eastAsiaTheme="majorEastAsia" w:hAnsi="Aptos" w:cs="Segoe UI"/>
        </w:rPr>
        <w:t> </w:t>
      </w:r>
    </w:p>
    <w:p w14:paraId="3448D03D" w14:textId="77777777" w:rsidR="000625F2" w:rsidRDefault="000625F2" w:rsidP="000625F2">
      <w:pPr>
        <w:pStyle w:val="paragraph"/>
        <w:spacing w:before="0" w:beforeAutospacing="0" w:after="0" w:afterAutospacing="0"/>
        <w:ind w:left="720"/>
        <w:textAlignment w:val="baseline"/>
        <w:rPr>
          <w:rStyle w:val="eop"/>
          <w:rFonts w:ascii="Aptos" w:eastAsiaTheme="majorEastAsia" w:hAnsi="Aptos" w:cs="Segoe UI"/>
        </w:rPr>
      </w:pPr>
      <w:r>
        <w:rPr>
          <w:rStyle w:val="normaltextrun"/>
          <w:rFonts w:ascii="Aptos" w:eastAsiaTheme="majorEastAsia" w:hAnsi="Aptos" w:cs="Segoe UI"/>
        </w:rPr>
        <w:t>3. All efforts shall be made for the accessory apartment structure to blend in with the main residential structure with similar or compatible appearances.   </w:t>
      </w:r>
      <w:r>
        <w:rPr>
          <w:rStyle w:val="eop"/>
          <w:rFonts w:ascii="Aptos" w:eastAsiaTheme="majorEastAsia" w:hAnsi="Aptos" w:cs="Segoe UI"/>
        </w:rPr>
        <w:t> </w:t>
      </w:r>
    </w:p>
    <w:p w14:paraId="13A0AC29" w14:textId="77777777" w:rsidR="000625F2" w:rsidRDefault="000625F2" w:rsidP="000625F2">
      <w:pPr>
        <w:pStyle w:val="paragraph"/>
        <w:spacing w:before="0" w:beforeAutospacing="0" w:after="0" w:afterAutospacing="0"/>
        <w:textAlignment w:val="baseline"/>
        <w:rPr>
          <w:rFonts w:ascii="Segoe UI" w:hAnsi="Segoe UI" w:cs="Segoe UI"/>
          <w:sz w:val="18"/>
          <w:szCs w:val="18"/>
        </w:rPr>
      </w:pPr>
    </w:p>
    <w:p w14:paraId="68697306" w14:textId="77777777" w:rsidR="000625F2" w:rsidRDefault="000625F2" w:rsidP="000625F2">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B: Definition:  An accessory apartment is a detached structure which contains separate cooking, sleeping and sanitary facilities, and occupied or intended for occupancy as a separate but subordinate dwelling unit to the primary dwelling or place of residence.  It can be part of a detached garage or other structure, but if it is intended to be a temporary or permanent dwelling location, it must be constructed according to city and adopted state building standards and requirements.</w:t>
      </w:r>
      <w:r>
        <w:rPr>
          <w:rStyle w:val="eop"/>
          <w:rFonts w:ascii="Aptos" w:eastAsiaTheme="majorEastAsia" w:hAnsi="Aptos" w:cs="Segoe UI"/>
        </w:rPr>
        <w:t> </w:t>
      </w:r>
    </w:p>
    <w:p w14:paraId="1A5FE417" w14:textId="77777777" w:rsidR="000625F2" w:rsidRDefault="000625F2" w:rsidP="000625F2">
      <w:pPr>
        <w:pStyle w:val="paragraph"/>
        <w:spacing w:before="0" w:beforeAutospacing="0" w:after="0" w:afterAutospacing="0"/>
        <w:textAlignment w:val="baseline"/>
        <w:rPr>
          <w:rFonts w:ascii="Segoe UI" w:hAnsi="Segoe UI" w:cs="Segoe UI"/>
          <w:sz w:val="18"/>
          <w:szCs w:val="18"/>
        </w:rPr>
      </w:pPr>
    </w:p>
    <w:p w14:paraId="306E963B" w14:textId="77777777" w:rsidR="000625F2" w:rsidRDefault="000625F2" w:rsidP="000625F2">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C. Accessory apartments must be approved by the city and licensed as such and comply with any state requirements for rental units.</w:t>
      </w:r>
      <w:r>
        <w:rPr>
          <w:rStyle w:val="eop"/>
          <w:rFonts w:ascii="Aptos" w:eastAsiaTheme="majorEastAsia" w:hAnsi="Aptos" w:cs="Segoe UI"/>
        </w:rPr>
        <w:t> </w:t>
      </w:r>
    </w:p>
    <w:p w14:paraId="73C13F8E" w14:textId="77777777" w:rsidR="000625F2" w:rsidRDefault="000625F2" w:rsidP="000625F2">
      <w:pPr>
        <w:pStyle w:val="paragraph"/>
        <w:spacing w:before="0" w:beforeAutospacing="0" w:after="0" w:afterAutospacing="0"/>
        <w:textAlignment w:val="baseline"/>
        <w:rPr>
          <w:rFonts w:ascii="Segoe UI" w:hAnsi="Segoe UI" w:cs="Segoe UI"/>
          <w:sz w:val="18"/>
          <w:szCs w:val="18"/>
        </w:rPr>
      </w:pPr>
    </w:p>
    <w:p w14:paraId="3DDC389B" w14:textId="20B44B01" w:rsidR="000625F2" w:rsidRDefault="000625F2" w:rsidP="000625F2">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D: Application and Approval Required</w:t>
      </w:r>
      <w:r>
        <w:rPr>
          <w:rStyle w:val="eop"/>
          <w:rFonts w:ascii="Aptos" w:eastAsiaTheme="majorEastAsia" w:hAnsi="Aptos" w:cs="Segoe UI"/>
        </w:rPr>
        <w:t xml:space="preserve">: </w:t>
      </w:r>
      <w:r>
        <w:rPr>
          <w:rStyle w:val="normaltextrun"/>
          <w:rFonts w:ascii="Aptos" w:eastAsiaTheme="majorEastAsia" w:hAnsi="Aptos" w:cs="Segoe UI"/>
        </w:rPr>
        <w:t>Accessory apartments must be identified as such in the building permit application, which application is to be completed using My City Inspect or other software that the city uses.  All applications will be reviewed by the various city departments and personnel involved in the building permit process and must conform to all building codes contained in the city ordinances including IBC and IRC building code standards for residential construction.  Required inspections will be performed before and during the building process and providing all inspections have been performed and passed, a Certificate of Occupancy will be issued by the city.  The accessory apartment cannot be occupied as a dwelling until the Certificate has been issued.</w:t>
      </w:r>
      <w:r>
        <w:rPr>
          <w:rStyle w:val="eop"/>
          <w:rFonts w:ascii="Aptos" w:eastAsiaTheme="majorEastAsia" w:hAnsi="Aptos" w:cs="Segoe UI"/>
        </w:rPr>
        <w:t> </w:t>
      </w:r>
    </w:p>
    <w:p w14:paraId="1A4431B4" w14:textId="77777777" w:rsidR="000625F2" w:rsidRDefault="000625F2" w:rsidP="000625F2">
      <w:pPr>
        <w:pStyle w:val="paragraph"/>
        <w:spacing w:before="0" w:beforeAutospacing="0" w:after="0" w:afterAutospacing="0"/>
        <w:ind w:firstLine="720"/>
        <w:textAlignment w:val="baseline"/>
        <w:rPr>
          <w:rFonts w:ascii="Segoe UI" w:hAnsi="Segoe UI" w:cs="Segoe UI"/>
          <w:sz w:val="18"/>
          <w:szCs w:val="18"/>
        </w:rPr>
      </w:pPr>
    </w:p>
    <w:p w14:paraId="44745FDC" w14:textId="77777777" w:rsidR="000625F2" w:rsidRDefault="000625F2" w:rsidP="000625F2">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E: Standards and requirements for an Accessory Apartment:</w:t>
      </w:r>
      <w:r>
        <w:rPr>
          <w:rStyle w:val="eop"/>
          <w:rFonts w:ascii="Aptos" w:eastAsiaTheme="majorEastAsia" w:hAnsi="Aptos" w:cs="Segoe UI"/>
        </w:rPr>
        <w:t> </w:t>
      </w:r>
    </w:p>
    <w:p w14:paraId="3F8E54B0" w14:textId="77777777" w:rsidR="000625F2" w:rsidRDefault="000625F2" w:rsidP="000625F2">
      <w:pPr>
        <w:pStyle w:val="paragraph"/>
        <w:numPr>
          <w:ilvl w:val="0"/>
          <w:numId w:val="1"/>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The primary dwelling unit on the property or the accessory apartment must be lot owner occupied.  Exceptions can be granted by the city for short term absences of the owner(s), to include church assignments, deployments, sabbaticals, etc.  Proof of owner occupancy may be required.</w:t>
      </w:r>
      <w:r>
        <w:rPr>
          <w:rStyle w:val="eop"/>
          <w:rFonts w:ascii="Aptos" w:eastAsiaTheme="majorEastAsia" w:hAnsi="Aptos" w:cs="Segoe UI"/>
        </w:rPr>
        <w:t> </w:t>
      </w:r>
    </w:p>
    <w:p w14:paraId="5253AEA4" w14:textId="77777777" w:rsidR="000625F2" w:rsidRDefault="000625F2" w:rsidP="000625F2">
      <w:pPr>
        <w:pStyle w:val="paragraph"/>
        <w:numPr>
          <w:ilvl w:val="0"/>
          <w:numId w:val="2"/>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At least one additional parking place (two existing plus one) must be </w:t>
      </w:r>
      <w:proofErr w:type="gramStart"/>
      <w:r>
        <w:rPr>
          <w:rStyle w:val="normaltextrun"/>
          <w:rFonts w:ascii="Aptos" w:eastAsiaTheme="majorEastAsia" w:hAnsi="Aptos" w:cs="Segoe UI"/>
        </w:rPr>
        <w:t>provided that</w:t>
      </w:r>
      <w:proofErr w:type="gramEnd"/>
      <w:r>
        <w:rPr>
          <w:rStyle w:val="normaltextrun"/>
          <w:rFonts w:ascii="Aptos" w:eastAsiaTheme="majorEastAsia" w:hAnsi="Aptos" w:cs="Segoe UI"/>
        </w:rPr>
        <w:t xml:space="preserve"> meets city standards and cannot be in the front setback of the residence.  The parking area must be hard </w:t>
      </w:r>
      <w:proofErr w:type="gramStart"/>
      <w:r>
        <w:rPr>
          <w:rStyle w:val="normaltextrun"/>
          <w:rFonts w:ascii="Aptos" w:eastAsiaTheme="majorEastAsia" w:hAnsi="Aptos" w:cs="Segoe UI"/>
        </w:rPr>
        <w:t>surfaced</w:t>
      </w:r>
      <w:proofErr w:type="gramEnd"/>
      <w:r>
        <w:rPr>
          <w:rStyle w:val="normaltextrun"/>
          <w:rFonts w:ascii="Aptos" w:eastAsiaTheme="majorEastAsia" w:hAnsi="Aptos" w:cs="Segoe UI"/>
        </w:rPr>
        <w:t xml:space="preserve"> and the driveway can be the same as the residence but if not, it must meet the driveway setback requirement for the zone it is in as included in city code 10-8-5.</w:t>
      </w:r>
      <w:r>
        <w:rPr>
          <w:rStyle w:val="eop"/>
          <w:rFonts w:ascii="Aptos" w:eastAsiaTheme="majorEastAsia" w:hAnsi="Aptos" w:cs="Segoe UI"/>
        </w:rPr>
        <w:t> </w:t>
      </w:r>
    </w:p>
    <w:p w14:paraId="6F5FA716" w14:textId="77777777" w:rsidR="000625F2" w:rsidRDefault="000625F2" w:rsidP="000625F2">
      <w:pPr>
        <w:pStyle w:val="paragraph"/>
        <w:numPr>
          <w:ilvl w:val="0"/>
          <w:numId w:val="3"/>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lastRenderedPageBreak/>
        <w:t xml:space="preserve">Must be constructed according to all </w:t>
      </w:r>
      <w:proofErr w:type="gramStart"/>
      <w:r>
        <w:rPr>
          <w:rStyle w:val="normaltextrun"/>
          <w:rFonts w:ascii="Aptos" w:eastAsiaTheme="majorEastAsia" w:hAnsi="Aptos" w:cs="Segoe UI"/>
        </w:rPr>
        <w:t>city</w:t>
      </w:r>
      <w:proofErr w:type="gramEnd"/>
      <w:r>
        <w:rPr>
          <w:rStyle w:val="normaltextrun"/>
          <w:rFonts w:ascii="Aptos" w:eastAsiaTheme="majorEastAsia" w:hAnsi="Aptos" w:cs="Segoe UI"/>
        </w:rPr>
        <w:t xml:space="preserve"> and other adopted building and fire code requirements.</w:t>
      </w:r>
      <w:r>
        <w:rPr>
          <w:rStyle w:val="eop"/>
          <w:rFonts w:ascii="Aptos" w:eastAsiaTheme="majorEastAsia" w:hAnsi="Aptos" w:cs="Segoe UI"/>
        </w:rPr>
        <w:t> </w:t>
      </w:r>
    </w:p>
    <w:p w14:paraId="4399EB35" w14:textId="77777777" w:rsidR="000625F2" w:rsidRDefault="000625F2" w:rsidP="000625F2">
      <w:pPr>
        <w:pStyle w:val="paragraph"/>
        <w:numPr>
          <w:ilvl w:val="0"/>
          <w:numId w:val="4"/>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All setbacks, lot coverage, etc. must conform to the requirements found in city code 10-8-5 for the zone the accessory apartment is in.</w:t>
      </w:r>
      <w:r>
        <w:rPr>
          <w:rStyle w:val="eop"/>
          <w:rFonts w:ascii="Aptos" w:eastAsiaTheme="majorEastAsia" w:hAnsi="Aptos" w:cs="Segoe UI"/>
        </w:rPr>
        <w:t> </w:t>
      </w:r>
    </w:p>
    <w:p w14:paraId="02E11F9B" w14:textId="77777777" w:rsidR="000625F2" w:rsidRDefault="000625F2" w:rsidP="000625F2">
      <w:pPr>
        <w:pStyle w:val="paragraph"/>
        <w:numPr>
          <w:ilvl w:val="0"/>
          <w:numId w:val="5"/>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If a septic system is used, a </w:t>
      </w:r>
      <w:proofErr w:type="gramStart"/>
      <w:r>
        <w:rPr>
          <w:rStyle w:val="normaltextrun"/>
          <w:rFonts w:ascii="Aptos" w:eastAsiaTheme="majorEastAsia" w:hAnsi="Aptos" w:cs="Segoe UI"/>
        </w:rPr>
        <w:t>County</w:t>
      </w:r>
      <w:proofErr w:type="gramEnd"/>
      <w:r>
        <w:rPr>
          <w:rStyle w:val="normaltextrun"/>
          <w:rFonts w:ascii="Aptos" w:eastAsiaTheme="majorEastAsia" w:hAnsi="Aptos" w:cs="Segoe UI"/>
        </w:rPr>
        <w:t xml:space="preserve"> health approval letter for the septic system to be used must be provided, indicating that the septic tank and drain field is adequate to accommodate the additional demand from the accessory apartment or if a new septic system will be required. </w:t>
      </w:r>
      <w:r>
        <w:rPr>
          <w:rStyle w:val="eop"/>
          <w:rFonts w:ascii="Aptos" w:eastAsiaTheme="majorEastAsia" w:hAnsi="Aptos" w:cs="Segoe UI"/>
        </w:rPr>
        <w:t> </w:t>
      </w:r>
    </w:p>
    <w:p w14:paraId="11863E80" w14:textId="77777777" w:rsidR="000625F2" w:rsidRDefault="000625F2" w:rsidP="000625F2">
      <w:pPr>
        <w:pStyle w:val="paragraph"/>
        <w:numPr>
          <w:ilvl w:val="0"/>
          <w:numId w:val="6"/>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It is to be on the same metering electric and gas service as the main residence.  Further, both sewer and water service (same meter) </w:t>
      </w:r>
      <w:proofErr w:type="gramStart"/>
      <w:r>
        <w:rPr>
          <w:rStyle w:val="normaltextrun"/>
          <w:rFonts w:ascii="Aptos" w:eastAsiaTheme="majorEastAsia" w:hAnsi="Aptos" w:cs="Segoe UI"/>
        </w:rPr>
        <w:t>is</w:t>
      </w:r>
      <w:proofErr w:type="gramEnd"/>
      <w:r>
        <w:rPr>
          <w:rStyle w:val="normaltextrun"/>
          <w:rFonts w:ascii="Aptos" w:eastAsiaTheme="majorEastAsia" w:hAnsi="Aptos" w:cs="Segoe UI"/>
        </w:rPr>
        <w:t xml:space="preserve"> to come off the lines serving the main residence. </w:t>
      </w:r>
      <w:r>
        <w:rPr>
          <w:rStyle w:val="eop"/>
          <w:rFonts w:ascii="Aptos" w:eastAsiaTheme="majorEastAsia" w:hAnsi="Aptos" w:cs="Segoe UI"/>
        </w:rPr>
        <w:t> </w:t>
      </w:r>
    </w:p>
    <w:p w14:paraId="66186906" w14:textId="77777777" w:rsidR="000625F2" w:rsidRDefault="000625F2" w:rsidP="000625F2">
      <w:pPr>
        <w:pStyle w:val="paragraph"/>
        <w:numPr>
          <w:ilvl w:val="0"/>
          <w:numId w:val="7"/>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The accessory apartment cannot be used for short term rental (less than 30 days).</w:t>
      </w:r>
      <w:r>
        <w:rPr>
          <w:rStyle w:val="eop"/>
          <w:rFonts w:ascii="Aptos" w:eastAsiaTheme="majorEastAsia" w:hAnsi="Aptos" w:cs="Segoe UI"/>
        </w:rPr>
        <w:t> </w:t>
      </w:r>
    </w:p>
    <w:p w14:paraId="518208AF" w14:textId="77777777" w:rsidR="000625F2" w:rsidRDefault="000625F2" w:rsidP="000625F2">
      <w:pPr>
        <w:pStyle w:val="paragraph"/>
        <w:numPr>
          <w:ilvl w:val="0"/>
          <w:numId w:val="8"/>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Only one accessory apartment structure is allowed on each building lot.</w:t>
      </w:r>
      <w:r>
        <w:rPr>
          <w:rStyle w:val="eop"/>
          <w:rFonts w:ascii="Aptos" w:eastAsiaTheme="majorEastAsia" w:hAnsi="Aptos" w:cs="Segoe UI"/>
        </w:rPr>
        <w:t> </w:t>
      </w:r>
    </w:p>
    <w:p w14:paraId="049404EF" w14:textId="77777777" w:rsidR="000625F2" w:rsidRDefault="000625F2" w:rsidP="000625F2">
      <w:pPr>
        <w:pStyle w:val="paragraph"/>
        <w:numPr>
          <w:ilvl w:val="0"/>
          <w:numId w:val="9"/>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Ownership of the accessory apartment property must remain with the residential lot/property owner and cannot be sold separately from the main residence.</w:t>
      </w:r>
      <w:r>
        <w:rPr>
          <w:rStyle w:val="eop"/>
          <w:rFonts w:ascii="Aptos" w:eastAsiaTheme="majorEastAsia" w:hAnsi="Aptos" w:cs="Segoe UI"/>
        </w:rPr>
        <w:t> </w:t>
      </w:r>
    </w:p>
    <w:p w14:paraId="3D8DF2C1" w14:textId="77777777" w:rsidR="000625F2" w:rsidRDefault="000625F2" w:rsidP="000625F2">
      <w:pPr>
        <w:pStyle w:val="paragraph"/>
        <w:numPr>
          <w:ilvl w:val="0"/>
          <w:numId w:val="10"/>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There must be an existing residence on the property </w:t>
      </w:r>
      <w:proofErr w:type="gramStart"/>
      <w:r>
        <w:rPr>
          <w:rStyle w:val="normaltextrun"/>
          <w:rFonts w:ascii="Aptos" w:eastAsiaTheme="majorEastAsia" w:hAnsi="Aptos" w:cs="Segoe UI"/>
        </w:rPr>
        <w:t>in order to</w:t>
      </w:r>
      <w:proofErr w:type="gramEnd"/>
      <w:r>
        <w:rPr>
          <w:rStyle w:val="normaltextrun"/>
          <w:rFonts w:ascii="Aptos" w:eastAsiaTheme="majorEastAsia" w:hAnsi="Aptos" w:cs="Segoe UI"/>
        </w:rPr>
        <w:t xml:space="preserve"> construct a detached accessory apartment structure.  </w:t>
      </w:r>
      <w:r>
        <w:rPr>
          <w:rStyle w:val="eop"/>
          <w:rFonts w:ascii="Aptos" w:eastAsiaTheme="majorEastAsia" w:hAnsi="Aptos" w:cs="Segoe UI"/>
        </w:rPr>
        <w:t> </w:t>
      </w:r>
    </w:p>
    <w:p w14:paraId="09A6BD38" w14:textId="77777777" w:rsidR="000625F2" w:rsidRDefault="000625F2" w:rsidP="000625F2">
      <w:pPr>
        <w:pStyle w:val="paragraph"/>
        <w:numPr>
          <w:ilvl w:val="0"/>
          <w:numId w:val="11"/>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Height restrictions are the same as found in city code 10-8-5.</w:t>
      </w:r>
      <w:r>
        <w:rPr>
          <w:rStyle w:val="eop"/>
          <w:rFonts w:ascii="Aptos" w:eastAsiaTheme="majorEastAsia" w:hAnsi="Aptos" w:cs="Segoe UI"/>
        </w:rPr>
        <w:t> </w:t>
      </w:r>
    </w:p>
    <w:p w14:paraId="5CB5BE6C" w14:textId="77777777" w:rsidR="000625F2" w:rsidRDefault="000625F2" w:rsidP="000625F2">
      <w:pPr>
        <w:pStyle w:val="paragraph"/>
        <w:numPr>
          <w:ilvl w:val="0"/>
          <w:numId w:val="12"/>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Accessory Apartments must be at least 20 feet from the main residence.  </w:t>
      </w:r>
      <w:r>
        <w:rPr>
          <w:rStyle w:val="eop"/>
          <w:rFonts w:ascii="Aptos" w:eastAsiaTheme="majorEastAsia" w:hAnsi="Aptos" w:cs="Segoe UI"/>
        </w:rPr>
        <w:t> </w:t>
      </w:r>
    </w:p>
    <w:p w14:paraId="43570E19" w14:textId="77777777" w:rsidR="000625F2" w:rsidRDefault="000625F2" w:rsidP="000625F2">
      <w:pPr>
        <w:pStyle w:val="paragraph"/>
        <w:numPr>
          <w:ilvl w:val="0"/>
          <w:numId w:val="13"/>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Any access to a second story accessory apartment must be a stairway within the accessory apartment structure (not up an outside wall).</w:t>
      </w:r>
      <w:r>
        <w:rPr>
          <w:rStyle w:val="eop"/>
          <w:rFonts w:ascii="Aptos" w:eastAsiaTheme="majorEastAsia" w:hAnsi="Aptos" w:cs="Segoe UI"/>
        </w:rPr>
        <w:t> </w:t>
      </w:r>
    </w:p>
    <w:p w14:paraId="7DC4BF41" w14:textId="77777777" w:rsidR="000625F2" w:rsidRPr="000625F2" w:rsidRDefault="000625F2" w:rsidP="000625F2">
      <w:pPr>
        <w:pStyle w:val="paragraph"/>
        <w:numPr>
          <w:ilvl w:val="0"/>
          <w:numId w:val="14"/>
        </w:numPr>
        <w:spacing w:before="0" w:beforeAutospacing="0" w:after="0" w:afterAutospacing="0"/>
        <w:ind w:left="1080" w:firstLine="0"/>
        <w:textAlignment w:val="baseline"/>
        <w:rPr>
          <w:rStyle w:val="eop"/>
          <w:rFonts w:ascii="Aptos" w:hAnsi="Aptos" w:cs="Segoe UI"/>
        </w:rPr>
      </w:pPr>
      <w:r>
        <w:rPr>
          <w:rStyle w:val="normaltextrun"/>
          <w:rFonts w:ascii="Aptos" w:eastAsiaTheme="majorEastAsia" w:hAnsi="Aptos" w:cs="Segoe UI"/>
        </w:rPr>
        <w:t xml:space="preserve">A </w:t>
      </w:r>
      <w:proofErr w:type="gramStart"/>
      <w:r>
        <w:rPr>
          <w:rStyle w:val="normaltextrun"/>
          <w:rFonts w:ascii="Aptos" w:eastAsiaTheme="majorEastAsia" w:hAnsi="Aptos" w:cs="Segoe UI"/>
        </w:rPr>
        <w:t>.45 acre</w:t>
      </w:r>
      <w:proofErr w:type="gramEnd"/>
      <w:r>
        <w:rPr>
          <w:rStyle w:val="normaltextrun"/>
          <w:rFonts w:ascii="Aptos" w:eastAsiaTheme="majorEastAsia" w:hAnsi="Aptos" w:cs="Segoe UI"/>
        </w:rPr>
        <w:t xml:space="preserve"> feet of water will be required for an accessory apartment approval.</w:t>
      </w:r>
      <w:r>
        <w:rPr>
          <w:rStyle w:val="eop"/>
          <w:rFonts w:ascii="Aptos" w:eastAsiaTheme="majorEastAsia" w:hAnsi="Aptos" w:cs="Segoe UI"/>
        </w:rPr>
        <w:t> </w:t>
      </w:r>
    </w:p>
    <w:p w14:paraId="17B92239" w14:textId="77777777" w:rsidR="000625F2" w:rsidRDefault="000625F2" w:rsidP="000625F2">
      <w:pPr>
        <w:pStyle w:val="paragraph"/>
        <w:spacing w:before="0" w:beforeAutospacing="0" w:after="0" w:afterAutospacing="0"/>
        <w:ind w:left="1080"/>
        <w:textAlignment w:val="baseline"/>
        <w:rPr>
          <w:rFonts w:ascii="Aptos" w:hAnsi="Aptos" w:cs="Segoe UI"/>
        </w:rPr>
      </w:pPr>
    </w:p>
    <w:p w14:paraId="7FEA0936" w14:textId="77777777" w:rsidR="000625F2" w:rsidRDefault="000625F2" w:rsidP="000625F2">
      <w:pPr>
        <w:pStyle w:val="paragraph"/>
        <w:spacing w:before="0" w:beforeAutospacing="0" w:after="0" w:afterAutospacing="0"/>
        <w:ind w:left="360"/>
        <w:textAlignment w:val="baseline"/>
        <w:rPr>
          <w:rFonts w:ascii="Segoe UI" w:hAnsi="Segoe UI" w:cs="Segoe UI"/>
          <w:sz w:val="18"/>
          <w:szCs w:val="18"/>
        </w:rPr>
      </w:pPr>
      <w:r>
        <w:rPr>
          <w:rStyle w:val="normaltextrun"/>
          <w:rFonts w:ascii="Aptos" w:eastAsiaTheme="majorEastAsia" w:hAnsi="Aptos" w:cs="Segoe UI"/>
        </w:rPr>
        <w:t> F: Submit the following materials relating to the proposed accessory apartment in the application process:</w:t>
      </w:r>
      <w:r>
        <w:rPr>
          <w:rStyle w:val="eop"/>
          <w:rFonts w:ascii="Aptos" w:eastAsiaTheme="majorEastAsia" w:hAnsi="Aptos" w:cs="Segoe UI"/>
        </w:rPr>
        <w:t> </w:t>
      </w:r>
    </w:p>
    <w:p w14:paraId="50704C56" w14:textId="77777777" w:rsidR="000625F2" w:rsidRDefault="000625F2" w:rsidP="000625F2">
      <w:pPr>
        <w:pStyle w:val="paragraph"/>
        <w:numPr>
          <w:ilvl w:val="0"/>
          <w:numId w:val="15"/>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A detailed site plan meeting the site plan requirements found in this </w:t>
      </w:r>
      <w:proofErr w:type="gramStart"/>
      <w:r>
        <w:rPr>
          <w:rStyle w:val="normaltextrun"/>
          <w:rFonts w:ascii="Aptos" w:eastAsiaTheme="majorEastAsia" w:hAnsi="Aptos" w:cs="Segoe UI"/>
        </w:rPr>
        <w:t>title</w:t>
      </w:r>
      <w:proofErr w:type="gramEnd"/>
      <w:r>
        <w:rPr>
          <w:rStyle w:val="eop"/>
          <w:rFonts w:ascii="Aptos" w:eastAsiaTheme="majorEastAsia" w:hAnsi="Aptos" w:cs="Segoe UI"/>
        </w:rPr>
        <w:t> </w:t>
      </w:r>
    </w:p>
    <w:p w14:paraId="7F2D527C" w14:textId="77777777" w:rsidR="000625F2" w:rsidRDefault="000625F2" w:rsidP="000625F2">
      <w:pPr>
        <w:pStyle w:val="paragraph"/>
        <w:numPr>
          <w:ilvl w:val="0"/>
          <w:numId w:val="16"/>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Identify the septic system layout as approved by the county health </w:t>
      </w:r>
      <w:proofErr w:type="gramStart"/>
      <w:r>
        <w:rPr>
          <w:rStyle w:val="normaltextrun"/>
          <w:rFonts w:ascii="Aptos" w:eastAsiaTheme="majorEastAsia" w:hAnsi="Aptos" w:cs="Segoe UI"/>
        </w:rPr>
        <w:t>department</w:t>
      </w:r>
      <w:proofErr w:type="gramEnd"/>
      <w:r>
        <w:rPr>
          <w:rStyle w:val="eop"/>
          <w:rFonts w:ascii="Aptos" w:eastAsiaTheme="majorEastAsia" w:hAnsi="Aptos" w:cs="Segoe UI"/>
        </w:rPr>
        <w:t> </w:t>
      </w:r>
    </w:p>
    <w:p w14:paraId="08C257AF" w14:textId="77777777" w:rsidR="000625F2" w:rsidRDefault="000625F2" w:rsidP="000625F2">
      <w:pPr>
        <w:pStyle w:val="paragraph"/>
        <w:numPr>
          <w:ilvl w:val="0"/>
          <w:numId w:val="17"/>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Identify all setbacks pertaining to the accessory apartment found in city cod </w:t>
      </w:r>
      <w:proofErr w:type="gramStart"/>
      <w:r>
        <w:rPr>
          <w:rStyle w:val="normaltextrun"/>
          <w:rFonts w:ascii="Aptos" w:eastAsiaTheme="majorEastAsia" w:hAnsi="Aptos" w:cs="Segoe UI"/>
        </w:rPr>
        <w:t>10-8-5</w:t>
      </w:r>
      <w:proofErr w:type="gramEnd"/>
      <w:r>
        <w:rPr>
          <w:rStyle w:val="eop"/>
          <w:rFonts w:ascii="Aptos" w:eastAsiaTheme="majorEastAsia" w:hAnsi="Aptos" w:cs="Segoe UI"/>
        </w:rPr>
        <w:t> </w:t>
      </w:r>
    </w:p>
    <w:p w14:paraId="22AA9923" w14:textId="77777777" w:rsidR="000625F2" w:rsidRDefault="000625F2" w:rsidP="000625F2">
      <w:pPr>
        <w:pStyle w:val="paragraph"/>
        <w:numPr>
          <w:ilvl w:val="0"/>
          <w:numId w:val="18"/>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The location of one additional parking place that is required for an accessory apartment that meets city </w:t>
      </w:r>
      <w:proofErr w:type="gramStart"/>
      <w:r>
        <w:rPr>
          <w:rStyle w:val="normaltextrun"/>
          <w:rFonts w:ascii="Aptos" w:eastAsiaTheme="majorEastAsia" w:hAnsi="Aptos" w:cs="Segoe UI"/>
        </w:rPr>
        <w:t>code</w:t>
      </w:r>
      <w:proofErr w:type="gramEnd"/>
      <w:r>
        <w:rPr>
          <w:rStyle w:val="eop"/>
          <w:rFonts w:ascii="Aptos" w:eastAsiaTheme="majorEastAsia" w:hAnsi="Aptos" w:cs="Segoe UI"/>
        </w:rPr>
        <w:t> </w:t>
      </w:r>
    </w:p>
    <w:p w14:paraId="05C18EE9" w14:textId="77777777" w:rsidR="000625F2" w:rsidRDefault="000625F2" w:rsidP="000625F2">
      <w:pPr>
        <w:pStyle w:val="paragraph"/>
        <w:numPr>
          <w:ilvl w:val="0"/>
          <w:numId w:val="19"/>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Payment of required fees pertaining to the building permit application</w:t>
      </w:r>
      <w:r>
        <w:rPr>
          <w:rStyle w:val="eop"/>
          <w:rFonts w:ascii="Aptos" w:eastAsiaTheme="majorEastAsia" w:hAnsi="Aptos" w:cs="Segoe UI"/>
        </w:rPr>
        <w:t> </w:t>
      </w:r>
    </w:p>
    <w:p w14:paraId="6D944726" w14:textId="77777777" w:rsidR="000625F2" w:rsidRDefault="000625F2" w:rsidP="000625F2">
      <w:pPr>
        <w:pStyle w:val="paragraph"/>
        <w:numPr>
          <w:ilvl w:val="0"/>
          <w:numId w:val="20"/>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The fire sprinkler system layout</w:t>
      </w:r>
      <w:r>
        <w:rPr>
          <w:rStyle w:val="eop"/>
          <w:rFonts w:ascii="Aptos" w:eastAsiaTheme="majorEastAsia" w:hAnsi="Aptos" w:cs="Segoe UI"/>
        </w:rPr>
        <w:t> </w:t>
      </w:r>
    </w:p>
    <w:p w14:paraId="6C7A7A15" w14:textId="77777777" w:rsidR="000625F2" w:rsidRDefault="000625F2" w:rsidP="000625F2">
      <w:pPr>
        <w:pStyle w:val="paragraph"/>
        <w:numPr>
          <w:ilvl w:val="0"/>
          <w:numId w:val="21"/>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Evidence of ownership for </w:t>
      </w:r>
      <w:proofErr w:type="gramStart"/>
      <w:r>
        <w:rPr>
          <w:rStyle w:val="normaltextrun"/>
          <w:rFonts w:ascii="Aptos" w:eastAsiaTheme="majorEastAsia" w:hAnsi="Aptos" w:cs="Segoe UI"/>
        </w:rPr>
        <w:t>.45 acre</w:t>
      </w:r>
      <w:proofErr w:type="gramEnd"/>
      <w:r>
        <w:rPr>
          <w:rStyle w:val="normaltextrun"/>
          <w:rFonts w:ascii="Aptos" w:eastAsiaTheme="majorEastAsia" w:hAnsi="Aptos" w:cs="Segoe UI"/>
        </w:rPr>
        <w:t xml:space="preserve"> feet of water</w:t>
      </w:r>
      <w:r>
        <w:rPr>
          <w:rStyle w:val="eop"/>
          <w:rFonts w:ascii="Aptos" w:eastAsiaTheme="majorEastAsia" w:hAnsi="Aptos" w:cs="Segoe UI"/>
        </w:rPr>
        <w:t> </w:t>
      </w:r>
    </w:p>
    <w:p w14:paraId="31AA6C71" w14:textId="77777777" w:rsidR="000625F2" w:rsidRDefault="000625F2" w:rsidP="000625F2">
      <w:pPr>
        <w:pStyle w:val="paragraph"/>
        <w:numPr>
          <w:ilvl w:val="0"/>
          <w:numId w:val="22"/>
        </w:numPr>
        <w:spacing w:before="0" w:beforeAutospacing="0" w:after="0" w:afterAutospacing="0"/>
        <w:ind w:left="1080" w:firstLine="0"/>
        <w:textAlignment w:val="baseline"/>
        <w:rPr>
          <w:rFonts w:ascii="Aptos" w:hAnsi="Aptos" w:cs="Segoe UI"/>
        </w:rPr>
      </w:pPr>
      <w:r>
        <w:rPr>
          <w:rStyle w:val="normaltextrun"/>
          <w:rFonts w:ascii="Aptos" w:eastAsiaTheme="majorEastAsia" w:hAnsi="Aptos" w:cs="Segoe UI"/>
        </w:rPr>
        <w:t xml:space="preserve">Show utility hook ups for gas, electric, sewer and </w:t>
      </w:r>
      <w:proofErr w:type="gramStart"/>
      <w:r>
        <w:rPr>
          <w:rStyle w:val="normaltextrun"/>
          <w:rFonts w:ascii="Aptos" w:eastAsiaTheme="majorEastAsia" w:hAnsi="Aptos" w:cs="Segoe UI"/>
        </w:rPr>
        <w:t>water</w:t>
      </w:r>
      <w:proofErr w:type="gramEnd"/>
      <w:r>
        <w:rPr>
          <w:rStyle w:val="eop"/>
          <w:rFonts w:ascii="Aptos" w:eastAsiaTheme="majorEastAsia" w:hAnsi="Aptos" w:cs="Segoe UI"/>
        </w:rPr>
        <w:t> </w:t>
      </w:r>
    </w:p>
    <w:p w14:paraId="720F0BC8" w14:textId="77777777" w:rsidR="000625F2" w:rsidRDefault="000625F2" w:rsidP="000625F2">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5F703EAD" w14:textId="77777777" w:rsidR="00235C29" w:rsidRDefault="00235C29"/>
    <w:sectPr w:rsidR="00235C29" w:rsidSect="005D64ED">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04681" w14:textId="77777777" w:rsidR="005D64ED" w:rsidRDefault="005D64ED" w:rsidP="007858A1">
      <w:pPr>
        <w:spacing w:after="0" w:line="240" w:lineRule="auto"/>
      </w:pPr>
      <w:r>
        <w:separator/>
      </w:r>
    </w:p>
  </w:endnote>
  <w:endnote w:type="continuationSeparator" w:id="0">
    <w:p w14:paraId="2AF6D9A2" w14:textId="77777777" w:rsidR="005D64ED" w:rsidRDefault="005D64ED" w:rsidP="00785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7961" w14:textId="77777777" w:rsidR="007858A1" w:rsidRDefault="00785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8F15" w14:textId="77777777" w:rsidR="007858A1" w:rsidRDefault="00785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FCD4" w14:textId="77777777" w:rsidR="007858A1" w:rsidRDefault="00785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AE318" w14:textId="77777777" w:rsidR="005D64ED" w:rsidRDefault="005D64ED" w:rsidP="007858A1">
      <w:pPr>
        <w:spacing w:after="0" w:line="240" w:lineRule="auto"/>
      </w:pPr>
      <w:r>
        <w:separator/>
      </w:r>
    </w:p>
  </w:footnote>
  <w:footnote w:type="continuationSeparator" w:id="0">
    <w:p w14:paraId="62334A11" w14:textId="77777777" w:rsidR="005D64ED" w:rsidRDefault="005D64ED" w:rsidP="00785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D7AE" w14:textId="586270A9" w:rsidR="007858A1" w:rsidRDefault="007858A1">
    <w:pPr>
      <w:pStyle w:val="Header"/>
    </w:pPr>
    <w:r>
      <w:rPr>
        <w:noProof/>
      </w:rPr>
      <w:pict w14:anchorId="3783D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55501" o:spid="_x0000_s1026" type="#_x0000_t136" style="position:absolute;margin-left:0;margin-top:0;width:479.9pt;height:179.95pt;rotation:315;z-index:-251655168;mso-position-horizontal:center;mso-position-horizontal-relative:margin;mso-position-vertical:center;mso-position-vertical-relative:margin" o:allowincell="f" fillcolor="red" stroked="f">
          <v:fill opacity=".5"/>
          <v:textpath style="font-family:&quot;Calibri&quot;;font-size:1pt" string="PROPOS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8B1E" w14:textId="582F8DD4" w:rsidR="007858A1" w:rsidRDefault="007858A1">
    <w:pPr>
      <w:pStyle w:val="Header"/>
    </w:pPr>
    <w:r>
      <w:rPr>
        <w:noProof/>
      </w:rPr>
      <w:pict w14:anchorId="3560A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55502" o:spid="_x0000_s1027" type="#_x0000_t136" style="position:absolute;margin-left:0;margin-top:0;width:479.9pt;height:179.95pt;rotation:315;z-index:-251653120;mso-position-horizontal:center;mso-position-horizontal-relative:margin;mso-position-vertical:center;mso-position-vertical-relative:margin" o:allowincell="f" fillcolor="red" stroked="f">
          <v:fill opacity=".5"/>
          <v:textpath style="font-family:&quot;Calibri&quot;;font-size:1pt" string="PROPOS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C9F2" w14:textId="4AFE70B0" w:rsidR="007858A1" w:rsidRDefault="007858A1">
    <w:pPr>
      <w:pStyle w:val="Header"/>
    </w:pPr>
    <w:r>
      <w:rPr>
        <w:noProof/>
      </w:rPr>
      <w:pict w14:anchorId="67D755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55500" o:spid="_x0000_s1025" type="#_x0000_t136" style="position:absolute;margin-left:0;margin-top:0;width:479.9pt;height:179.95pt;rotation:315;z-index:-251657216;mso-position-horizontal:center;mso-position-horizontal-relative:margin;mso-position-vertical:center;mso-position-vertical-relative:margin" o:allowincell="f" fillcolor="red" stroked="f">
          <v:fill opacity=".5"/>
          <v:textpath style="font-family:&quot;Calibri&quot;;font-size:1pt" string="PROPOS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A5648"/>
    <w:multiLevelType w:val="multilevel"/>
    <w:tmpl w:val="BD087D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D0D21"/>
    <w:multiLevelType w:val="multilevel"/>
    <w:tmpl w:val="A6A0B6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701C0"/>
    <w:multiLevelType w:val="multilevel"/>
    <w:tmpl w:val="91BC40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15004"/>
    <w:multiLevelType w:val="multilevel"/>
    <w:tmpl w:val="F0F0C2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C4C74"/>
    <w:multiLevelType w:val="multilevel"/>
    <w:tmpl w:val="83C830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944FD"/>
    <w:multiLevelType w:val="hybridMultilevel"/>
    <w:tmpl w:val="C8469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A5935"/>
    <w:multiLevelType w:val="multilevel"/>
    <w:tmpl w:val="191A63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F71CE"/>
    <w:multiLevelType w:val="multilevel"/>
    <w:tmpl w:val="54D4DC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6550C8"/>
    <w:multiLevelType w:val="multilevel"/>
    <w:tmpl w:val="79F89B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E26CB0"/>
    <w:multiLevelType w:val="multilevel"/>
    <w:tmpl w:val="EEFE4B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76665C"/>
    <w:multiLevelType w:val="multilevel"/>
    <w:tmpl w:val="549A19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165D31"/>
    <w:multiLevelType w:val="multilevel"/>
    <w:tmpl w:val="BF6053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1D6CB9"/>
    <w:multiLevelType w:val="multilevel"/>
    <w:tmpl w:val="A28089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3D5578"/>
    <w:multiLevelType w:val="multilevel"/>
    <w:tmpl w:val="6ABABA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0F64B0"/>
    <w:multiLevelType w:val="multilevel"/>
    <w:tmpl w:val="E6EA2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EB4611"/>
    <w:multiLevelType w:val="multilevel"/>
    <w:tmpl w:val="6FA0B1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661E5B"/>
    <w:multiLevelType w:val="multilevel"/>
    <w:tmpl w:val="984407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612E85"/>
    <w:multiLevelType w:val="multilevel"/>
    <w:tmpl w:val="A65C8E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D46065"/>
    <w:multiLevelType w:val="multilevel"/>
    <w:tmpl w:val="B442ED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D41C18"/>
    <w:multiLevelType w:val="multilevel"/>
    <w:tmpl w:val="12E8BB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8E7E52"/>
    <w:multiLevelType w:val="multilevel"/>
    <w:tmpl w:val="D4544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5271CA"/>
    <w:multiLevelType w:val="multilevel"/>
    <w:tmpl w:val="5AE6B4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2C7E3F"/>
    <w:multiLevelType w:val="multilevel"/>
    <w:tmpl w:val="F8BE4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7157731">
    <w:abstractNumId w:val="20"/>
  </w:num>
  <w:num w:numId="2" w16cid:durableId="1055661460">
    <w:abstractNumId w:val="2"/>
  </w:num>
  <w:num w:numId="3" w16cid:durableId="1063286522">
    <w:abstractNumId w:val="11"/>
  </w:num>
  <w:num w:numId="4" w16cid:durableId="1448115026">
    <w:abstractNumId w:val="9"/>
  </w:num>
  <w:num w:numId="5" w16cid:durableId="1922130833">
    <w:abstractNumId w:val="8"/>
  </w:num>
  <w:num w:numId="6" w16cid:durableId="1250194908">
    <w:abstractNumId w:val="16"/>
  </w:num>
  <w:num w:numId="7" w16cid:durableId="977994440">
    <w:abstractNumId w:val="12"/>
  </w:num>
  <w:num w:numId="8" w16cid:durableId="1725249485">
    <w:abstractNumId w:val="17"/>
  </w:num>
  <w:num w:numId="9" w16cid:durableId="623732801">
    <w:abstractNumId w:val="7"/>
  </w:num>
  <w:num w:numId="10" w16cid:durableId="1870139136">
    <w:abstractNumId w:val="4"/>
  </w:num>
  <w:num w:numId="11" w16cid:durableId="124348033">
    <w:abstractNumId w:val="10"/>
  </w:num>
  <w:num w:numId="12" w16cid:durableId="2139637994">
    <w:abstractNumId w:val="19"/>
  </w:num>
  <w:num w:numId="13" w16cid:durableId="2043171448">
    <w:abstractNumId w:val="0"/>
  </w:num>
  <w:num w:numId="14" w16cid:durableId="1593933084">
    <w:abstractNumId w:val="13"/>
  </w:num>
  <w:num w:numId="15" w16cid:durableId="591813322">
    <w:abstractNumId w:val="22"/>
  </w:num>
  <w:num w:numId="16" w16cid:durableId="350957245">
    <w:abstractNumId w:val="21"/>
  </w:num>
  <w:num w:numId="17" w16cid:durableId="692415789">
    <w:abstractNumId w:val="14"/>
  </w:num>
  <w:num w:numId="18" w16cid:durableId="1925914724">
    <w:abstractNumId w:val="15"/>
  </w:num>
  <w:num w:numId="19" w16cid:durableId="1625694138">
    <w:abstractNumId w:val="1"/>
  </w:num>
  <w:num w:numId="20" w16cid:durableId="29308526">
    <w:abstractNumId w:val="3"/>
  </w:num>
  <w:num w:numId="21" w16cid:durableId="2024814387">
    <w:abstractNumId w:val="18"/>
  </w:num>
  <w:num w:numId="22" w16cid:durableId="1742830242">
    <w:abstractNumId w:val="6"/>
  </w:num>
  <w:num w:numId="23" w16cid:durableId="807360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F2"/>
    <w:rsid w:val="000625F2"/>
    <w:rsid w:val="001A1016"/>
    <w:rsid w:val="00235C29"/>
    <w:rsid w:val="005D64ED"/>
    <w:rsid w:val="0078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15AC6"/>
  <w15:chartTrackingRefBased/>
  <w15:docId w15:val="{67819DBB-574F-48CC-8F2E-41FF872A5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5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25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25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25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25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2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5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25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25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25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25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2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5F2"/>
    <w:rPr>
      <w:rFonts w:eastAsiaTheme="majorEastAsia" w:cstheme="majorBidi"/>
      <w:color w:val="272727" w:themeColor="text1" w:themeTint="D8"/>
    </w:rPr>
  </w:style>
  <w:style w:type="paragraph" w:styleId="Title">
    <w:name w:val="Title"/>
    <w:basedOn w:val="Normal"/>
    <w:next w:val="Normal"/>
    <w:link w:val="TitleChar"/>
    <w:uiPriority w:val="10"/>
    <w:qFormat/>
    <w:rsid w:val="00062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5F2"/>
    <w:pPr>
      <w:spacing w:before="160"/>
      <w:jc w:val="center"/>
    </w:pPr>
    <w:rPr>
      <w:i/>
      <w:iCs/>
      <w:color w:val="404040" w:themeColor="text1" w:themeTint="BF"/>
    </w:rPr>
  </w:style>
  <w:style w:type="character" w:customStyle="1" w:styleId="QuoteChar">
    <w:name w:val="Quote Char"/>
    <w:basedOn w:val="DefaultParagraphFont"/>
    <w:link w:val="Quote"/>
    <w:uiPriority w:val="29"/>
    <w:rsid w:val="000625F2"/>
    <w:rPr>
      <w:i/>
      <w:iCs/>
      <w:color w:val="404040" w:themeColor="text1" w:themeTint="BF"/>
    </w:rPr>
  </w:style>
  <w:style w:type="paragraph" w:styleId="ListParagraph">
    <w:name w:val="List Paragraph"/>
    <w:basedOn w:val="Normal"/>
    <w:uiPriority w:val="34"/>
    <w:qFormat/>
    <w:rsid w:val="000625F2"/>
    <w:pPr>
      <w:ind w:left="720"/>
      <w:contextualSpacing/>
    </w:pPr>
  </w:style>
  <w:style w:type="character" w:styleId="IntenseEmphasis">
    <w:name w:val="Intense Emphasis"/>
    <w:basedOn w:val="DefaultParagraphFont"/>
    <w:uiPriority w:val="21"/>
    <w:qFormat/>
    <w:rsid w:val="000625F2"/>
    <w:rPr>
      <w:i/>
      <w:iCs/>
      <w:color w:val="2F5496" w:themeColor="accent1" w:themeShade="BF"/>
    </w:rPr>
  </w:style>
  <w:style w:type="paragraph" w:styleId="IntenseQuote">
    <w:name w:val="Intense Quote"/>
    <w:basedOn w:val="Normal"/>
    <w:next w:val="Normal"/>
    <w:link w:val="IntenseQuoteChar"/>
    <w:uiPriority w:val="30"/>
    <w:qFormat/>
    <w:rsid w:val="000625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25F2"/>
    <w:rPr>
      <w:i/>
      <w:iCs/>
      <w:color w:val="2F5496" w:themeColor="accent1" w:themeShade="BF"/>
    </w:rPr>
  </w:style>
  <w:style w:type="character" w:styleId="IntenseReference">
    <w:name w:val="Intense Reference"/>
    <w:basedOn w:val="DefaultParagraphFont"/>
    <w:uiPriority w:val="32"/>
    <w:qFormat/>
    <w:rsid w:val="000625F2"/>
    <w:rPr>
      <w:b/>
      <w:bCs/>
      <w:smallCaps/>
      <w:color w:val="2F5496" w:themeColor="accent1" w:themeShade="BF"/>
      <w:spacing w:val="5"/>
    </w:rPr>
  </w:style>
  <w:style w:type="paragraph" w:customStyle="1" w:styleId="paragraph">
    <w:name w:val="paragraph"/>
    <w:basedOn w:val="Normal"/>
    <w:rsid w:val="000625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0625F2"/>
  </w:style>
  <w:style w:type="character" w:customStyle="1" w:styleId="eop">
    <w:name w:val="eop"/>
    <w:basedOn w:val="DefaultParagraphFont"/>
    <w:rsid w:val="000625F2"/>
  </w:style>
  <w:style w:type="paragraph" w:styleId="Header">
    <w:name w:val="header"/>
    <w:basedOn w:val="Normal"/>
    <w:link w:val="HeaderChar"/>
    <w:uiPriority w:val="99"/>
    <w:unhideWhenUsed/>
    <w:rsid w:val="00785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8A1"/>
  </w:style>
  <w:style w:type="paragraph" w:styleId="Footer">
    <w:name w:val="footer"/>
    <w:basedOn w:val="Normal"/>
    <w:link w:val="FooterChar"/>
    <w:uiPriority w:val="99"/>
    <w:unhideWhenUsed/>
    <w:rsid w:val="00785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516680">
      <w:bodyDiv w:val="1"/>
      <w:marLeft w:val="0"/>
      <w:marRight w:val="0"/>
      <w:marTop w:val="0"/>
      <w:marBottom w:val="0"/>
      <w:divBdr>
        <w:top w:val="none" w:sz="0" w:space="0" w:color="auto"/>
        <w:left w:val="none" w:sz="0" w:space="0" w:color="auto"/>
        <w:bottom w:val="none" w:sz="0" w:space="0" w:color="auto"/>
        <w:right w:val="none" w:sz="0" w:space="0" w:color="auto"/>
      </w:divBdr>
      <w:divsChild>
        <w:div w:id="846821542">
          <w:marLeft w:val="0"/>
          <w:marRight w:val="0"/>
          <w:marTop w:val="0"/>
          <w:marBottom w:val="0"/>
          <w:divBdr>
            <w:top w:val="none" w:sz="0" w:space="0" w:color="auto"/>
            <w:left w:val="none" w:sz="0" w:space="0" w:color="auto"/>
            <w:bottom w:val="none" w:sz="0" w:space="0" w:color="auto"/>
            <w:right w:val="none" w:sz="0" w:space="0" w:color="auto"/>
          </w:divBdr>
          <w:divsChild>
            <w:div w:id="408043111">
              <w:marLeft w:val="0"/>
              <w:marRight w:val="0"/>
              <w:marTop w:val="0"/>
              <w:marBottom w:val="0"/>
              <w:divBdr>
                <w:top w:val="none" w:sz="0" w:space="0" w:color="auto"/>
                <w:left w:val="none" w:sz="0" w:space="0" w:color="auto"/>
                <w:bottom w:val="none" w:sz="0" w:space="0" w:color="auto"/>
                <w:right w:val="none" w:sz="0" w:space="0" w:color="auto"/>
              </w:divBdr>
            </w:div>
            <w:div w:id="408968317">
              <w:marLeft w:val="0"/>
              <w:marRight w:val="0"/>
              <w:marTop w:val="0"/>
              <w:marBottom w:val="0"/>
              <w:divBdr>
                <w:top w:val="none" w:sz="0" w:space="0" w:color="auto"/>
                <w:left w:val="none" w:sz="0" w:space="0" w:color="auto"/>
                <w:bottom w:val="none" w:sz="0" w:space="0" w:color="auto"/>
                <w:right w:val="none" w:sz="0" w:space="0" w:color="auto"/>
              </w:divBdr>
            </w:div>
            <w:div w:id="1493638174">
              <w:marLeft w:val="0"/>
              <w:marRight w:val="0"/>
              <w:marTop w:val="0"/>
              <w:marBottom w:val="0"/>
              <w:divBdr>
                <w:top w:val="none" w:sz="0" w:space="0" w:color="auto"/>
                <w:left w:val="none" w:sz="0" w:space="0" w:color="auto"/>
                <w:bottom w:val="none" w:sz="0" w:space="0" w:color="auto"/>
                <w:right w:val="none" w:sz="0" w:space="0" w:color="auto"/>
              </w:divBdr>
            </w:div>
            <w:div w:id="1170097483">
              <w:marLeft w:val="0"/>
              <w:marRight w:val="0"/>
              <w:marTop w:val="0"/>
              <w:marBottom w:val="0"/>
              <w:divBdr>
                <w:top w:val="none" w:sz="0" w:space="0" w:color="auto"/>
                <w:left w:val="none" w:sz="0" w:space="0" w:color="auto"/>
                <w:bottom w:val="none" w:sz="0" w:space="0" w:color="auto"/>
                <w:right w:val="none" w:sz="0" w:space="0" w:color="auto"/>
              </w:divBdr>
            </w:div>
            <w:div w:id="1937715932">
              <w:marLeft w:val="0"/>
              <w:marRight w:val="0"/>
              <w:marTop w:val="0"/>
              <w:marBottom w:val="0"/>
              <w:divBdr>
                <w:top w:val="none" w:sz="0" w:space="0" w:color="auto"/>
                <w:left w:val="none" w:sz="0" w:space="0" w:color="auto"/>
                <w:bottom w:val="none" w:sz="0" w:space="0" w:color="auto"/>
                <w:right w:val="none" w:sz="0" w:space="0" w:color="auto"/>
              </w:divBdr>
            </w:div>
            <w:div w:id="1115909669">
              <w:marLeft w:val="0"/>
              <w:marRight w:val="0"/>
              <w:marTop w:val="0"/>
              <w:marBottom w:val="0"/>
              <w:divBdr>
                <w:top w:val="none" w:sz="0" w:space="0" w:color="auto"/>
                <w:left w:val="none" w:sz="0" w:space="0" w:color="auto"/>
                <w:bottom w:val="none" w:sz="0" w:space="0" w:color="auto"/>
                <w:right w:val="none" w:sz="0" w:space="0" w:color="auto"/>
              </w:divBdr>
            </w:div>
            <w:div w:id="899091925">
              <w:marLeft w:val="0"/>
              <w:marRight w:val="0"/>
              <w:marTop w:val="0"/>
              <w:marBottom w:val="0"/>
              <w:divBdr>
                <w:top w:val="none" w:sz="0" w:space="0" w:color="auto"/>
                <w:left w:val="none" w:sz="0" w:space="0" w:color="auto"/>
                <w:bottom w:val="none" w:sz="0" w:space="0" w:color="auto"/>
                <w:right w:val="none" w:sz="0" w:space="0" w:color="auto"/>
              </w:divBdr>
            </w:div>
            <w:div w:id="1116753693">
              <w:marLeft w:val="0"/>
              <w:marRight w:val="0"/>
              <w:marTop w:val="0"/>
              <w:marBottom w:val="0"/>
              <w:divBdr>
                <w:top w:val="none" w:sz="0" w:space="0" w:color="auto"/>
                <w:left w:val="none" w:sz="0" w:space="0" w:color="auto"/>
                <w:bottom w:val="none" w:sz="0" w:space="0" w:color="auto"/>
                <w:right w:val="none" w:sz="0" w:space="0" w:color="auto"/>
              </w:divBdr>
            </w:div>
            <w:div w:id="995644248">
              <w:marLeft w:val="0"/>
              <w:marRight w:val="0"/>
              <w:marTop w:val="0"/>
              <w:marBottom w:val="0"/>
              <w:divBdr>
                <w:top w:val="none" w:sz="0" w:space="0" w:color="auto"/>
                <w:left w:val="none" w:sz="0" w:space="0" w:color="auto"/>
                <w:bottom w:val="none" w:sz="0" w:space="0" w:color="auto"/>
                <w:right w:val="none" w:sz="0" w:space="0" w:color="auto"/>
              </w:divBdr>
            </w:div>
            <w:div w:id="2015452430">
              <w:marLeft w:val="0"/>
              <w:marRight w:val="0"/>
              <w:marTop w:val="0"/>
              <w:marBottom w:val="0"/>
              <w:divBdr>
                <w:top w:val="none" w:sz="0" w:space="0" w:color="auto"/>
                <w:left w:val="none" w:sz="0" w:space="0" w:color="auto"/>
                <w:bottom w:val="none" w:sz="0" w:space="0" w:color="auto"/>
                <w:right w:val="none" w:sz="0" w:space="0" w:color="auto"/>
              </w:divBdr>
            </w:div>
            <w:div w:id="1446391211">
              <w:marLeft w:val="0"/>
              <w:marRight w:val="0"/>
              <w:marTop w:val="0"/>
              <w:marBottom w:val="0"/>
              <w:divBdr>
                <w:top w:val="none" w:sz="0" w:space="0" w:color="auto"/>
                <w:left w:val="none" w:sz="0" w:space="0" w:color="auto"/>
                <w:bottom w:val="none" w:sz="0" w:space="0" w:color="auto"/>
                <w:right w:val="none" w:sz="0" w:space="0" w:color="auto"/>
              </w:divBdr>
            </w:div>
            <w:div w:id="1860314420">
              <w:marLeft w:val="0"/>
              <w:marRight w:val="0"/>
              <w:marTop w:val="0"/>
              <w:marBottom w:val="0"/>
              <w:divBdr>
                <w:top w:val="none" w:sz="0" w:space="0" w:color="auto"/>
                <w:left w:val="none" w:sz="0" w:space="0" w:color="auto"/>
                <w:bottom w:val="none" w:sz="0" w:space="0" w:color="auto"/>
                <w:right w:val="none" w:sz="0" w:space="0" w:color="auto"/>
              </w:divBdr>
            </w:div>
            <w:div w:id="492836883">
              <w:marLeft w:val="0"/>
              <w:marRight w:val="0"/>
              <w:marTop w:val="0"/>
              <w:marBottom w:val="0"/>
              <w:divBdr>
                <w:top w:val="none" w:sz="0" w:space="0" w:color="auto"/>
                <w:left w:val="none" w:sz="0" w:space="0" w:color="auto"/>
                <w:bottom w:val="none" w:sz="0" w:space="0" w:color="auto"/>
                <w:right w:val="none" w:sz="0" w:space="0" w:color="auto"/>
              </w:divBdr>
            </w:div>
            <w:div w:id="967932417">
              <w:marLeft w:val="0"/>
              <w:marRight w:val="0"/>
              <w:marTop w:val="0"/>
              <w:marBottom w:val="0"/>
              <w:divBdr>
                <w:top w:val="none" w:sz="0" w:space="0" w:color="auto"/>
                <w:left w:val="none" w:sz="0" w:space="0" w:color="auto"/>
                <w:bottom w:val="none" w:sz="0" w:space="0" w:color="auto"/>
                <w:right w:val="none" w:sz="0" w:space="0" w:color="auto"/>
              </w:divBdr>
            </w:div>
            <w:div w:id="1892762281">
              <w:marLeft w:val="0"/>
              <w:marRight w:val="0"/>
              <w:marTop w:val="0"/>
              <w:marBottom w:val="0"/>
              <w:divBdr>
                <w:top w:val="none" w:sz="0" w:space="0" w:color="auto"/>
                <w:left w:val="none" w:sz="0" w:space="0" w:color="auto"/>
                <w:bottom w:val="none" w:sz="0" w:space="0" w:color="auto"/>
                <w:right w:val="none" w:sz="0" w:space="0" w:color="auto"/>
              </w:divBdr>
            </w:div>
            <w:div w:id="1158813783">
              <w:marLeft w:val="0"/>
              <w:marRight w:val="0"/>
              <w:marTop w:val="0"/>
              <w:marBottom w:val="0"/>
              <w:divBdr>
                <w:top w:val="none" w:sz="0" w:space="0" w:color="auto"/>
                <w:left w:val="none" w:sz="0" w:space="0" w:color="auto"/>
                <w:bottom w:val="none" w:sz="0" w:space="0" w:color="auto"/>
                <w:right w:val="none" w:sz="0" w:space="0" w:color="auto"/>
              </w:divBdr>
            </w:div>
            <w:div w:id="1795250735">
              <w:marLeft w:val="0"/>
              <w:marRight w:val="0"/>
              <w:marTop w:val="0"/>
              <w:marBottom w:val="0"/>
              <w:divBdr>
                <w:top w:val="none" w:sz="0" w:space="0" w:color="auto"/>
                <w:left w:val="none" w:sz="0" w:space="0" w:color="auto"/>
                <w:bottom w:val="none" w:sz="0" w:space="0" w:color="auto"/>
                <w:right w:val="none" w:sz="0" w:space="0" w:color="auto"/>
              </w:divBdr>
            </w:div>
            <w:div w:id="1600597433">
              <w:marLeft w:val="0"/>
              <w:marRight w:val="0"/>
              <w:marTop w:val="0"/>
              <w:marBottom w:val="0"/>
              <w:divBdr>
                <w:top w:val="none" w:sz="0" w:space="0" w:color="auto"/>
                <w:left w:val="none" w:sz="0" w:space="0" w:color="auto"/>
                <w:bottom w:val="none" w:sz="0" w:space="0" w:color="auto"/>
                <w:right w:val="none" w:sz="0" w:space="0" w:color="auto"/>
              </w:divBdr>
            </w:div>
          </w:divsChild>
        </w:div>
        <w:div w:id="90518089">
          <w:marLeft w:val="0"/>
          <w:marRight w:val="0"/>
          <w:marTop w:val="0"/>
          <w:marBottom w:val="0"/>
          <w:divBdr>
            <w:top w:val="none" w:sz="0" w:space="0" w:color="auto"/>
            <w:left w:val="none" w:sz="0" w:space="0" w:color="auto"/>
            <w:bottom w:val="none" w:sz="0" w:space="0" w:color="auto"/>
            <w:right w:val="none" w:sz="0" w:space="0" w:color="auto"/>
          </w:divBdr>
          <w:divsChild>
            <w:div w:id="1674910836">
              <w:marLeft w:val="0"/>
              <w:marRight w:val="0"/>
              <w:marTop w:val="0"/>
              <w:marBottom w:val="0"/>
              <w:divBdr>
                <w:top w:val="none" w:sz="0" w:space="0" w:color="auto"/>
                <w:left w:val="none" w:sz="0" w:space="0" w:color="auto"/>
                <w:bottom w:val="none" w:sz="0" w:space="0" w:color="auto"/>
                <w:right w:val="none" w:sz="0" w:space="0" w:color="auto"/>
              </w:divBdr>
            </w:div>
            <w:div w:id="942033973">
              <w:marLeft w:val="0"/>
              <w:marRight w:val="0"/>
              <w:marTop w:val="0"/>
              <w:marBottom w:val="0"/>
              <w:divBdr>
                <w:top w:val="none" w:sz="0" w:space="0" w:color="auto"/>
                <w:left w:val="none" w:sz="0" w:space="0" w:color="auto"/>
                <w:bottom w:val="none" w:sz="0" w:space="0" w:color="auto"/>
                <w:right w:val="none" w:sz="0" w:space="0" w:color="auto"/>
              </w:divBdr>
            </w:div>
            <w:div w:id="1048802519">
              <w:marLeft w:val="0"/>
              <w:marRight w:val="0"/>
              <w:marTop w:val="0"/>
              <w:marBottom w:val="0"/>
              <w:divBdr>
                <w:top w:val="none" w:sz="0" w:space="0" w:color="auto"/>
                <w:left w:val="none" w:sz="0" w:space="0" w:color="auto"/>
                <w:bottom w:val="none" w:sz="0" w:space="0" w:color="auto"/>
                <w:right w:val="none" w:sz="0" w:space="0" w:color="auto"/>
              </w:divBdr>
            </w:div>
            <w:div w:id="1981767730">
              <w:marLeft w:val="0"/>
              <w:marRight w:val="0"/>
              <w:marTop w:val="0"/>
              <w:marBottom w:val="0"/>
              <w:divBdr>
                <w:top w:val="none" w:sz="0" w:space="0" w:color="auto"/>
                <w:left w:val="none" w:sz="0" w:space="0" w:color="auto"/>
                <w:bottom w:val="none" w:sz="0" w:space="0" w:color="auto"/>
                <w:right w:val="none" w:sz="0" w:space="0" w:color="auto"/>
              </w:divBdr>
            </w:div>
            <w:div w:id="501940799">
              <w:marLeft w:val="0"/>
              <w:marRight w:val="0"/>
              <w:marTop w:val="0"/>
              <w:marBottom w:val="0"/>
              <w:divBdr>
                <w:top w:val="none" w:sz="0" w:space="0" w:color="auto"/>
                <w:left w:val="none" w:sz="0" w:space="0" w:color="auto"/>
                <w:bottom w:val="none" w:sz="0" w:space="0" w:color="auto"/>
                <w:right w:val="none" w:sz="0" w:space="0" w:color="auto"/>
              </w:divBdr>
            </w:div>
            <w:div w:id="2053726407">
              <w:marLeft w:val="0"/>
              <w:marRight w:val="0"/>
              <w:marTop w:val="0"/>
              <w:marBottom w:val="0"/>
              <w:divBdr>
                <w:top w:val="none" w:sz="0" w:space="0" w:color="auto"/>
                <w:left w:val="none" w:sz="0" w:space="0" w:color="auto"/>
                <w:bottom w:val="none" w:sz="0" w:space="0" w:color="auto"/>
                <w:right w:val="none" w:sz="0" w:space="0" w:color="auto"/>
              </w:divBdr>
            </w:div>
            <w:div w:id="1145395530">
              <w:marLeft w:val="0"/>
              <w:marRight w:val="0"/>
              <w:marTop w:val="0"/>
              <w:marBottom w:val="0"/>
              <w:divBdr>
                <w:top w:val="none" w:sz="0" w:space="0" w:color="auto"/>
                <w:left w:val="none" w:sz="0" w:space="0" w:color="auto"/>
                <w:bottom w:val="none" w:sz="0" w:space="0" w:color="auto"/>
                <w:right w:val="none" w:sz="0" w:space="0" w:color="auto"/>
              </w:divBdr>
            </w:div>
            <w:div w:id="791437425">
              <w:marLeft w:val="0"/>
              <w:marRight w:val="0"/>
              <w:marTop w:val="0"/>
              <w:marBottom w:val="0"/>
              <w:divBdr>
                <w:top w:val="none" w:sz="0" w:space="0" w:color="auto"/>
                <w:left w:val="none" w:sz="0" w:space="0" w:color="auto"/>
                <w:bottom w:val="none" w:sz="0" w:space="0" w:color="auto"/>
                <w:right w:val="none" w:sz="0" w:space="0" w:color="auto"/>
              </w:divBdr>
            </w:div>
            <w:div w:id="1393963257">
              <w:marLeft w:val="0"/>
              <w:marRight w:val="0"/>
              <w:marTop w:val="0"/>
              <w:marBottom w:val="0"/>
              <w:divBdr>
                <w:top w:val="none" w:sz="0" w:space="0" w:color="auto"/>
                <w:left w:val="none" w:sz="0" w:space="0" w:color="auto"/>
                <w:bottom w:val="none" w:sz="0" w:space="0" w:color="auto"/>
                <w:right w:val="none" w:sz="0" w:space="0" w:color="auto"/>
              </w:divBdr>
            </w:div>
            <w:div w:id="587736506">
              <w:marLeft w:val="0"/>
              <w:marRight w:val="0"/>
              <w:marTop w:val="0"/>
              <w:marBottom w:val="0"/>
              <w:divBdr>
                <w:top w:val="none" w:sz="0" w:space="0" w:color="auto"/>
                <w:left w:val="none" w:sz="0" w:space="0" w:color="auto"/>
                <w:bottom w:val="none" w:sz="0" w:space="0" w:color="auto"/>
                <w:right w:val="none" w:sz="0" w:space="0" w:color="auto"/>
              </w:divBdr>
            </w:div>
            <w:div w:id="1158115600">
              <w:marLeft w:val="0"/>
              <w:marRight w:val="0"/>
              <w:marTop w:val="0"/>
              <w:marBottom w:val="0"/>
              <w:divBdr>
                <w:top w:val="none" w:sz="0" w:space="0" w:color="auto"/>
                <w:left w:val="none" w:sz="0" w:space="0" w:color="auto"/>
                <w:bottom w:val="none" w:sz="0" w:space="0" w:color="auto"/>
                <w:right w:val="none" w:sz="0" w:space="0" w:color="auto"/>
              </w:divBdr>
            </w:div>
            <w:div w:id="1588732807">
              <w:marLeft w:val="0"/>
              <w:marRight w:val="0"/>
              <w:marTop w:val="0"/>
              <w:marBottom w:val="0"/>
              <w:divBdr>
                <w:top w:val="none" w:sz="0" w:space="0" w:color="auto"/>
                <w:left w:val="none" w:sz="0" w:space="0" w:color="auto"/>
                <w:bottom w:val="none" w:sz="0" w:space="0" w:color="auto"/>
                <w:right w:val="none" w:sz="0" w:space="0" w:color="auto"/>
              </w:divBdr>
            </w:div>
            <w:div w:id="1623728787">
              <w:marLeft w:val="0"/>
              <w:marRight w:val="0"/>
              <w:marTop w:val="0"/>
              <w:marBottom w:val="0"/>
              <w:divBdr>
                <w:top w:val="none" w:sz="0" w:space="0" w:color="auto"/>
                <w:left w:val="none" w:sz="0" w:space="0" w:color="auto"/>
                <w:bottom w:val="none" w:sz="0" w:space="0" w:color="auto"/>
                <w:right w:val="none" w:sz="0" w:space="0" w:color="auto"/>
              </w:divBdr>
            </w:div>
            <w:div w:id="1875120163">
              <w:marLeft w:val="0"/>
              <w:marRight w:val="0"/>
              <w:marTop w:val="0"/>
              <w:marBottom w:val="0"/>
              <w:divBdr>
                <w:top w:val="none" w:sz="0" w:space="0" w:color="auto"/>
                <w:left w:val="none" w:sz="0" w:space="0" w:color="auto"/>
                <w:bottom w:val="none" w:sz="0" w:space="0" w:color="auto"/>
                <w:right w:val="none" w:sz="0" w:space="0" w:color="auto"/>
              </w:divBdr>
            </w:div>
            <w:div w:id="1654137840">
              <w:marLeft w:val="0"/>
              <w:marRight w:val="0"/>
              <w:marTop w:val="0"/>
              <w:marBottom w:val="0"/>
              <w:divBdr>
                <w:top w:val="none" w:sz="0" w:space="0" w:color="auto"/>
                <w:left w:val="none" w:sz="0" w:space="0" w:color="auto"/>
                <w:bottom w:val="none" w:sz="0" w:space="0" w:color="auto"/>
                <w:right w:val="none" w:sz="0" w:space="0" w:color="auto"/>
              </w:divBdr>
            </w:div>
            <w:div w:id="107200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814</Words>
  <Characters>4219</Characters>
  <Application>Microsoft Office Word</Application>
  <DocSecurity>0</DocSecurity>
  <Lines>84</Lines>
  <Paragraphs>32</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2</cp:revision>
  <dcterms:created xsi:type="dcterms:W3CDTF">2024-04-23T17:29:00Z</dcterms:created>
  <dcterms:modified xsi:type="dcterms:W3CDTF">2024-04-23T17:39:00Z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2b14a177-309f-4b25-a94a-81cbe376b9a6</vt:lpwstr>
  </property>
</Properties>
</file>