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78DE999" w14:textId="1061F848" w:rsidR="006A0A71" w:rsidRDefault="00BF2765" w:rsidP="006A0A71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6A0A71" w:rsidRPr="006A0A71">
        <w:rPr>
          <w:rFonts w:ascii="Arial" w:hAnsi="Arial" w:cs="Arial"/>
          <w:color w:val="000000"/>
        </w:rPr>
        <w:t>https://utah-gov.zoom.us/j/6588245221?omn=82500508909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6A0A71" w:rsidRPr="006A0A71">
        <w:rPr>
          <w:rFonts w:ascii="Arial" w:hAnsi="Arial" w:cs="Arial"/>
          <w:color w:val="000000"/>
        </w:rPr>
        <w:t>+17193594580,,6588245221</w:t>
      </w:r>
      <w:r w:rsidR="006A0A71">
        <w:rPr>
          <w:rFonts w:ascii="Arial" w:hAnsi="Arial" w:cs="Arial"/>
          <w:color w:val="000000"/>
        </w:rPr>
        <w:t xml:space="preserve"> </w:t>
      </w:r>
      <w:r w:rsidR="006A0A71" w:rsidRPr="006A0A71">
        <w:rPr>
          <w:rFonts w:ascii="Arial" w:hAnsi="Arial" w:cs="Arial"/>
          <w:color w:val="000000"/>
        </w:rPr>
        <w:t>+12532050468,,6588245221</w:t>
      </w:r>
    </w:p>
    <w:p w14:paraId="45D0F242" w14:textId="690A3486" w:rsidR="00BF2765" w:rsidRPr="00BF2765" w:rsidRDefault="009A7A56" w:rsidP="006A0A71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9A7A56">
        <w:rPr>
          <w:rFonts w:ascii="Arial" w:hAnsi="Arial" w:cs="Arial"/>
          <w:color w:val="000000"/>
        </w:rPr>
        <w:t xml:space="preserve">Meeting ID: </w:t>
      </w:r>
      <w:r w:rsidR="006A0A71" w:rsidRPr="006A0A71">
        <w:rPr>
          <w:rFonts w:ascii="Arial" w:hAnsi="Arial" w:cs="Arial"/>
          <w:color w:val="000000"/>
        </w:rPr>
        <w:t>658 824 5221</w:t>
      </w:r>
    </w:p>
    <w:p w14:paraId="7BEAA08B" w14:textId="6546CB83" w:rsidR="00267E9F" w:rsidRPr="00F36E7D" w:rsidRDefault="0033744B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March</w:t>
      </w:r>
      <w:r w:rsidR="00A418C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14</w:t>
      </w:r>
      <w:r w:rsidR="00F53B91">
        <w:rPr>
          <w:rFonts w:ascii="Arial" w:hAnsi="Arial" w:cs="Arial"/>
          <w:bCs/>
        </w:rPr>
        <w:t>, 202</w:t>
      </w:r>
      <w:r w:rsidR="00251921">
        <w:rPr>
          <w:rFonts w:ascii="Arial" w:hAnsi="Arial" w:cs="Arial"/>
          <w:bCs/>
        </w:rPr>
        <w:t>4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10</w:t>
      </w:r>
      <w:r w:rsidR="0013238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</w:t>
      </w:r>
      <w:r w:rsidR="0013238F">
        <w:rPr>
          <w:rFonts w:ascii="Arial" w:hAnsi="Arial" w:cs="Arial"/>
          <w:bCs/>
        </w:rPr>
        <w:t>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</w:t>
      </w:r>
      <w:r w:rsidR="00170036">
        <w:rPr>
          <w:rFonts w:ascii="Arial" w:hAnsi="Arial" w:cs="Arial"/>
          <w:bCs/>
        </w:rPr>
        <w:t>0</w:t>
      </w:r>
      <w:r w:rsidR="00FA4E02">
        <w:rPr>
          <w:rFonts w:ascii="Arial" w:hAnsi="Arial" w:cs="Arial"/>
          <w:bCs/>
        </w:rPr>
        <w:t>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E5EA123" w14:textId="0B0A25BA" w:rsidR="001D66D1" w:rsidRDefault="00B12F6B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4249E4C6" w14:textId="7D81F9F1" w:rsidR="001D66D1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>
        <w:rPr>
          <w:rFonts w:ascii="Arial" w:hAnsi="Arial" w:cs="Arial"/>
        </w:rPr>
        <w:t>to approve</w:t>
      </w:r>
      <w:r w:rsidRPr="00F36E7D">
        <w:rPr>
          <w:rFonts w:ascii="Arial" w:hAnsi="Arial" w:cs="Arial"/>
        </w:rPr>
        <w:t xml:space="preserve"> Meeting Minutes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GOEO </w:t>
      </w:r>
      <w:r w:rsidRPr="00F36E7D">
        <w:rPr>
          <w:rFonts w:ascii="Arial" w:hAnsi="Arial" w:cs="Arial"/>
        </w:rPr>
        <w:t>Board</w:t>
      </w:r>
    </w:p>
    <w:p w14:paraId="27DA51D4" w14:textId="70DAAEC4" w:rsidR="001D66D1" w:rsidRPr="0033744B" w:rsidRDefault="0033744B" w:rsidP="001D66D1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February 12</w:t>
      </w:r>
      <w:r w:rsidR="001D66D1" w:rsidRPr="00251921">
        <w:rPr>
          <w:rFonts w:ascii="Arial" w:hAnsi="Arial" w:cs="Arial"/>
          <w:sz w:val="18"/>
          <w:szCs w:val="18"/>
          <w:vertAlign w:val="superscript"/>
        </w:rPr>
        <w:t>th</w:t>
      </w:r>
      <w:r w:rsidR="001D66D1">
        <w:rPr>
          <w:rFonts w:ascii="Arial" w:hAnsi="Arial" w:cs="Arial"/>
          <w:sz w:val="18"/>
          <w:szCs w:val="18"/>
        </w:rPr>
        <w:t>, 2023</w:t>
      </w:r>
    </w:p>
    <w:p w14:paraId="2B184AA2" w14:textId="7F4D1444" w:rsidR="0033744B" w:rsidRDefault="00BA73D5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OPMA Training</w:t>
      </w:r>
      <w:r w:rsidR="0033744B" w:rsidRPr="0033744B">
        <w:rPr>
          <w:rFonts w:ascii="Arial" w:hAnsi="Arial" w:cs="Arial"/>
        </w:rPr>
        <w:tab/>
      </w:r>
      <w:r>
        <w:rPr>
          <w:rFonts w:ascii="Arial" w:hAnsi="Arial" w:cs="Arial"/>
        </w:rPr>
        <w:t>Todd Jenson</w:t>
      </w:r>
    </w:p>
    <w:p w14:paraId="58E36A13" w14:textId="24FA54A2" w:rsidR="00BA73D5" w:rsidRDefault="00BA73D5" w:rsidP="00BA73D5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Todd Jenson will instruct the </w:t>
      </w:r>
      <w:r w:rsidR="00152555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oard on relevant topics as they relate to the Board and the Open Public Meetings Act.</w:t>
      </w:r>
    </w:p>
    <w:p w14:paraId="16FEC7FC" w14:textId="6300DC45" w:rsidR="0033744B" w:rsidRDefault="00BA73D5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EDTIF Incentives</w:t>
      </w:r>
      <w:r w:rsidR="0033744B" w:rsidRPr="0033744B">
        <w:rPr>
          <w:rFonts w:ascii="Arial" w:hAnsi="Arial" w:cs="Arial"/>
        </w:rPr>
        <w:tab/>
      </w:r>
      <w:r>
        <w:rPr>
          <w:rFonts w:ascii="Arial" w:hAnsi="Arial" w:cs="Arial"/>
        </w:rPr>
        <w:t>Daniel Royal</w:t>
      </w:r>
    </w:p>
    <w:p w14:paraId="6F0715F9" w14:textId="250D5B0E" w:rsidR="0033744B" w:rsidRDefault="005C23C1" w:rsidP="005C23C1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Board will meet with company representatives and vote to approve EDTIF (and other) benefits for the company</w:t>
      </w:r>
      <w:r w:rsidR="00686DF5">
        <w:rPr>
          <w:rFonts w:ascii="Arial" w:hAnsi="Arial" w:cs="Arial"/>
          <w:sz w:val="18"/>
          <w:szCs w:val="18"/>
        </w:rPr>
        <w:t>’s</w:t>
      </w:r>
      <w:r>
        <w:rPr>
          <w:rFonts w:ascii="Arial" w:hAnsi="Arial" w:cs="Arial"/>
          <w:sz w:val="18"/>
          <w:szCs w:val="18"/>
        </w:rPr>
        <w:t xml:space="preserve"> proposed project</w:t>
      </w:r>
      <w:r w:rsidR="00686DF5">
        <w:rPr>
          <w:rFonts w:ascii="Arial" w:hAnsi="Arial" w:cs="Arial"/>
          <w:sz w:val="18"/>
          <w:szCs w:val="18"/>
        </w:rPr>
        <w:t xml:space="preserve"> i</w:t>
      </w:r>
      <w:r>
        <w:rPr>
          <w:rFonts w:ascii="Arial" w:hAnsi="Arial" w:cs="Arial"/>
          <w:sz w:val="18"/>
          <w:szCs w:val="18"/>
        </w:rPr>
        <w:t xml:space="preserve">n Utah. </w:t>
      </w:r>
      <w:r w:rsidR="002D05BA">
        <w:rPr>
          <w:rFonts w:ascii="Arial" w:hAnsi="Arial" w:cs="Arial"/>
          <w:sz w:val="18"/>
          <w:szCs w:val="18"/>
        </w:rPr>
        <w:t>One company is</w:t>
      </w:r>
      <w:r>
        <w:rPr>
          <w:rFonts w:ascii="Arial" w:hAnsi="Arial" w:cs="Arial"/>
          <w:sz w:val="18"/>
          <w:szCs w:val="18"/>
        </w:rPr>
        <w:t xml:space="preserve"> seeking approval this month and the compan</w:t>
      </w:r>
      <w:r w:rsidR="002D05BA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</w:t>
      </w:r>
      <w:r w:rsidR="004D3558">
        <w:rPr>
          <w:rFonts w:ascii="Arial" w:hAnsi="Arial" w:cs="Arial"/>
          <w:sz w:val="18"/>
          <w:szCs w:val="18"/>
        </w:rPr>
        <w:t>operates in the</w:t>
      </w:r>
      <w:r>
        <w:rPr>
          <w:rFonts w:ascii="Arial" w:hAnsi="Arial" w:cs="Arial"/>
          <w:sz w:val="18"/>
          <w:szCs w:val="18"/>
        </w:rPr>
        <w:t xml:space="preserve"> food manufacturing industr</w:t>
      </w:r>
      <w:r w:rsidR="002D05BA">
        <w:rPr>
          <w:rFonts w:ascii="Arial" w:hAnsi="Arial" w:cs="Arial"/>
          <w:sz w:val="18"/>
          <w:szCs w:val="18"/>
        </w:rPr>
        <w:t xml:space="preserve">y. </w:t>
      </w:r>
    </w:p>
    <w:p w14:paraId="2CFFC157" w14:textId="25507A96" w:rsidR="00D5473C" w:rsidRDefault="00733C80" w:rsidP="00D5473C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Economic Development Zones</w:t>
      </w:r>
      <w:r w:rsidR="00D5473C" w:rsidRPr="00F36E7D">
        <w:rPr>
          <w:rFonts w:ascii="Arial" w:hAnsi="Arial" w:cs="Arial"/>
        </w:rPr>
        <w:tab/>
      </w:r>
      <w:r w:rsidR="00572F43">
        <w:rPr>
          <w:rFonts w:ascii="Arial" w:hAnsi="Arial" w:cs="Arial"/>
        </w:rPr>
        <w:t>Daniel Royal</w:t>
      </w:r>
      <w:r w:rsidR="00D5473C" w:rsidRPr="009F4731">
        <w:rPr>
          <w:rFonts w:ascii="Arial" w:hAnsi="Arial" w:cs="Arial"/>
        </w:rPr>
        <w:t xml:space="preserve"> </w:t>
      </w:r>
    </w:p>
    <w:p w14:paraId="055F1D9D" w14:textId="7AF238AD" w:rsidR="00D5473C" w:rsidRPr="005C23C1" w:rsidRDefault="00D5473C" w:rsidP="005C23C1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Daniel Royal will present two locations in association with previously granted incentives for ED Zone Classification approval. The companies seeking ED Zone approval are Central States Manufacturing and Northrop Grumman. </w:t>
      </w:r>
    </w:p>
    <w:p w14:paraId="7C39511C" w14:textId="77777777" w:rsidR="00BA73D5" w:rsidRDefault="00BA73D5" w:rsidP="00BA73D5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Film Incentive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Virginia Pearce</w:t>
      </w:r>
      <w:r w:rsidRPr="009F4731">
        <w:rPr>
          <w:rFonts w:ascii="Arial" w:hAnsi="Arial" w:cs="Arial"/>
        </w:rPr>
        <w:t xml:space="preserve"> </w:t>
      </w:r>
    </w:p>
    <w:p w14:paraId="7CD7C1F8" w14:textId="44F67247" w:rsidR="00BA73D5" w:rsidRPr="00BA73D5" w:rsidRDefault="00BA73D5" w:rsidP="00BA73D5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Virginia Pearce will Present 2 films </w:t>
      </w:r>
      <w:r w:rsidR="00686DF5">
        <w:rPr>
          <w:rFonts w:ascii="Arial" w:hAnsi="Arial" w:cs="Arial"/>
          <w:sz w:val="18"/>
          <w:szCs w:val="18"/>
        </w:rPr>
        <w:t>seeking MPIP Rural Tax Credit</w:t>
      </w:r>
      <w:r>
        <w:rPr>
          <w:rFonts w:ascii="Arial" w:hAnsi="Arial" w:cs="Arial"/>
          <w:sz w:val="18"/>
          <w:szCs w:val="18"/>
        </w:rPr>
        <w:t xml:space="preserve"> approval by the </w:t>
      </w:r>
      <w:r w:rsidR="00152555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oard</w:t>
      </w:r>
      <w:r w:rsidR="00C12FAB">
        <w:rPr>
          <w:rFonts w:ascii="Arial" w:hAnsi="Arial" w:cs="Arial"/>
          <w:sz w:val="18"/>
          <w:szCs w:val="18"/>
        </w:rPr>
        <w:t xml:space="preserve">; both have met the criteria defined by statute. </w:t>
      </w:r>
    </w:p>
    <w:p w14:paraId="3138BAC9" w14:textId="77777777" w:rsidR="00BA73D5" w:rsidRDefault="00BA73D5" w:rsidP="00BA73D5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Hotel Convention Mitigation Fund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Ryan Starks</w:t>
      </w:r>
    </w:p>
    <w:p w14:paraId="68626CBC" w14:textId="56DD591F" w:rsidR="00BA73D5" w:rsidRDefault="00BA73D5" w:rsidP="005A26C6">
      <w:pPr>
        <w:tabs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Ryan Starks will present the terms of the Hotel Convention Mitigation Fund and seek the approval </w:t>
      </w:r>
      <w:r w:rsidR="005A26C6">
        <w:rPr>
          <w:rFonts w:ascii="Arial" w:hAnsi="Arial" w:cs="Arial"/>
          <w:sz w:val="18"/>
          <w:szCs w:val="18"/>
        </w:rPr>
        <w:br/>
        <w:t xml:space="preserve">of </w:t>
      </w:r>
      <w:r>
        <w:rPr>
          <w:rFonts w:ascii="Arial" w:hAnsi="Arial" w:cs="Arial"/>
          <w:sz w:val="18"/>
          <w:szCs w:val="18"/>
        </w:rPr>
        <w:t xml:space="preserve">the </w:t>
      </w:r>
      <w:r w:rsidR="00152555">
        <w:rPr>
          <w:rFonts w:ascii="Arial" w:hAnsi="Arial" w:cs="Arial"/>
          <w:sz w:val="18"/>
          <w:szCs w:val="18"/>
        </w:rPr>
        <w:t>Bo</w:t>
      </w:r>
      <w:r>
        <w:rPr>
          <w:rFonts w:ascii="Arial" w:hAnsi="Arial" w:cs="Arial"/>
          <w:sz w:val="18"/>
          <w:szCs w:val="18"/>
        </w:rPr>
        <w:t xml:space="preserve">ard. </w:t>
      </w:r>
    </w:p>
    <w:p w14:paraId="79D44C54" w14:textId="77777777" w:rsidR="00BA73D5" w:rsidRDefault="00BA73D5" w:rsidP="00BA73D5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IAA Discussion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Ryan Starks</w:t>
      </w:r>
    </w:p>
    <w:p w14:paraId="2FA70382" w14:textId="768D0543" w:rsidR="005A26C6" w:rsidRDefault="003C5C6C" w:rsidP="00BA73D5">
      <w:p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3C5C6C">
        <w:rPr>
          <w:rFonts w:ascii="Arial" w:hAnsi="Arial" w:cs="Arial"/>
          <w:sz w:val="18"/>
          <w:szCs w:val="18"/>
        </w:rPr>
        <w:t xml:space="preserve">Ryan Starks will present a candidate for an IAA grant to the Board. This candidate is Weber State </w:t>
      </w:r>
      <w:proofErr w:type="spellStart"/>
      <w:r w:rsidRPr="003C5C6C">
        <w:rPr>
          <w:rFonts w:ascii="Arial" w:hAnsi="Arial" w:cs="Arial"/>
          <w:color w:val="FFFFFF" w:themeColor="background1"/>
          <w:sz w:val="18"/>
          <w:szCs w:val="18"/>
        </w:rPr>
        <w:t>WWWW</w:t>
      </w:r>
      <w:r w:rsidRPr="003C5C6C">
        <w:rPr>
          <w:rFonts w:ascii="Arial" w:hAnsi="Arial" w:cs="Arial"/>
          <w:sz w:val="18"/>
          <w:szCs w:val="18"/>
        </w:rPr>
        <w:t>Universit</w:t>
      </w:r>
      <w:r w:rsidR="00934D49">
        <w:rPr>
          <w:rFonts w:ascii="Arial" w:hAnsi="Arial" w:cs="Arial"/>
          <w:sz w:val="18"/>
          <w:szCs w:val="18"/>
        </w:rPr>
        <w:t>y</w:t>
      </w:r>
      <w:proofErr w:type="spellEnd"/>
      <w:r w:rsidR="00934D49">
        <w:rPr>
          <w:rFonts w:ascii="Arial" w:hAnsi="Arial" w:cs="Arial"/>
          <w:sz w:val="18"/>
          <w:szCs w:val="18"/>
        </w:rPr>
        <w:t xml:space="preserve"> regarding one of their education initiatives. </w:t>
      </w:r>
    </w:p>
    <w:p w14:paraId="77699163" w14:textId="13689EF6" w:rsidR="00BA73D5" w:rsidRDefault="00BA73D5" w:rsidP="00BA73D5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Service Requirement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Jim Grover</w:t>
      </w:r>
    </w:p>
    <w:p w14:paraId="2CB1253B" w14:textId="77777777" w:rsidR="00BA73D5" w:rsidRPr="0033744B" w:rsidRDefault="00BA73D5" w:rsidP="00BA73D5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Jim Grover will lead the conversation regarding the Governor’s latest requirements for incentivized companies, the service requirement. </w:t>
      </w:r>
    </w:p>
    <w:p w14:paraId="70FCF66F" w14:textId="1CF0055F" w:rsidR="003C5C6C" w:rsidRDefault="003C5C6C" w:rsidP="003C5C6C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Startup Presentation</w:t>
      </w:r>
      <w:r w:rsidRPr="0033744B">
        <w:rPr>
          <w:rFonts w:ascii="Arial" w:hAnsi="Arial" w:cs="Arial"/>
        </w:rPr>
        <w:tab/>
      </w:r>
      <w:r>
        <w:rPr>
          <w:rFonts w:ascii="Arial" w:hAnsi="Arial" w:cs="Arial"/>
        </w:rPr>
        <w:t>Brad Bonham</w:t>
      </w:r>
    </w:p>
    <w:p w14:paraId="2D5D82A4" w14:textId="2BD3634C" w:rsidR="00BA73D5" w:rsidRPr="00BA73D5" w:rsidRDefault="003C5C6C" w:rsidP="003C5C6C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Brad Bonham Will present on the state’s efforts to support businesses, specifically new businesses. </w:t>
      </w:r>
    </w:p>
    <w:p w14:paraId="6D956B7E" w14:textId="77777777" w:rsidR="00572F43" w:rsidRDefault="00572F43" w:rsidP="003C5C6C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</w:p>
    <w:p w14:paraId="606329CE" w14:textId="77777777" w:rsidR="00572F43" w:rsidRDefault="00572F43" w:rsidP="003C5C6C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</w:p>
    <w:p w14:paraId="5EA5A379" w14:textId="1849C04E" w:rsidR="003C5C6C" w:rsidRPr="0013238F" w:rsidRDefault="003C5C6C" w:rsidP="003C5C6C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lastRenderedPageBreak/>
        <w:t>EDTIF Update</w:t>
      </w:r>
      <w:r w:rsidRPr="0013238F">
        <w:rPr>
          <w:rFonts w:ascii="Arial" w:hAnsi="Arial" w:cs="Arial"/>
        </w:rPr>
        <w:tab/>
        <w:t>Jesse Turley</w:t>
      </w:r>
    </w:p>
    <w:p w14:paraId="2FC9754C" w14:textId="1ABEE50D" w:rsidR="003C5C6C" w:rsidRDefault="005C23C1" w:rsidP="005C23C1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Daniel Royal will present the activities and successes of the FY 2024 EDTIF program thus far from the perspective of the GOEO office.</w:t>
      </w:r>
    </w:p>
    <w:p w14:paraId="6F0CB9A9" w14:textId="416A8DA9" w:rsidR="0033744B" w:rsidRDefault="0033744B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proofErr w:type="spellStart"/>
      <w:r w:rsidRPr="0033744B">
        <w:rPr>
          <w:rFonts w:ascii="Arial" w:hAnsi="Arial" w:cs="Arial"/>
        </w:rPr>
        <w:t>ED</w:t>
      </w:r>
      <w:r>
        <w:rPr>
          <w:rFonts w:ascii="Arial" w:hAnsi="Arial" w:cs="Arial"/>
        </w:rPr>
        <w:t>CUtah</w:t>
      </w:r>
      <w:proofErr w:type="spellEnd"/>
      <w:r w:rsidRPr="0033744B">
        <w:rPr>
          <w:rFonts w:ascii="Arial" w:hAnsi="Arial" w:cs="Arial"/>
        </w:rPr>
        <w:t xml:space="preserve"> Update</w:t>
      </w:r>
      <w:r w:rsidRPr="0033744B">
        <w:rPr>
          <w:rFonts w:ascii="Arial" w:hAnsi="Arial" w:cs="Arial"/>
        </w:rPr>
        <w:tab/>
      </w:r>
      <w:r>
        <w:rPr>
          <w:rFonts w:ascii="Arial" w:hAnsi="Arial" w:cs="Arial"/>
        </w:rPr>
        <w:t>Erin Farr</w:t>
      </w:r>
    </w:p>
    <w:p w14:paraId="563B8A65" w14:textId="4794EC9A" w:rsidR="0033744B" w:rsidRDefault="0033744B" w:rsidP="0033744B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Erin Farr will present </w:t>
      </w:r>
      <w:r w:rsidR="00736971">
        <w:rPr>
          <w:rFonts w:ascii="Arial" w:hAnsi="Arial" w:cs="Arial"/>
          <w:sz w:val="18"/>
          <w:szCs w:val="18"/>
        </w:rPr>
        <w:t xml:space="preserve">on recent activities and successes by </w:t>
      </w:r>
      <w:proofErr w:type="spellStart"/>
      <w:r w:rsidR="00736971">
        <w:rPr>
          <w:rFonts w:ascii="Arial" w:hAnsi="Arial" w:cs="Arial"/>
          <w:sz w:val="18"/>
          <w:szCs w:val="18"/>
        </w:rPr>
        <w:t>EDCUtah</w:t>
      </w:r>
      <w:proofErr w:type="spellEnd"/>
      <w:r w:rsidR="00736971">
        <w:rPr>
          <w:rFonts w:ascii="Arial" w:hAnsi="Arial" w:cs="Arial"/>
          <w:sz w:val="18"/>
          <w:szCs w:val="18"/>
        </w:rPr>
        <w:t xml:space="preserve">. </w:t>
      </w:r>
    </w:p>
    <w:p w14:paraId="4B7C2352" w14:textId="43173336" w:rsidR="0033744B" w:rsidRDefault="0033744B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Legislative </w:t>
      </w:r>
      <w:r w:rsidRPr="0033744B">
        <w:rPr>
          <w:rFonts w:ascii="Arial" w:hAnsi="Arial" w:cs="Arial"/>
        </w:rPr>
        <w:t>Update</w:t>
      </w:r>
      <w:r w:rsidRPr="0033744B">
        <w:rPr>
          <w:rFonts w:ascii="Arial" w:hAnsi="Arial" w:cs="Arial"/>
        </w:rPr>
        <w:tab/>
      </w:r>
      <w:r w:rsidR="004131AB">
        <w:rPr>
          <w:rFonts w:ascii="Arial" w:hAnsi="Arial" w:cs="Arial"/>
        </w:rPr>
        <w:t>K</w:t>
      </w:r>
      <w:r>
        <w:rPr>
          <w:rFonts w:ascii="Arial" w:hAnsi="Arial" w:cs="Arial"/>
        </w:rPr>
        <w:t>ori Ann Edwards</w:t>
      </w:r>
    </w:p>
    <w:p w14:paraId="7463EAA9" w14:textId="1AB7FF03" w:rsidR="0033744B" w:rsidRPr="0033744B" w:rsidRDefault="004131AB" w:rsidP="0033744B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Kori Ann Edwards will introduce the new and relevant legislation passed this past session and how it affects the EDTIF, IAA, Board, and other programs. </w:t>
      </w:r>
    </w:p>
    <w:p w14:paraId="15422F71" w14:textId="21A737B1" w:rsidR="004131AB" w:rsidRDefault="00747E0C" w:rsidP="004131A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Director’s Update</w:t>
      </w:r>
      <w:r w:rsidR="004131AB">
        <w:rPr>
          <w:rFonts w:ascii="Arial" w:hAnsi="Arial" w:cs="Arial"/>
        </w:rPr>
        <w:t xml:space="preserve"> </w:t>
      </w:r>
      <w:r w:rsidR="004131AB" w:rsidRPr="0033744B">
        <w:rPr>
          <w:rFonts w:ascii="Arial" w:hAnsi="Arial" w:cs="Arial"/>
        </w:rPr>
        <w:tab/>
      </w:r>
      <w:r>
        <w:rPr>
          <w:rFonts w:ascii="Arial" w:hAnsi="Arial" w:cs="Arial"/>
        </w:rPr>
        <w:t>Ryan Starks</w:t>
      </w:r>
    </w:p>
    <w:p w14:paraId="51D590B4" w14:textId="10E81DA4" w:rsidR="006B7DEB" w:rsidRDefault="008B349F" w:rsidP="00572F43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Ryan Starks will give some final thoughts to the Board and staff.</w:t>
      </w:r>
      <w:r w:rsidR="00CF35E6">
        <w:rPr>
          <w:rFonts w:ascii="Arial" w:hAnsi="Arial" w:cs="Arial"/>
          <w:sz w:val="18"/>
          <w:szCs w:val="18"/>
        </w:rPr>
        <w:t xml:space="preserve"> </w:t>
      </w:r>
    </w:p>
    <w:p w14:paraId="36809ABF" w14:textId="3079F5C0" w:rsidR="001D66D1" w:rsidRDefault="008134F9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734D5270" w14:textId="77777777" w:rsidR="00572F43" w:rsidRDefault="00572F43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A39F4A8" w14:textId="29BF99EB" w:rsidR="00D142F5" w:rsidRPr="001D66D1" w:rsidRDefault="00D142F5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  <w:sectPr w:rsidR="00D142F5" w:rsidRPr="001D66D1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D142F5">
        <w:rPr>
          <w:rFonts w:ascii="Roboto" w:hAnsi="Roboto"/>
          <w:spacing w:val="3"/>
          <w:shd w:val="clear" w:color="auto" w:fill="FFFFFF"/>
        </w:rPr>
        <w:t xml:space="preserve">2024 </w:t>
      </w:r>
      <w:r>
        <w:rPr>
          <w:rFonts w:ascii="Roboto" w:hAnsi="Roboto"/>
          <w:spacing w:val="3"/>
          <w:shd w:val="clear" w:color="auto" w:fill="FFFFFF"/>
        </w:rPr>
        <w:t>GOEO</w:t>
      </w:r>
      <w:r w:rsidRPr="00D142F5">
        <w:rPr>
          <w:rFonts w:ascii="Roboto" w:hAnsi="Roboto"/>
          <w:spacing w:val="3"/>
          <w:shd w:val="clear" w:color="auto" w:fill="FFFFFF"/>
        </w:rPr>
        <w:t xml:space="preserve"> Board Meeting Dates</w:t>
      </w:r>
    </w:p>
    <w:p w14:paraId="3C6B8D0D" w14:textId="43C1A200" w:rsidR="00D142F5" w:rsidRPr="00D142F5" w:rsidRDefault="00D142F5" w:rsidP="00811F4A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Arial" w:hAnsi="Arial" w:cs="Arial"/>
          <w:b/>
          <w:sz w:val="18"/>
          <w:szCs w:val="18"/>
        </w:rPr>
        <w:sectPr w:rsidR="00D142F5" w:rsidRPr="00D142F5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    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Jan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</w:t>
      </w:r>
      <w:r w:rsidR="003B66EB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Feb 8, </w:t>
      </w:r>
      <w:r w:rsidR="003B66EB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 w:rsidR="007E02C1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Mar 14, </w:t>
      </w:r>
      <w:r w:rsidR="007E02C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Apr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May 9,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Jun 13, </w:t>
      </w:r>
      <w:r w:rsidR="001D66D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Jul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Aug 8,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Sep 12,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Oct 10,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Nov 14,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Dec 12, 2024 10:00 A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M</w:t>
      </w:r>
    </w:p>
    <w:p w14:paraId="008AC804" w14:textId="77777777" w:rsidR="00D142F5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4A15803" w14:textId="523E950C" w:rsidR="005B76CA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83A34">
        <w:rPr>
          <w:rFonts w:ascii="Arial" w:hAnsi="Arial" w:cs="Arial"/>
          <w:sz w:val="20"/>
          <w:szCs w:val="20"/>
        </w:rPr>
        <w:t>435-218-9554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5369DB7A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2256543C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BE7639E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E4C96A1" w14:textId="77777777" w:rsidR="00BA73D5" w:rsidRPr="00F36E7D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BA73D5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8A51" w14:textId="77777777" w:rsidR="00D142F5" w:rsidRDefault="00D142F5" w:rsidP="00D142F5">
      <w:r>
        <w:separator/>
      </w:r>
    </w:p>
  </w:endnote>
  <w:endnote w:type="continuationSeparator" w:id="0">
    <w:p w14:paraId="1B5BC270" w14:textId="77777777" w:rsidR="00D142F5" w:rsidRDefault="00D142F5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1478" w14:textId="77777777" w:rsidR="00D142F5" w:rsidRDefault="00D142F5" w:rsidP="00D142F5">
      <w:r>
        <w:separator/>
      </w:r>
    </w:p>
  </w:footnote>
  <w:footnote w:type="continuationSeparator" w:id="0">
    <w:p w14:paraId="6072C7B9" w14:textId="77777777" w:rsidR="00D142F5" w:rsidRDefault="00D142F5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36A"/>
    <w:multiLevelType w:val="hybridMultilevel"/>
    <w:tmpl w:val="26200C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2"/>
  </w:num>
  <w:num w:numId="2" w16cid:durableId="1864443424">
    <w:abstractNumId w:val="1"/>
  </w:num>
  <w:num w:numId="3" w16cid:durableId="349918802">
    <w:abstractNumId w:val="5"/>
  </w:num>
  <w:num w:numId="4" w16cid:durableId="245306020">
    <w:abstractNumId w:val="6"/>
  </w:num>
  <w:num w:numId="5" w16cid:durableId="577832435">
    <w:abstractNumId w:val="7"/>
  </w:num>
  <w:num w:numId="6" w16cid:durableId="1613630084">
    <w:abstractNumId w:val="9"/>
  </w:num>
  <w:num w:numId="7" w16cid:durableId="461462602">
    <w:abstractNumId w:val="8"/>
  </w:num>
  <w:num w:numId="8" w16cid:durableId="161314638">
    <w:abstractNumId w:val="3"/>
  </w:num>
  <w:num w:numId="9" w16cid:durableId="1926299764">
    <w:abstractNumId w:val="4"/>
  </w:num>
  <w:num w:numId="10" w16cid:durableId="916283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52555"/>
    <w:rsid w:val="00161656"/>
    <w:rsid w:val="00161C18"/>
    <w:rsid w:val="00162A5F"/>
    <w:rsid w:val="00170036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B188B"/>
    <w:rsid w:val="001B46F6"/>
    <w:rsid w:val="001B472D"/>
    <w:rsid w:val="001C0B16"/>
    <w:rsid w:val="001C7658"/>
    <w:rsid w:val="001D272B"/>
    <w:rsid w:val="001D3700"/>
    <w:rsid w:val="001D66D1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05BA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3744B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82786"/>
    <w:rsid w:val="0039115E"/>
    <w:rsid w:val="00397D2E"/>
    <w:rsid w:val="003B10F4"/>
    <w:rsid w:val="003B45A8"/>
    <w:rsid w:val="003B66EB"/>
    <w:rsid w:val="003C5C6C"/>
    <w:rsid w:val="003C6BFB"/>
    <w:rsid w:val="003C7789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31AB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558"/>
    <w:rsid w:val="004D3FAB"/>
    <w:rsid w:val="004D61F9"/>
    <w:rsid w:val="004D7059"/>
    <w:rsid w:val="004E102E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4562"/>
    <w:rsid w:val="005663E5"/>
    <w:rsid w:val="005677AE"/>
    <w:rsid w:val="00570AA8"/>
    <w:rsid w:val="00572F43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6C6"/>
    <w:rsid w:val="005A2B1E"/>
    <w:rsid w:val="005A6D6C"/>
    <w:rsid w:val="005B105B"/>
    <w:rsid w:val="005B3533"/>
    <w:rsid w:val="005B4BF0"/>
    <w:rsid w:val="005B76CA"/>
    <w:rsid w:val="005C07F0"/>
    <w:rsid w:val="005C23C1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60854"/>
    <w:rsid w:val="006715D3"/>
    <w:rsid w:val="00675F73"/>
    <w:rsid w:val="00680385"/>
    <w:rsid w:val="00686251"/>
    <w:rsid w:val="00686DF5"/>
    <w:rsid w:val="0069232F"/>
    <w:rsid w:val="006A0A71"/>
    <w:rsid w:val="006A2BFE"/>
    <w:rsid w:val="006A7A55"/>
    <w:rsid w:val="006B0F5B"/>
    <w:rsid w:val="006B566A"/>
    <w:rsid w:val="006B7DEB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33C80"/>
    <w:rsid w:val="00736971"/>
    <w:rsid w:val="00742893"/>
    <w:rsid w:val="00743A57"/>
    <w:rsid w:val="0074423F"/>
    <w:rsid w:val="0074686F"/>
    <w:rsid w:val="007475B7"/>
    <w:rsid w:val="00747E0C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681A"/>
    <w:rsid w:val="00883A34"/>
    <w:rsid w:val="00885B29"/>
    <w:rsid w:val="00886776"/>
    <w:rsid w:val="00891925"/>
    <w:rsid w:val="00897492"/>
    <w:rsid w:val="008A22A0"/>
    <w:rsid w:val="008B349F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34D49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39"/>
    <w:rsid w:val="009C55F2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36B22"/>
    <w:rsid w:val="00A40725"/>
    <w:rsid w:val="00A418C1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A73D5"/>
    <w:rsid w:val="00BB4860"/>
    <w:rsid w:val="00BC01A2"/>
    <w:rsid w:val="00BC124E"/>
    <w:rsid w:val="00BC24D1"/>
    <w:rsid w:val="00BC5DD2"/>
    <w:rsid w:val="00BC5E01"/>
    <w:rsid w:val="00BD106E"/>
    <w:rsid w:val="00BD3A9F"/>
    <w:rsid w:val="00BD56F2"/>
    <w:rsid w:val="00BD7AFE"/>
    <w:rsid w:val="00BF2765"/>
    <w:rsid w:val="00C01FDE"/>
    <w:rsid w:val="00C12FAB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569F1"/>
    <w:rsid w:val="00C61B9E"/>
    <w:rsid w:val="00C76B1D"/>
    <w:rsid w:val="00C872BB"/>
    <w:rsid w:val="00C92458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CF35E6"/>
    <w:rsid w:val="00D04C1B"/>
    <w:rsid w:val="00D11377"/>
    <w:rsid w:val="00D13883"/>
    <w:rsid w:val="00D142F5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473C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3008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3BDA"/>
    <w:rsid w:val="00EE500E"/>
    <w:rsid w:val="00EF3EB9"/>
    <w:rsid w:val="00EF5A0F"/>
    <w:rsid w:val="00EF6543"/>
    <w:rsid w:val="00EF6CD5"/>
    <w:rsid w:val="00F00C17"/>
    <w:rsid w:val="00F0129D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13</cp:revision>
  <cp:lastPrinted>2023-11-06T19:14:00Z</cp:lastPrinted>
  <dcterms:created xsi:type="dcterms:W3CDTF">2024-03-05T23:08:00Z</dcterms:created>
  <dcterms:modified xsi:type="dcterms:W3CDTF">2024-03-13T14:33:00Z</dcterms:modified>
</cp:coreProperties>
</file>