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DAC24" w14:textId="77777777"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Definitions </w:t>
      </w:r>
    </w:p>
    <w:p w14:paraId="225F254E"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The following definitions apply for purposes of this policy: </w:t>
      </w:r>
    </w:p>
    <w:p w14:paraId="6032366A" w14:textId="77777777"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“Academic Eligibility Panel” means a three-person panel selected by the District’s superintendent from nominees submitted by national, state, or regional organizations whose members are home school students and parents. The three panel members will include: </w:t>
      </w:r>
    </w:p>
    <w:p w14:paraId="412A6D35" w14:textId="77777777"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One member with experience teaching in a public school as a licensed teacher and in home schooling high school-age students; </w:t>
      </w:r>
    </w:p>
    <w:p w14:paraId="5D118F23" w14:textId="77777777"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One member with experience teaching in a higher education institution and in home schooling; and </w:t>
      </w:r>
    </w:p>
    <w:p w14:paraId="26C5E5E2" w14:textId="3506B319" w:rsidR="00BF2330" w:rsidRPr="00E51DA6" w:rsidRDefault="00BF2330" w:rsidP="00BF2330">
      <w:pPr>
        <w:pStyle w:val="ListParagraph"/>
        <w:numPr>
          <w:ilvl w:val="1"/>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One member with experience in home schooling high school-age students. </w:t>
      </w:r>
    </w:p>
    <w:p w14:paraId="1110DBFB" w14:textId="3C59AB46" w:rsidR="00BF2330" w:rsidRDefault="00000000" w:rsidP="00BF2330">
      <w:pPr>
        <w:spacing w:before="100" w:beforeAutospacing="1" w:after="100" w:afterAutospacing="1"/>
        <w:ind w:left="720"/>
        <w:rPr>
          <w:rFonts w:ascii="Cambria" w:eastAsia="Times New Roman" w:hAnsi="Cambria" w:cs="Times New Roman"/>
          <w:i/>
          <w:iCs/>
          <w:color w:val="0432FF"/>
        </w:rPr>
      </w:pPr>
      <w:hyperlink r:id="rId7" w:anchor=":~:text=%2D6%2D703.-,Private%20school%20and%20home%20school%20students'%20participation%20in,activities%20in%20a%20public%20school.&amp;text=%22Academic%20eligibility%20requirements%22%20means%20the,activity%20in%20a%20public%20school." w:history="1">
        <w:r w:rsidR="00BF2330" w:rsidRPr="00485967">
          <w:rPr>
            <w:rStyle w:val="Hyperlink"/>
            <w:rFonts w:ascii="Cambria" w:eastAsia="Times New Roman" w:hAnsi="Cambria" w:cs="Times New Roman"/>
            <w:i/>
            <w:iCs/>
            <w:color w:val="0432FF"/>
          </w:rPr>
          <w:t>Utah Code Ann. § 53G-6-703</w:t>
        </w:r>
        <w:r w:rsidR="00243DDD" w:rsidRPr="00485967">
          <w:rPr>
            <w:rStyle w:val="Hyperlink"/>
            <w:rFonts w:ascii="Cambria" w:eastAsia="Times New Roman" w:hAnsi="Cambria" w:cs="Times New Roman"/>
            <w:i/>
            <w:iCs/>
            <w:color w:val="0432FF"/>
          </w:rPr>
          <w:t xml:space="preserve">(10) (2023) </w:t>
        </w:r>
      </w:hyperlink>
      <w:r w:rsidR="00BF2330" w:rsidRPr="00BF2330">
        <w:rPr>
          <w:rFonts w:ascii="Cambria" w:eastAsia="Times New Roman" w:hAnsi="Cambria" w:cs="Times New Roman"/>
          <w:i/>
          <w:iCs/>
          <w:color w:val="0432FF"/>
        </w:rPr>
        <w:t xml:space="preserve"> </w:t>
      </w:r>
    </w:p>
    <w:p w14:paraId="2BC6F3D8" w14:textId="0A3BE8C8" w:rsidR="00243DDD" w:rsidRPr="00485967" w:rsidRDefault="00243DDD" w:rsidP="00243DDD">
      <w:pPr>
        <w:pStyle w:val="ListParagraph"/>
        <w:numPr>
          <w:ilvl w:val="0"/>
          <w:numId w:val="10"/>
        </w:num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“Association” means an organization that governs or regulates a student’s participation in an athletic interscholastic activity.</w:t>
      </w:r>
    </w:p>
    <w:p w14:paraId="27C48DE9" w14:textId="77777777" w:rsidR="00243DDD" w:rsidRPr="00485967" w:rsidRDefault="00000000" w:rsidP="00243DDD">
      <w:pPr>
        <w:ind w:left="1080"/>
        <w:rPr>
          <w:rFonts w:ascii="Cambria" w:hAnsi="Cambria"/>
          <w:i/>
          <w:iCs/>
          <w:color w:val="0432FF"/>
        </w:rPr>
      </w:pPr>
      <w:hyperlink r:id="rId8" w:history="1">
        <w:r w:rsidR="00243DDD" w:rsidRPr="00485967">
          <w:rPr>
            <w:rStyle w:val="Hyperlink"/>
            <w:rFonts w:ascii="Cambria" w:hAnsi="Cambria"/>
            <w:i/>
            <w:iCs/>
            <w:color w:val="0432FF"/>
          </w:rPr>
          <w:t>Utah Code § 53G-6-703(1)(b) (2023)</w:t>
        </w:r>
      </w:hyperlink>
    </w:p>
    <w:p w14:paraId="6BE3FC1A" w14:textId="77777777" w:rsidR="00243DDD" w:rsidRPr="00485967" w:rsidRDefault="00000000" w:rsidP="00243DDD">
      <w:pPr>
        <w:spacing w:after="120"/>
        <w:ind w:left="1080"/>
        <w:rPr>
          <w:rFonts w:ascii="Cambria" w:hAnsi="Cambria"/>
          <w:i/>
          <w:iCs/>
          <w:color w:val="0432FF"/>
        </w:rPr>
      </w:pPr>
      <w:hyperlink r:id="rId9" w:history="1">
        <w:r w:rsidR="00243DDD" w:rsidRPr="00485967">
          <w:rPr>
            <w:rStyle w:val="Hyperlink"/>
            <w:rFonts w:ascii="Cambria" w:hAnsi="Cambria"/>
            <w:i/>
            <w:iCs/>
            <w:color w:val="0432FF"/>
          </w:rPr>
          <w:t>Utah Code § 53G-7-1101(3) (2019)</w:t>
        </w:r>
      </w:hyperlink>
    </w:p>
    <w:p w14:paraId="1609A8C1" w14:textId="0C8881B0" w:rsidR="00243DDD" w:rsidRPr="00485967" w:rsidRDefault="00243DDD" w:rsidP="00243DDD">
      <w:pPr>
        <w:pStyle w:val="ListParagraph"/>
        <w:numPr>
          <w:ilvl w:val="0"/>
          <w:numId w:val="10"/>
        </w:numPr>
        <w:spacing w:after="120"/>
        <w:rPr>
          <w:rFonts w:ascii="Cambria" w:hAnsi="Cambria"/>
          <w:i/>
          <w:iCs/>
          <w:color w:val="000000" w:themeColor="text1"/>
        </w:rPr>
      </w:pPr>
      <w:r w:rsidRPr="00485967">
        <w:rPr>
          <w:rFonts w:ascii="Cambria" w:hAnsi="Cambria"/>
          <w:color w:val="000000" w:themeColor="text1"/>
        </w:rPr>
        <w:t>“Extracurricular activity” has the same meaning as set out in Policy FI.</w:t>
      </w:r>
    </w:p>
    <w:p w14:paraId="0B9BB574" w14:textId="77777777" w:rsidR="00243DDD" w:rsidRPr="00485967" w:rsidRDefault="00000000" w:rsidP="00243DDD">
      <w:pPr>
        <w:ind w:left="1080"/>
        <w:rPr>
          <w:rFonts w:ascii="Cambria" w:hAnsi="Cambria"/>
          <w:i/>
          <w:iCs/>
          <w:color w:val="0432FF"/>
        </w:rPr>
      </w:pPr>
      <w:hyperlink r:id="rId10" w:history="1">
        <w:r w:rsidR="00243DDD" w:rsidRPr="00485967">
          <w:rPr>
            <w:rStyle w:val="Hyperlink"/>
            <w:rFonts w:ascii="Cambria" w:hAnsi="Cambria"/>
            <w:i/>
            <w:iCs/>
            <w:color w:val="0432FF"/>
          </w:rPr>
          <w:t>Utah Code § 53G-6-703(1)(c) (2023)</w:t>
        </w:r>
      </w:hyperlink>
    </w:p>
    <w:p w14:paraId="7208DD13" w14:textId="77777777" w:rsidR="00243DDD" w:rsidRPr="00485967" w:rsidRDefault="00000000" w:rsidP="00243DDD">
      <w:pPr>
        <w:spacing w:after="120"/>
        <w:ind w:left="1080"/>
        <w:rPr>
          <w:rFonts w:ascii="Cambria" w:hAnsi="Cambria"/>
          <w:i/>
          <w:iCs/>
          <w:color w:val="0432FF"/>
        </w:rPr>
      </w:pPr>
      <w:hyperlink r:id="rId11" w:history="1">
        <w:r w:rsidR="00243DDD" w:rsidRPr="00485967">
          <w:rPr>
            <w:rStyle w:val="Hyperlink"/>
            <w:rFonts w:ascii="Cambria" w:hAnsi="Cambria"/>
            <w:i/>
            <w:iCs/>
            <w:color w:val="0432FF"/>
          </w:rPr>
          <w:t>Utah Code § 53G-7-501 (2020)</w:t>
        </w:r>
      </w:hyperlink>
    </w:p>
    <w:p w14:paraId="0B512335" w14:textId="275B3B90" w:rsidR="00243DDD" w:rsidRPr="00485967" w:rsidRDefault="00243DDD" w:rsidP="00243DDD">
      <w:pPr>
        <w:pStyle w:val="ListParagraph"/>
        <w:numPr>
          <w:ilvl w:val="0"/>
          <w:numId w:val="10"/>
        </w:numPr>
        <w:spacing w:after="120"/>
        <w:rPr>
          <w:rFonts w:ascii="Cambria" w:hAnsi="Cambria"/>
          <w:i/>
          <w:iCs/>
          <w:color w:val="000000" w:themeColor="text1"/>
        </w:rPr>
      </w:pPr>
      <w:r w:rsidRPr="00485967">
        <w:rPr>
          <w:rFonts w:ascii="Cambria" w:hAnsi="Cambria"/>
          <w:color w:val="000000" w:themeColor="text1"/>
        </w:rPr>
        <w:t>“Initial establishment of eligibility requirements” means meeting an association’s eligibility requirements, policies, procedures, and transfer rules to participate on a high school sports team as required in grade 9 or 10 when the student is selected for membership on a high school sports team.</w:t>
      </w:r>
    </w:p>
    <w:p w14:paraId="4869D79B" w14:textId="77777777" w:rsidR="00485967" w:rsidRDefault="00000000" w:rsidP="00485967">
      <w:pPr>
        <w:ind w:left="1080"/>
        <w:rPr>
          <w:rFonts w:ascii="Cambria" w:hAnsi="Cambria"/>
          <w:i/>
          <w:iCs/>
          <w:color w:val="0432FF"/>
        </w:rPr>
      </w:pPr>
      <w:hyperlink r:id="rId12" w:history="1">
        <w:r w:rsidR="00243DDD" w:rsidRPr="00485967">
          <w:rPr>
            <w:rStyle w:val="Hyperlink"/>
            <w:rFonts w:ascii="Cambria" w:hAnsi="Cambria"/>
            <w:i/>
            <w:iCs/>
            <w:color w:val="0432FF"/>
          </w:rPr>
          <w:t>Utah Code § 53G-6-703(1)(d) (2023)</w:t>
        </w:r>
      </w:hyperlink>
    </w:p>
    <w:p w14:paraId="77F27CCC" w14:textId="125B0209" w:rsidR="00BF2330" w:rsidRPr="00485967" w:rsidRDefault="00000000" w:rsidP="00485967">
      <w:pPr>
        <w:ind w:left="1080"/>
        <w:rPr>
          <w:rFonts w:ascii="Cambria" w:hAnsi="Cambria"/>
          <w:i/>
          <w:iCs/>
          <w:color w:val="0432FF"/>
        </w:rPr>
      </w:pPr>
      <w:hyperlink r:id="rId13" w:anchor=":~:text=%2D6%2D703.-,Private%20school%20and%20home%20school%20students'%20participation%20in,activities%20in%20a%20public%20school.&amp;text=%22Academic%20eligibility%20requirements%22%20means%20the,activity%20in%20a%20public%20school."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2CAAA043" w14:textId="77777777"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“Online education” means the use of information and communication technologies to deliver educational opportunities to a student in a location other than a school. </w:t>
      </w:r>
    </w:p>
    <w:p w14:paraId="28D2F173" w14:textId="633270C1" w:rsidR="00BF2330" w:rsidRPr="00BF2330" w:rsidRDefault="00BF2330"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4" w:history="1">
        <w:r w:rsidRPr="00485967">
          <w:rPr>
            <w:rStyle w:val="Hyperlink"/>
            <w:rFonts w:ascii="Cambria" w:eastAsia="Times New Roman" w:hAnsi="Cambria" w:cs="Times New Roman"/>
            <w:i/>
            <w:iCs/>
            <w:color w:val="0432FF"/>
          </w:rPr>
          <w:t>Utah Code Ann. § 53G-6-705(1)(</w:t>
        </w:r>
        <w:r w:rsidR="00243DDD" w:rsidRPr="00485967">
          <w:rPr>
            <w:rStyle w:val="Hyperlink"/>
            <w:rFonts w:ascii="Cambria" w:eastAsia="Times New Roman" w:hAnsi="Cambria" w:cs="Times New Roman"/>
            <w:i/>
            <w:iCs/>
            <w:color w:val="0432FF"/>
          </w:rPr>
          <w:t xml:space="preserve">d) (2023) </w:t>
        </w:r>
      </w:hyperlink>
      <w:r w:rsidRPr="00BF2330">
        <w:rPr>
          <w:rFonts w:ascii="Cambria" w:eastAsia="Times New Roman" w:hAnsi="Cambria" w:cs="Times New Roman"/>
          <w:i/>
          <w:iCs/>
          <w:color w:val="0432FF"/>
        </w:rPr>
        <w:t xml:space="preserve"> </w:t>
      </w:r>
    </w:p>
    <w:p w14:paraId="3F858AB7" w14:textId="7E07528F" w:rsidR="00BF2330" w:rsidRPr="00E51DA6" w:rsidRDefault="00BF2330" w:rsidP="00BF2330">
      <w:pPr>
        <w:pStyle w:val="ListParagraph"/>
        <w:numPr>
          <w:ilvl w:val="0"/>
          <w:numId w:val="10"/>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“Online student” means a student who participates in an online education program sponsored or supported by the State Board of Education, a school district, or a charter school and who generates funding for the school district or school under Utah Code Ann. § 53F-2-102(</w:t>
      </w:r>
      <w:r w:rsidR="00C271CD" w:rsidRPr="00243DDD">
        <w:rPr>
          <w:rFonts w:ascii="Cambria" w:eastAsia="Times New Roman" w:hAnsi="Cambria" w:cs="Times New Roman"/>
          <w:color w:val="000000" w:themeColor="text1"/>
        </w:rPr>
        <w:t>4</w:t>
      </w:r>
      <w:r w:rsidRPr="00E51DA6">
        <w:rPr>
          <w:rFonts w:ascii="Cambria" w:eastAsia="Times New Roman" w:hAnsi="Cambria" w:cs="Times New Roman"/>
        </w:rPr>
        <w:t xml:space="preserve">) and State Board of Education Rules. </w:t>
      </w:r>
    </w:p>
    <w:p w14:paraId="18B364EB" w14:textId="7BEA0A89" w:rsidR="00243DDD" w:rsidRDefault="00BF2330" w:rsidP="00243DDD">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5" w:history="1">
        <w:r w:rsidRPr="00485967">
          <w:rPr>
            <w:rStyle w:val="Hyperlink"/>
            <w:rFonts w:ascii="Cambria" w:eastAsia="Times New Roman" w:hAnsi="Cambria" w:cs="Times New Roman"/>
            <w:i/>
            <w:iCs/>
            <w:color w:val="0432FF"/>
          </w:rPr>
          <w:t>Utah Code Ann. § 53G-6-705(1)(</w:t>
        </w:r>
        <w:r w:rsidR="00243DDD" w:rsidRPr="00485967">
          <w:rPr>
            <w:rStyle w:val="Hyperlink"/>
            <w:rFonts w:ascii="Cambria" w:eastAsia="Times New Roman" w:hAnsi="Cambria" w:cs="Times New Roman"/>
            <w:i/>
            <w:iCs/>
            <w:color w:val="0432FF"/>
          </w:rPr>
          <w:t xml:space="preserve">e) (2023) </w:t>
        </w:r>
      </w:hyperlink>
      <w:r w:rsidRPr="00485967">
        <w:rPr>
          <w:rFonts w:ascii="Cambria" w:eastAsia="Times New Roman" w:hAnsi="Cambria" w:cs="Times New Roman"/>
          <w:i/>
          <w:iCs/>
          <w:color w:val="0432FF"/>
        </w:rPr>
        <w:t xml:space="preserve"> </w:t>
      </w:r>
    </w:p>
    <w:p w14:paraId="475D2AEE" w14:textId="7A5769BA" w:rsidR="00BF2330" w:rsidRPr="00485967" w:rsidRDefault="00BF2330" w:rsidP="00243DDD">
      <w:pPr>
        <w:pStyle w:val="ListParagraph"/>
        <w:numPr>
          <w:ilvl w:val="0"/>
          <w:numId w:val="10"/>
        </w:numPr>
        <w:spacing w:before="100" w:beforeAutospacing="1" w:after="100" w:afterAutospacing="1"/>
        <w:rPr>
          <w:rFonts w:ascii="Cambria" w:eastAsia="Times New Roman" w:hAnsi="Cambria" w:cs="Times New Roman"/>
          <w:color w:val="000000" w:themeColor="text1"/>
        </w:rPr>
      </w:pPr>
      <w:r w:rsidRPr="00243DDD">
        <w:rPr>
          <w:rFonts w:ascii="Cambria" w:eastAsia="Times New Roman" w:hAnsi="Cambria" w:cs="Times New Roman"/>
        </w:rPr>
        <w:lastRenderedPageBreak/>
        <w:t xml:space="preserve">“Qualifying online student” means an online student seeking to participate in </w:t>
      </w:r>
      <w:r w:rsidR="00243DDD" w:rsidRPr="00243DDD">
        <w:rPr>
          <w:rFonts w:ascii="Cambria" w:eastAsia="Times New Roman" w:hAnsi="Cambria" w:cs="Times New Roman"/>
        </w:rPr>
        <w:t>an</w:t>
      </w:r>
      <w:r w:rsidRPr="00243DDD">
        <w:rPr>
          <w:rFonts w:ascii="Cambria" w:eastAsia="Times New Roman" w:hAnsi="Cambria" w:cs="Times New Roman"/>
          <w:strike/>
          <w:color w:val="FF0000"/>
        </w:rPr>
        <w:t xml:space="preserve"> </w:t>
      </w:r>
      <w:r w:rsidRPr="00243DDD">
        <w:rPr>
          <w:rFonts w:ascii="Cambria" w:eastAsia="Times New Roman" w:hAnsi="Cambria" w:cs="Times New Roman"/>
        </w:rPr>
        <w:t xml:space="preserve">extracurricular </w:t>
      </w:r>
      <w:r w:rsidRPr="00243DDD">
        <w:rPr>
          <w:rFonts w:ascii="Cambria" w:eastAsia="Times New Roman" w:hAnsi="Cambria" w:cs="Times New Roman"/>
          <w:color w:val="000000" w:themeColor="text1"/>
        </w:rPr>
        <w:t>ac</w:t>
      </w:r>
      <w:r w:rsidRPr="00485967">
        <w:rPr>
          <w:rFonts w:ascii="Cambria" w:eastAsia="Times New Roman" w:hAnsi="Cambria" w:cs="Times New Roman"/>
          <w:color w:val="000000" w:themeColor="text1"/>
        </w:rPr>
        <w:t>tivit</w:t>
      </w:r>
      <w:r w:rsidR="00243DDD" w:rsidRPr="00485967">
        <w:rPr>
          <w:rFonts w:ascii="Cambria" w:eastAsia="Times New Roman" w:hAnsi="Cambria" w:cs="Times New Roman"/>
          <w:color w:val="000000" w:themeColor="text1"/>
        </w:rPr>
        <w:t>y</w:t>
      </w:r>
      <w:r w:rsidRPr="00485967">
        <w:rPr>
          <w:rFonts w:ascii="Cambria" w:eastAsia="Times New Roman" w:hAnsi="Cambria" w:cs="Times New Roman"/>
          <w:color w:val="000000" w:themeColor="text1"/>
        </w:rPr>
        <w:t xml:space="preserve"> at a district school: </w:t>
      </w:r>
    </w:p>
    <w:p w14:paraId="712F5071" w14:textId="021DC67A" w:rsidR="00BF2330" w:rsidRPr="00BF2330" w:rsidRDefault="00BF2330" w:rsidP="00BF2330">
      <w:pPr>
        <w:numPr>
          <w:ilvl w:val="1"/>
          <w:numId w:val="4"/>
        </w:numPr>
        <w:spacing w:before="100" w:beforeAutospacing="1" w:after="100" w:afterAutospacing="1"/>
        <w:rPr>
          <w:rFonts w:ascii="Cambria" w:eastAsia="Times New Roman" w:hAnsi="Cambria" w:cs="Times New Roman"/>
        </w:rPr>
      </w:pPr>
      <w:r w:rsidRPr="00485967">
        <w:rPr>
          <w:rFonts w:ascii="Cambria" w:eastAsia="Times New Roman" w:hAnsi="Cambria" w:cs="Times New Roman"/>
          <w:color w:val="000000" w:themeColor="text1"/>
        </w:rPr>
        <w:t>Within the attendance boundaries of which the student’s custodial parent resides</w:t>
      </w:r>
      <w:r w:rsidR="00243DDD" w:rsidRPr="00485967">
        <w:rPr>
          <w:rFonts w:ascii="Cambria" w:eastAsia="Times New Roman" w:hAnsi="Cambria" w:cs="Times New Roman"/>
          <w:color w:val="000000" w:themeColor="text1"/>
        </w:rPr>
        <w:t xml:space="preserve"> (and, for interscholastic competition of athletic teams, the student did not have a prior initial establishment of eligibility requirements)</w:t>
      </w:r>
      <w:r w:rsidRPr="00485967">
        <w:rPr>
          <w:rFonts w:ascii="Cambria" w:eastAsia="Times New Roman" w:hAnsi="Cambria" w:cs="Times New Roman"/>
          <w:color w:val="000000" w:themeColor="text1"/>
        </w:rPr>
        <w:t xml:space="preserve">; </w:t>
      </w:r>
      <w:r w:rsidRPr="00BF2330">
        <w:rPr>
          <w:rFonts w:ascii="Cambria" w:eastAsia="Times New Roman" w:hAnsi="Cambria" w:cs="Times New Roman"/>
        </w:rPr>
        <w:t xml:space="preserve">or </w:t>
      </w:r>
    </w:p>
    <w:p w14:paraId="7253B2BE" w14:textId="77777777" w:rsidR="00BF2330" w:rsidRPr="00E51DA6" w:rsidRDefault="00BF2330" w:rsidP="00BF2330">
      <w:pPr>
        <w:numPr>
          <w:ilvl w:val="1"/>
          <w:numId w:val="4"/>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From which the on-line student withdrew for the purpose of participating in an on-line education program. </w:t>
      </w:r>
    </w:p>
    <w:p w14:paraId="5A28BAEB" w14:textId="40EFEA62" w:rsidR="00BF2330" w:rsidRPr="00BF2330" w:rsidRDefault="00000000" w:rsidP="00BF2330">
      <w:pPr>
        <w:spacing w:before="100" w:beforeAutospacing="1" w:after="100" w:afterAutospacing="1"/>
        <w:ind w:left="720"/>
        <w:rPr>
          <w:rFonts w:ascii="Cambria" w:eastAsia="Times New Roman" w:hAnsi="Cambria" w:cs="Times New Roman"/>
          <w:color w:val="0432FF"/>
        </w:rPr>
      </w:pPr>
      <w:hyperlink r:id="rId16" w:history="1">
        <w:r w:rsidR="00BF2330" w:rsidRPr="00BF2330">
          <w:rPr>
            <w:rStyle w:val="Hyperlink"/>
            <w:rFonts w:ascii="Cambria" w:eastAsia="Times New Roman" w:hAnsi="Cambria" w:cs="Times New Roman"/>
            <w:i/>
            <w:iCs/>
            <w:color w:val="0432FF"/>
          </w:rPr>
          <w:t>Utah Code Ann. § 53G-6-705(2) (20</w:t>
        </w:r>
        <w:r w:rsidR="00243DDD">
          <w:rPr>
            <w:rStyle w:val="Hyperlink"/>
            <w:rFonts w:ascii="Cambria" w:eastAsia="Times New Roman" w:hAnsi="Cambria" w:cs="Times New Roman"/>
            <w:i/>
            <w:iCs/>
            <w:color w:val="0432FF"/>
          </w:rPr>
          <w:t>23</w:t>
        </w:r>
        <w:r w:rsidR="00BF2330" w:rsidRPr="00BF2330">
          <w:rPr>
            <w:rStyle w:val="Hyperlink"/>
            <w:rFonts w:ascii="Cambria" w:eastAsia="Times New Roman" w:hAnsi="Cambria" w:cs="Times New Roman"/>
            <w:i/>
            <w:iCs/>
            <w:color w:val="0432FF"/>
          </w:rPr>
          <w:t>)</w:t>
        </w:r>
      </w:hyperlink>
      <w:r w:rsidR="00BF2330" w:rsidRPr="00BF2330">
        <w:rPr>
          <w:rFonts w:ascii="Cambria" w:eastAsia="Times New Roman" w:hAnsi="Cambria" w:cs="Times New Roman"/>
          <w:i/>
          <w:iCs/>
          <w:color w:val="0432FF"/>
        </w:rPr>
        <w:t xml:space="preserve"> </w:t>
      </w:r>
    </w:p>
    <w:p w14:paraId="44F4C911" w14:textId="0B89573A" w:rsidR="00BF2330" w:rsidRPr="00B971D6" w:rsidRDefault="00BF2330" w:rsidP="00B971D6">
      <w:pPr>
        <w:pStyle w:val="ListParagraph"/>
        <w:numPr>
          <w:ilvl w:val="0"/>
          <w:numId w:val="10"/>
        </w:numPr>
        <w:spacing w:before="100" w:beforeAutospacing="1" w:after="100" w:afterAutospacing="1"/>
        <w:rPr>
          <w:rFonts w:ascii="Cambria" w:eastAsia="Times New Roman" w:hAnsi="Cambria" w:cs="Times New Roman"/>
        </w:rPr>
      </w:pPr>
      <w:r w:rsidRPr="00B971D6">
        <w:rPr>
          <w:rFonts w:ascii="Cambria" w:eastAsia="Times New Roman" w:hAnsi="Cambria" w:cs="Times New Roman"/>
        </w:rPr>
        <w:t xml:space="preserve">“Qualifying charter school student” means a charter school student seeking to participate </w:t>
      </w:r>
      <w:r w:rsidRPr="00485967">
        <w:rPr>
          <w:rFonts w:ascii="Cambria" w:eastAsia="Times New Roman" w:hAnsi="Cambria" w:cs="Times New Roman"/>
          <w:color w:val="000000" w:themeColor="text1"/>
        </w:rPr>
        <w:t>in</w:t>
      </w:r>
      <w:r w:rsidR="00485967" w:rsidRPr="00485967">
        <w:rPr>
          <w:rFonts w:ascii="Cambria" w:eastAsia="Times New Roman" w:hAnsi="Cambria" w:cs="Times New Roman"/>
          <w:color w:val="000000" w:themeColor="text1"/>
        </w:rPr>
        <w:t xml:space="preserve"> </w:t>
      </w:r>
      <w:r w:rsidR="00243DDD" w:rsidRPr="00485967">
        <w:rPr>
          <w:rFonts w:ascii="Cambria" w:eastAsia="Times New Roman" w:hAnsi="Cambria" w:cs="Times New Roman"/>
          <w:color w:val="000000" w:themeColor="text1"/>
        </w:rPr>
        <w:t xml:space="preserve">an </w:t>
      </w:r>
      <w:r w:rsidRPr="00485967">
        <w:rPr>
          <w:rFonts w:ascii="Cambria" w:eastAsia="Times New Roman" w:hAnsi="Cambria" w:cs="Times New Roman"/>
          <w:color w:val="000000" w:themeColor="text1"/>
        </w:rPr>
        <w:t>extracurricular activit</w:t>
      </w:r>
      <w:r w:rsidR="00243DDD" w:rsidRPr="00485967">
        <w:rPr>
          <w:rFonts w:ascii="Cambria" w:eastAsia="Times New Roman" w:hAnsi="Cambria" w:cs="Times New Roman"/>
          <w:color w:val="000000" w:themeColor="text1"/>
        </w:rPr>
        <w:t>y</w:t>
      </w:r>
      <w:r w:rsidRPr="00485967">
        <w:rPr>
          <w:rFonts w:ascii="Cambria" w:eastAsia="Times New Roman" w:hAnsi="Cambria" w:cs="Times New Roman"/>
          <w:color w:val="000000" w:themeColor="text1"/>
        </w:rPr>
        <w:t xml:space="preserve">, which </w:t>
      </w:r>
      <w:r w:rsidR="00243DDD" w:rsidRPr="00485967">
        <w:rPr>
          <w:rFonts w:ascii="Cambria" w:eastAsia="Times New Roman" w:hAnsi="Cambria" w:cs="Times New Roman"/>
          <w:color w:val="000000" w:themeColor="text1"/>
        </w:rPr>
        <w:t xml:space="preserve">is </w:t>
      </w:r>
      <w:r w:rsidRPr="00B971D6">
        <w:rPr>
          <w:rFonts w:ascii="Cambria" w:eastAsia="Times New Roman" w:hAnsi="Cambria" w:cs="Times New Roman"/>
        </w:rPr>
        <w:t>not offered at the student’s charter school, at a district school:</w:t>
      </w:r>
    </w:p>
    <w:p w14:paraId="1EFE3620" w14:textId="2919B3D8" w:rsidR="00BF2330" w:rsidRPr="00485967" w:rsidRDefault="00BF2330" w:rsidP="00B971D6">
      <w:pPr>
        <w:numPr>
          <w:ilvl w:val="1"/>
          <w:numId w:val="15"/>
        </w:numPr>
        <w:spacing w:before="100" w:beforeAutospacing="1" w:after="100" w:afterAutospacing="1"/>
        <w:rPr>
          <w:rFonts w:ascii="Cambria" w:eastAsia="Times New Roman" w:hAnsi="Cambria" w:cs="Times New Roman"/>
          <w:color w:val="000000" w:themeColor="text1"/>
        </w:rPr>
      </w:pPr>
      <w:r w:rsidRPr="00BF2330">
        <w:rPr>
          <w:rFonts w:ascii="Cambria" w:eastAsia="Times New Roman" w:hAnsi="Cambria" w:cs="Times New Roman"/>
        </w:rPr>
        <w:t xml:space="preserve">Within the attendance boundaries of which the student’s custodial parent </w:t>
      </w:r>
      <w:r w:rsidRPr="00485967">
        <w:rPr>
          <w:rFonts w:ascii="Cambria" w:eastAsia="Times New Roman" w:hAnsi="Cambria" w:cs="Times New Roman"/>
          <w:color w:val="000000" w:themeColor="text1"/>
        </w:rPr>
        <w:t>resides</w:t>
      </w:r>
      <w:r w:rsidR="00243DDD" w:rsidRPr="00485967">
        <w:rPr>
          <w:rFonts w:ascii="Cambria" w:eastAsia="Times New Roman" w:hAnsi="Cambria" w:cs="Times New Roman"/>
          <w:color w:val="000000" w:themeColor="text1"/>
        </w:rPr>
        <w:t xml:space="preserve"> (and, for interscholastic competition of athletic teams, the student did not have a prior initial establishment of eligibility requirements)</w:t>
      </w:r>
      <w:r w:rsidRPr="00485967">
        <w:rPr>
          <w:rFonts w:ascii="Cambria" w:eastAsia="Times New Roman" w:hAnsi="Cambria" w:cs="Times New Roman"/>
          <w:color w:val="000000" w:themeColor="text1"/>
        </w:rPr>
        <w:t>; or</w:t>
      </w:r>
    </w:p>
    <w:p w14:paraId="3E7B6BB4" w14:textId="64384DEE" w:rsidR="00BF2330" w:rsidRPr="00E51DA6" w:rsidRDefault="00BF2330" w:rsidP="00B971D6">
      <w:pPr>
        <w:numPr>
          <w:ilvl w:val="1"/>
          <w:numId w:val="1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From which the charter school student withdrew to attend charter school</w:t>
      </w:r>
      <w:r w:rsidRPr="00E51DA6">
        <w:rPr>
          <w:rFonts w:ascii="Cambria" w:eastAsia="Times New Roman" w:hAnsi="Cambria" w:cs="Times New Roman"/>
        </w:rPr>
        <w:t>;</w:t>
      </w:r>
      <w:r w:rsidRPr="00BF2330">
        <w:rPr>
          <w:rFonts w:ascii="Cambria" w:eastAsia="Times New Roman" w:hAnsi="Cambria" w:cs="Times New Roman"/>
        </w:rPr>
        <w:t xml:space="preserve"> or</w:t>
      </w:r>
    </w:p>
    <w:p w14:paraId="68D57336" w14:textId="5F1297D3" w:rsidR="00BF2330" w:rsidRPr="00E51DA6" w:rsidRDefault="00BF2330" w:rsidP="00B971D6">
      <w:pPr>
        <w:numPr>
          <w:ilvl w:val="1"/>
          <w:numId w:val="1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If the student’s charter school is located on or has Board approval to locate on the campus of that district school; or </w:t>
      </w:r>
    </w:p>
    <w:p w14:paraId="675756DC" w14:textId="6DC5D394" w:rsidR="00BF2330" w:rsidRPr="00BF2330" w:rsidRDefault="00BF2330" w:rsidP="00B971D6">
      <w:pPr>
        <w:numPr>
          <w:ilvl w:val="1"/>
          <w:numId w:val="15"/>
        </w:numPr>
        <w:spacing w:before="100" w:beforeAutospacing="1" w:after="100" w:afterAutospacing="1"/>
        <w:rPr>
          <w:rFonts w:ascii="Cambria" w:eastAsia="Times New Roman" w:hAnsi="Cambria" w:cs="Times New Roman"/>
          <w:color w:val="000000" w:themeColor="text1"/>
        </w:rPr>
      </w:pPr>
      <w:r w:rsidRPr="00E51DA6">
        <w:rPr>
          <w:rFonts w:ascii="Cambria" w:eastAsia="Times New Roman" w:hAnsi="Cambria" w:cs="Times New Roman"/>
          <w:color w:val="000000" w:themeColor="text1"/>
        </w:rPr>
        <w:t>As may be provided for in rules established by the Utah State board of Education.</w:t>
      </w:r>
    </w:p>
    <w:p w14:paraId="23813277" w14:textId="76518BF9" w:rsidR="00B971D6" w:rsidRDefault="00BF2330" w:rsidP="00B971D6">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17" w:history="1">
        <w:r w:rsidRPr="00485967">
          <w:rPr>
            <w:rStyle w:val="Hyperlink"/>
            <w:rFonts w:ascii="Cambria" w:eastAsia="Times New Roman" w:hAnsi="Cambria" w:cs="Times New Roman"/>
            <w:i/>
            <w:iCs/>
            <w:color w:val="0432FF"/>
          </w:rPr>
          <w:t>Utah Code Ann. § 53G-6-704(2)</w:t>
        </w:r>
        <w:r w:rsidR="00243DDD" w:rsidRPr="00485967">
          <w:rPr>
            <w:rStyle w:val="Hyperlink"/>
            <w:rFonts w:ascii="Cambria" w:eastAsia="Times New Roman" w:hAnsi="Cambria" w:cs="Times New Roman"/>
            <w:i/>
            <w:iCs/>
            <w:color w:val="0432FF"/>
          </w:rPr>
          <w:t>, (3)</w:t>
        </w:r>
        <w:r w:rsidRPr="00485967">
          <w:rPr>
            <w:rStyle w:val="Hyperlink"/>
            <w:rFonts w:ascii="Cambria" w:eastAsia="Times New Roman" w:hAnsi="Cambria" w:cs="Times New Roman"/>
            <w:i/>
            <w:iCs/>
            <w:color w:val="0432FF"/>
          </w:rPr>
          <w:t xml:space="preserve"> (20</w:t>
        </w:r>
        <w:r w:rsidR="00243DDD" w:rsidRPr="00485967">
          <w:rPr>
            <w:rStyle w:val="Hyperlink"/>
            <w:rFonts w:ascii="Cambria" w:eastAsia="Times New Roman" w:hAnsi="Cambria" w:cs="Times New Roman"/>
            <w:i/>
            <w:iCs/>
            <w:color w:val="0432FF"/>
          </w:rPr>
          <w:t>23</w:t>
        </w:r>
        <w:r w:rsidRPr="00485967">
          <w:rPr>
            <w:rStyle w:val="Hyperlink"/>
            <w:rFonts w:ascii="Cambria" w:eastAsia="Times New Roman" w:hAnsi="Cambria" w:cs="Times New Roman"/>
            <w:i/>
            <w:iCs/>
            <w:color w:val="0432FF"/>
          </w:rPr>
          <w:t>)</w:t>
        </w:r>
      </w:hyperlink>
      <w:r w:rsidRPr="00485967">
        <w:rPr>
          <w:rFonts w:ascii="Cambria" w:eastAsia="Times New Roman" w:hAnsi="Cambria" w:cs="Times New Roman"/>
          <w:i/>
          <w:iCs/>
          <w:color w:val="0432FF"/>
        </w:rPr>
        <w:t xml:space="preserve"> </w:t>
      </w:r>
    </w:p>
    <w:p w14:paraId="645A5730" w14:textId="20C823A6" w:rsidR="00BF2330" w:rsidRPr="00B971D6" w:rsidRDefault="00BF2330" w:rsidP="00B971D6">
      <w:pPr>
        <w:pStyle w:val="ListParagraph"/>
        <w:numPr>
          <w:ilvl w:val="0"/>
          <w:numId w:val="10"/>
        </w:numPr>
        <w:spacing w:before="100" w:beforeAutospacing="1" w:after="100" w:afterAutospacing="1"/>
        <w:rPr>
          <w:rFonts w:ascii="Cambria" w:eastAsia="Times New Roman" w:hAnsi="Cambria" w:cs="Times New Roman"/>
        </w:rPr>
      </w:pPr>
      <w:r w:rsidRPr="00B971D6">
        <w:rPr>
          <w:rFonts w:ascii="Cambria" w:eastAsia="Times New Roman" w:hAnsi="Cambria" w:cs="Times New Roman"/>
        </w:rPr>
        <w:t>“</w:t>
      </w:r>
      <w:r w:rsidRPr="00485967">
        <w:rPr>
          <w:rFonts w:ascii="Cambria" w:eastAsia="Times New Roman" w:hAnsi="Cambria" w:cs="Times New Roman"/>
          <w:color w:val="000000" w:themeColor="text1"/>
        </w:rPr>
        <w:t xml:space="preserve">Qualifying private school student” means a private school student </w:t>
      </w:r>
      <w:r w:rsidR="00243DDD" w:rsidRPr="00485967">
        <w:rPr>
          <w:rFonts w:ascii="Cambria" w:eastAsia="Times New Roman" w:hAnsi="Cambria" w:cs="Times New Roman"/>
          <w:color w:val="000000" w:themeColor="text1"/>
        </w:rPr>
        <w:t xml:space="preserve">who did not have a prior initial establishment of eligibility requirements who is </w:t>
      </w:r>
      <w:r w:rsidRPr="00485967">
        <w:rPr>
          <w:rFonts w:ascii="Cambria" w:eastAsia="Times New Roman" w:hAnsi="Cambria" w:cs="Times New Roman"/>
          <w:color w:val="000000" w:themeColor="text1"/>
        </w:rPr>
        <w:t xml:space="preserve">seeking to participate in </w:t>
      </w:r>
      <w:r w:rsidR="00243DDD" w:rsidRPr="00485967">
        <w:rPr>
          <w:rFonts w:ascii="Cambria" w:eastAsia="Times New Roman" w:hAnsi="Cambria" w:cs="Times New Roman"/>
          <w:color w:val="000000" w:themeColor="text1"/>
        </w:rPr>
        <w:t xml:space="preserve">an </w:t>
      </w:r>
      <w:r w:rsidRPr="00485967">
        <w:rPr>
          <w:rFonts w:ascii="Cambria" w:eastAsia="Times New Roman" w:hAnsi="Cambria" w:cs="Times New Roman"/>
          <w:color w:val="000000" w:themeColor="text1"/>
        </w:rPr>
        <w:t>extracurricular activit</w:t>
      </w:r>
      <w:r w:rsidR="00243DDD" w:rsidRPr="00485967">
        <w:rPr>
          <w:rFonts w:ascii="Cambria" w:eastAsia="Times New Roman" w:hAnsi="Cambria" w:cs="Times New Roman"/>
          <w:color w:val="000000" w:themeColor="text1"/>
        </w:rPr>
        <w:t>y</w:t>
      </w:r>
      <w:r w:rsidRPr="00485967">
        <w:rPr>
          <w:rFonts w:ascii="Cambria" w:eastAsia="Times New Roman" w:hAnsi="Cambria" w:cs="Times New Roman"/>
          <w:color w:val="000000" w:themeColor="text1"/>
        </w:rPr>
        <w:t xml:space="preserve">, which are not offered at the student’s private school, at a district school: </w:t>
      </w:r>
    </w:p>
    <w:p w14:paraId="3A25AEAD" w14:textId="0CCFF015" w:rsidR="00BF2330" w:rsidRPr="00BF2330" w:rsidRDefault="00BF2330" w:rsidP="00BF2330">
      <w:pPr>
        <w:numPr>
          <w:ilvl w:val="1"/>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Within the attendance boundaries of which the student’s custodial parent resides; or </w:t>
      </w:r>
    </w:p>
    <w:p w14:paraId="14C19D21" w14:textId="77777777" w:rsidR="00E51DA6" w:rsidRPr="00E51DA6" w:rsidRDefault="00BF2330" w:rsidP="00BF2330">
      <w:pPr>
        <w:numPr>
          <w:ilvl w:val="1"/>
          <w:numId w:val="5"/>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From which the private school student withdrew to attend private school. </w:t>
      </w:r>
    </w:p>
    <w:p w14:paraId="26FE0DCF" w14:textId="751EE5D6" w:rsidR="00B971D6" w:rsidRPr="00485967" w:rsidRDefault="00000000" w:rsidP="00B971D6">
      <w:pPr>
        <w:spacing w:before="100" w:beforeAutospacing="1" w:after="100" w:afterAutospacing="1"/>
        <w:ind w:left="720"/>
        <w:rPr>
          <w:rFonts w:ascii="Cambria" w:eastAsia="Times New Roman" w:hAnsi="Cambria" w:cs="Times New Roman"/>
          <w:color w:val="0432FF"/>
        </w:rPr>
      </w:pPr>
      <w:hyperlink r:id="rId18" w:history="1">
        <w:r w:rsidR="00BF2330" w:rsidRPr="00485967">
          <w:rPr>
            <w:rStyle w:val="Hyperlink"/>
            <w:rFonts w:ascii="Cambria" w:eastAsia="Times New Roman" w:hAnsi="Cambria" w:cs="Times New Roman"/>
            <w:i/>
            <w:iCs/>
            <w:color w:val="0432FF"/>
          </w:rPr>
          <w:t xml:space="preserve">Utah Code Ann. § 53G-6-703 </w:t>
        </w:r>
        <w:r w:rsidR="00B971D6" w:rsidRPr="00485967">
          <w:rPr>
            <w:rStyle w:val="Hyperlink"/>
            <w:rFonts w:ascii="Cambria" w:eastAsia="Times New Roman" w:hAnsi="Cambria" w:cs="Times New Roman"/>
            <w:i/>
            <w:iCs/>
            <w:color w:val="0432FF"/>
          </w:rPr>
          <w:t>(2)(c) (2023)</w:t>
        </w:r>
      </w:hyperlink>
      <w:r w:rsidR="00BF2330" w:rsidRPr="00485967">
        <w:rPr>
          <w:rFonts w:ascii="Cambria" w:eastAsia="Times New Roman" w:hAnsi="Cambria" w:cs="Times New Roman"/>
          <w:i/>
          <w:iCs/>
          <w:color w:val="0432FF"/>
        </w:rPr>
        <w:t xml:space="preserve"> </w:t>
      </w:r>
    </w:p>
    <w:p w14:paraId="4ED57AA0" w14:textId="6B141AA8" w:rsidR="00E51DA6" w:rsidRPr="00485967" w:rsidRDefault="00BF2330" w:rsidP="00B971D6">
      <w:pPr>
        <w:pStyle w:val="ListParagraph"/>
        <w:numPr>
          <w:ilvl w:val="0"/>
          <w:numId w:val="10"/>
        </w:num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 xml:space="preserve">“Qualifying home school student” means a home school student </w:t>
      </w:r>
      <w:r w:rsidR="00B971D6" w:rsidRPr="00485967">
        <w:rPr>
          <w:rFonts w:ascii="Cambria" w:eastAsia="Times New Roman" w:hAnsi="Cambria" w:cs="Times New Roman"/>
          <w:color w:val="000000" w:themeColor="text1"/>
        </w:rPr>
        <w:t xml:space="preserve">who did not have a prior initial establishment of eligibility requirements who is </w:t>
      </w:r>
      <w:r w:rsidRPr="00485967">
        <w:rPr>
          <w:rFonts w:ascii="Cambria" w:eastAsia="Times New Roman" w:hAnsi="Cambria" w:cs="Times New Roman"/>
          <w:color w:val="000000" w:themeColor="text1"/>
        </w:rPr>
        <w:t xml:space="preserve">seeking to participate in </w:t>
      </w:r>
      <w:r w:rsidR="00B971D6" w:rsidRPr="00485967">
        <w:rPr>
          <w:rFonts w:ascii="Cambria" w:eastAsia="Times New Roman" w:hAnsi="Cambria" w:cs="Times New Roman"/>
          <w:color w:val="000000" w:themeColor="text1"/>
        </w:rPr>
        <w:t xml:space="preserve">an </w:t>
      </w:r>
      <w:r w:rsidRPr="00485967">
        <w:rPr>
          <w:rFonts w:ascii="Cambria" w:eastAsia="Times New Roman" w:hAnsi="Cambria" w:cs="Times New Roman"/>
          <w:color w:val="000000" w:themeColor="text1"/>
        </w:rPr>
        <w:t xml:space="preserve">extracurricular </w:t>
      </w:r>
      <w:r w:rsidR="00B971D6" w:rsidRPr="00485967">
        <w:rPr>
          <w:rFonts w:ascii="Cambria" w:eastAsia="Times New Roman" w:hAnsi="Cambria" w:cs="Times New Roman"/>
          <w:color w:val="000000" w:themeColor="text1"/>
        </w:rPr>
        <w:t>activity</w:t>
      </w:r>
      <w:r w:rsidRPr="00485967">
        <w:rPr>
          <w:rFonts w:ascii="Cambria" w:eastAsia="Times New Roman" w:hAnsi="Cambria" w:cs="Times New Roman"/>
          <w:color w:val="000000" w:themeColor="text1"/>
        </w:rPr>
        <w:t xml:space="preserve"> at a district school:</w:t>
      </w:r>
    </w:p>
    <w:p w14:paraId="5570D154" w14:textId="77777777" w:rsidR="00E51DA6" w:rsidRPr="00E51DA6" w:rsidRDefault="00BF2330" w:rsidP="00B971D6">
      <w:pPr>
        <w:numPr>
          <w:ilvl w:val="1"/>
          <w:numId w:val="20"/>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Within the attendance boundaries of which the student’s custodial parent resides; or </w:t>
      </w:r>
    </w:p>
    <w:p w14:paraId="56451F42" w14:textId="2FE092E9" w:rsidR="00BF2330" w:rsidRPr="00BF2330" w:rsidRDefault="00BF2330" w:rsidP="00B971D6">
      <w:pPr>
        <w:numPr>
          <w:ilvl w:val="1"/>
          <w:numId w:val="20"/>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From which the home school student withdrew to attend home school. </w:t>
      </w:r>
    </w:p>
    <w:p w14:paraId="34CD0264" w14:textId="0BF675A9"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lastRenderedPageBreak/>
        <w:tab/>
      </w:r>
      <w:hyperlink r:id="rId19" w:history="1">
        <w:r w:rsidR="00BF2330" w:rsidRPr="00485967">
          <w:rPr>
            <w:rStyle w:val="Hyperlink"/>
            <w:rFonts w:ascii="Cambria" w:eastAsia="Times New Roman" w:hAnsi="Cambria" w:cs="Times New Roman"/>
            <w:i/>
            <w:iCs/>
            <w:color w:val="0432FF"/>
          </w:rPr>
          <w:t>Utah Code Ann. § 53G-6-703</w:t>
        </w:r>
        <w:r w:rsidR="00B971D6" w:rsidRPr="00485967">
          <w:rPr>
            <w:rStyle w:val="Hyperlink"/>
            <w:rFonts w:ascii="Cambria" w:eastAsia="Times New Roman" w:hAnsi="Cambria" w:cs="Times New Roman"/>
            <w:i/>
            <w:iCs/>
            <w:color w:val="0432FF"/>
          </w:rPr>
          <w:t>(2)(c) (2023)</w:t>
        </w:r>
      </w:hyperlink>
    </w:p>
    <w:p w14:paraId="1B0B85CE" w14:textId="77777777" w:rsidR="00B971D6" w:rsidRPr="00485967" w:rsidRDefault="00BF2330" w:rsidP="00B971D6">
      <w:pPr>
        <w:pStyle w:val="ListParagraph"/>
        <w:numPr>
          <w:ilvl w:val="0"/>
          <w:numId w:val="10"/>
        </w:num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 xml:space="preserve">“Qualifying students” means </w:t>
      </w:r>
      <w:r w:rsidR="00B971D6" w:rsidRPr="00485967">
        <w:rPr>
          <w:rFonts w:ascii="Cambria" w:eastAsia="Times New Roman" w:hAnsi="Cambria" w:cs="Times New Roman"/>
          <w:color w:val="000000" w:themeColor="text1"/>
        </w:rPr>
        <w:t xml:space="preserve">a </w:t>
      </w:r>
      <w:r w:rsidRPr="00485967">
        <w:rPr>
          <w:rFonts w:ascii="Cambria" w:eastAsia="Times New Roman" w:hAnsi="Cambria" w:cs="Times New Roman"/>
          <w:color w:val="000000" w:themeColor="text1"/>
        </w:rPr>
        <w:t xml:space="preserve">qualifying home school, private school, charter school, or online students as defined above. </w:t>
      </w:r>
    </w:p>
    <w:p w14:paraId="6FC40DE1" w14:textId="1C4EEDF5" w:rsidR="00B971D6" w:rsidRPr="00485967" w:rsidRDefault="00B971D6" w:rsidP="00B971D6">
      <w:pPr>
        <w:pStyle w:val="ListParagraph"/>
        <w:numPr>
          <w:ilvl w:val="0"/>
          <w:numId w:val="10"/>
        </w:numPr>
        <w:spacing w:before="100" w:beforeAutospacing="1" w:after="100" w:afterAutospacing="1"/>
        <w:rPr>
          <w:rFonts w:ascii="Cambria" w:eastAsia="Times New Roman" w:hAnsi="Cambria" w:cs="Times New Roman"/>
          <w:color w:val="000000" w:themeColor="text1"/>
        </w:rPr>
      </w:pPr>
      <w:r w:rsidRPr="00485967">
        <w:rPr>
          <w:rFonts w:ascii="Cambria" w:hAnsi="Cambria"/>
          <w:color w:val="000000" w:themeColor="text1"/>
        </w:rPr>
        <w:t>“Non-qualifying student” is a student who is not enrolled in a District school who is not a qualifying student as defined above.</w:t>
      </w:r>
    </w:p>
    <w:p w14:paraId="4F556840" w14:textId="4E3E3770" w:rsidR="00B971D6" w:rsidRPr="00485967" w:rsidRDefault="00B971D6" w:rsidP="00B971D6">
      <w:pPr>
        <w:pStyle w:val="Heading3"/>
        <w:spacing w:before="0" w:after="120"/>
        <w:rPr>
          <w:rFonts w:ascii="Cambria" w:hAnsi="Cambria"/>
          <w:i w:val="0"/>
          <w:color w:val="000000" w:themeColor="text1"/>
          <w:u w:val="single"/>
        </w:rPr>
      </w:pPr>
      <w:r w:rsidRPr="00485967">
        <w:rPr>
          <w:rFonts w:ascii="Cambria" w:hAnsi="Cambria"/>
          <w:i w:val="0"/>
          <w:color w:val="000000" w:themeColor="text1"/>
          <w:u w:val="single"/>
        </w:rPr>
        <w:t>Qualifying Student Participation in Extracurricular Activities</w:t>
      </w:r>
    </w:p>
    <w:p w14:paraId="1A8D2E4D" w14:textId="77777777" w:rsidR="00B971D6" w:rsidRPr="00485967" w:rsidRDefault="00B971D6" w:rsidP="00B971D6">
      <w:pPr>
        <w:rPr>
          <w:rFonts w:ascii="Cambria" w:hAnsi="Cambria"/>
          <w:color w:val="000000" w:themeColor="text1"/>
        </w:rPr>
      </w:pPr>
      <w:r w:rsidRPr="00485967">
        <w:rPr>
          <w:rFonts w:ascii="Cambria" w:hAnsi="Cambria"/>
          <w:color w:val="000000" w:themeColor="text1"/>
        </w:rPr>
        <w:t>A qualifying student who is not enrolled in a District school is eligible to participate in extracurricular activities.</w:t>
      </w:r>
    </w:p>
    <w:p w14:paraId="35360BA7" w14:textId="77777777" w:rsidR="00B971D6" w:rsidRPr="00485967" w:rsidRDefault="00000000" w:rsidP="00B971D6">
      <w:pPr>
        <w:ind w:left="1080"/>
        <w:rPr>
          <w:rFonts w:ascii="Cambria" w:hAnsi="Cambria"/>
          <w:i/>
          <w:iCs/>
          <w:color w:val="0432FF"/>
        </w:rPr>
      </w:pPr>
      <w:hyperlink r:id="rId20" w:history="1">
        <w:r w:rsidR="00B971D6" w:rsidRPr="00485967">
          <w:rPr>
            <w:rStyle w:val="Hyperlink"/>
            <w:rFonts w:ascii="Cambria" w:hAnsi="Cambria"/>
            <w:i/>
            <w:iCs/>
            <w:color w:val="0432FF"/>
          </w:rPr>
          <w:t>Utah Code § 53G-6-703(2)(a) (2023)</w:t>
        </w:r>
      </w:hyperlink>
    </w:p>
    <w:p w14:paraId="7569CAAD" w14:textId="77777777" w:rsidR="00B971D6" w:rsidRPr="00485967" w:rsidRDefault="00000000" w:rsidP="00B971D6">
      <w:pPr>
        <w:ind w:left="1080"/>
        <w:rPr>
          <w:rFonts w:ascii="Cambria" w:hAnsi="Cambria"/>
          <w:i/>
          <w:iCs/>
          <w:color w:val="0432FF"/>
        </w:rPr>
      </w:pPr>
      <w:hyperlink r:id="rId21" w:history="1">
        <w:r w:rsidR="00B971D6" w:rsidRPr="00485967">
          <w:rPr>
            <w:rStyle w:val="Hyperlink"/>
            <w:rFonts w:ascii="Cambria" w:hAnsi="Cambria"/>
            <w:i/>
            <w:iCs/>
            <w:color w:val="0432FF"/>
          </w:rPr>
          <w:t>Utah Code § 53G-6-704(2) (2023)</w:t>
        </w:r>
      </w:hyperlink>
    </w:p>
    <w:p w14:paraId="769133D9" w14:textId="77777777" w:rsidR="00B971D6" w:rsidRPr="00485967" w:rsidRDefault="00000000" w:rsidP="00B971D6">
      <w:pPr>
        <w:ind w:left="1080"/>
        <w:rPr>
          <w:rFonts w:ascii="Cambria" w:hAnsi="Cambria"/>
          <w:i/>
          <w:iCs/>
          <w:color w:val="0432FF"/>
        </w:rPr>
      </w:pPr>
      <w:hyperlink r:id="rId22" w:history="1">
        <w:r w:rsidR="00B971D6" w:rsidRPr="00485967">
          <w:rPr>
            <w:rStyle w:val="Hyperlink"/>
            <w:rFonts w:ascii="Cambria" w:hAnsi="Cambria"/>
            <w:i/>
            <w:iCs/>
            <w:color w:val="0432FF"/>
          </w:rPr>
          <w:t>Utah Code § 53G-6-705(2) (2023)</w:t>
        </w:r>
      </w:hyperlink>
    </w:p>
    <w:p w14:paraId="3B7F0657" w14:textId="21969C1E" w:rsidR="00B971D6" w:rsidRPr="00485967" w:rsidRDefault="00B971D6" w:rsidP="00B971D6">
      <w:pPr>
        <w:pStyle w:val="Heading3"/>
        <w:spacing w:before="120" w:after="120"/>
        <w:rPr>
          <w:rFonts w:ascii="Cambria" w:hAnsi="Cambria"/>
          <w:i w:val="0"/>
          <w:iCs/>
          <w:color w:val="000000" w:themeColor="text1"/>
          <w:u w:val="single"/>
        </w:rPr>
      </w:pPr>
      <w:r w:rsidRPr="00485967">
        <w:rPr>
          <w:rFonts w:ascii="Cambria" w:hAnsi="Cambria"/>
          <w:i w:val="0"/>
          <w:iCs/>
          <w:color w:val="000000" w:themeColor="text1"/>
          <w:u w:val="single"/>
        </w:rPr>
        <w:t>Non-Qualifying Student Participation in Extracurricular Activities</w:t>
      </w:r>
    </w:p>
    <w:p w14:paraId="132310D9" w14:textId="65F1429B" w:rsidR="00B971D6" w:rsidRPr="00485967" w:rsidRDefault="00B971D6" w:rsidP="00B971D6">
      <w:pPr>
        <w:rPr>
          <w:rFonts w:ascii="Cambria" w:hAnsi="Cambria"/>
          <w:color w:val="000000" w:themeColor="text1"/>
        </w:rPr>
      </w:pPr>
      <w:r w:rsidRPr="00485967">
        <w:rPr>
          <w:rFonts w:ascii="Cambria" w:hAnsi="Cambria"/>
          <w:color w:val="000000" w:themeColor="text1"/>
        </w:rPr>
        <w:t>A school may allow a non-qualifying student to participate in an extracurricular activity that the school sponsors and supports if (a) the student satisfies the general eligibility requirements set forth below and (b) the student meets the open enrollment requirements of Policy FBA, subject to the following additional requirements:</w:t>
      </w:r>
    </w:p>
    <w:p w14:paraId="434A151F" w14:textId="73951E08" w:rsidR="00B971D6" w:rsidRPr="00485967" w:rsidRDefault="00B971D6" w:rsidP="00B971D6">
      <w:pPr>
        <w:pStyle w:val="ListParagraph"/>
        <w:numPr>
          <w:ilvl w:val="0"/>
          <w:numId w:val="22"/>
        </w:numPr>
        <w:spacing w:before="120"/>
        <w:ind w:left="720"/>
        <w:contextualSpacing w:val="0"/>
        <w:rPr>
          <w:rFonts w:ascii="Cambria" w:hAnsi="Cambria"/>
          <w:color w:val="000000" w:themeColor="text1"/>
        </w:rPr>
      </w:pPr>
      <w:r w:rsidRPr="00485967">
        <w:rPr>
          <w:rFonts w:ascii="Cambria" w:hAnsi="Cambria"/>
          <w:color w:val="000000" w:themeColor="text1"/>
        </w:rPr>
        <w:t>For an interscholastic competition of athletic teams, a private school student, home school student, charter school student, or online student meets the initial establishment of eligibility requirements.</w:t>
      </w:r>
    </w:p>
    <w:p w14:paraId="0C191A43" w14:textId="77777777" w:rsidR="00B971D6" w:rsidRPr="00485967" w:rsidRDefault="00B971D6" w:rsidP="00B971D6">
      <w:pPr>
        <w:pStyle w:val="ListParagraph"/>
        <w:numPr>
          <w:ilvl w:val="0"/>
          <w:numId w:val="22"/>
        </w:numPr>
        <w:spacing w:before="120"/>
        <w:ind w:left="720"/>
        <w:contextualSpacing w:val="0"/>
        <w:rPr>
          <w:rFonts w:ascii="Cambria" w:hAnsi="Cambria"/>
          <w:color w:val="000000" w:themeColor="text1"/>
        </w:rPr>
      </w:pPr>
      <w:r w:rsidRPr="00485967">
        <w:rPr>
          <w:rFonts w:ascii="Cambria" w:hAnsi="Cambria"/>
          <w:color w:val="000000" w:themeColor="text1"/>
        </w:rPr>
        <w:t>For an interscholastic contest or competition for music, drama, or forensic groups or teams, the private school student’s private school does not offer the activity and the private school meets the entry requirements for participation.</w:t>
      </w:r>
    </w:p>
    <w:p w14:paraId="3A112135" w14:textId="77777777" w:rsidR="00B971D6" w:rsidRPr="00485967" w:rsidRDefault="00B971D6" w:rsidP="00B971D6">
      <w:pPr>
        <w:pStyle w:val="ListParagraph"/>
        <w:numPr>
          <w:ilvl w:val="0"/>
          <w:numId w:val="22"/>
        </w:numPr>
        <w:spacing w:before="120"/>
        <w:ind w:left="720"/>
        <w:contextualSpacing w:val="0"/>
        <w:rPr>
          <w:rFonts w:ascii="Cambria" w:hAnsi="Cambria"/>
          <w:color w:val="000000" w:themeColor="text1"/>
        </w:rPr>
      </w:pPr>
      <w:r w:rsidRPr="00485967">
        <w:rPr>
          <w:rFonts w:ascii="Cambria" w:hAnsi="Cambria"/>
          <w:color w:val="000000" w:themeColor="text1"/>
        </w:rPr>
        <w:t>For an interscholastic contest or competition for music, drama, or forensic groups or teams, the home school student, charter school student, or online student meets the entry requirements for participation.</w:t>
      </w:r>
    </w:p>
    <w:p w14:paraId="3E33AFD1" w14:textId="77777777" w:rsidR="00B971D6" w:rsidRPr="00485967" w:rsidRDefault="00000000" w:rsidP="00B971D6">
      <w:pPr>
        <w:pStyle w:val="ListParagraph"/>
        <w:ind w:left="1080"/>
        <w:rPr>
          <w:rFonts w:ascii="Cambria" w:hAnsi="Cambria"/>
          <w:i/>
          <w:iCs/>
          <w:color w:val="0432FF"/>
        </w:rPr>
      </w:pPr>
      <w:hyperlink r:id="rId23" w:history="1">
        <w:r w:rsidR="00B971D6" w:rsidRPr="00485967">
          <w:rPr>
            <w:rStyle w:val="Hyperlink"/>
            <w:rFonts w:ascii="Cambria" w:hAnsi="Cambria"/>
            <w:i/>
            <w:iCs/>
            <w:color w:val="0432FF"/>
          </w:rPr>
          <w:t>Utah Code § 53G-6-703(2)(d) (2023)</w:t>
        </w:r>
      </w:hyperlink>
    </w:p>
    <w:p w14:paraId="5FECBC4A" w14:textId="77777777" w:rsidR="00B971D6" w:rsidRPr="00485967" w:rsidRDefault="00000000" w:rsidP="00B971D6">
      <w:pPr>
        <w:pStyle w:val="ListParagraph"/>
        <w:ind w:left="1080"/>
        <w:rPr>
          <w:rFonts w:ascii="Cambria" w:hAnsi="Cambria"/>
          <w:i/>
          <w:iCs/>
          <w:color w:val="0432FF"/>
        </w:rPr>
      </w:pPr>
      <w:hyperlink r:id="rId24" w:history="1">
        <w:r w:rsidR="00B971D6" w:rsidRPr="00485967">
          <w:rPr>
            <w:rStyle w:val="Hyperlink"/>
            <w:rFonts w:ascii="Cambria" w:hAnsi="Cambria"/>
            <w:i/>
            <w:iCs/>
            <w:color w:val="0432FF"/>
          </w:rPr>
          <w:t>Utah Code § 53G-6-704(4) (2023)</w:t>
        </w:r>
      </w:hyperlink>
    </w:p>
    <w:p w14:paraId="2F99DCD4" w14:textId="618333B9" w:rsidR="00B971D6" w:rsidRPr="00485967" w:rsidRDefault="00000000" w:rsidP="00B971D6">
      <w:pPr>
        <w:pStyle w:val="ListParagraph"/>
        <w:spacing w:after="120"/>
        <w:ind w:left="1080"/>
        <w:rPr>
          <w:rFonts w:ascii="Cambria" w:hAnsi="Cambria"/>
          <w:i/>
          <w:iCs/>
          <w:color w:val="0432FF"/>
        </w:rPr>
      </w:pPr>
      <w:hyperlink r:id="rId25" w:history="1">
        <w:r w:rsidR="00B971D6" w:rsidRPr="00485967">
          <w:rPr>
            <w:rStyle w:val="Hyperlink"/>
            <w:rFonts w:ascii="Cambria" w:hAnsi="Cambria"/>
            <w:i/>
            <w:iCs/>
            <w:color w:val="0432FF"/>
          </w:rPr>
          <w:t>Utah Code § 53G-6-705(3) (2023)</w:t>
        </w:r>
      </w:hyperlink>
    </w:p>
    <w:p w14:paraId="611A2DAC" w14:textId="445530E9"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Eligibility Requirements for </w:t>
      </w:r>
      <w:r w:rsidR="00B971D6" w:rsidRPr="00485967">
        <w:rPr>
          <w:rFonts w:ascii="Cambria" w:eastAsia="Times New Roman" w:hAnsi="Cambria" w:cs="Times New Roman"/>
          <w:b/>
          <w:bCs/>
          <w:color w:val="000000" w:themeColor="text1"/>
          <w:u w:val="single"/>
        </w:rPr>
        <w:t xml:space="preserve">Non-Enrolled Student </w:t>
      </w:r>
      <w:r w:rsidRPr="00BF2330">
        <w:rPr>
          <w:rFonts w:ascii="Cambria" w:eastAsia="Times New Roman" w:hAnsi="Cambria" w:cs="Times New Roman"/>
          <w:b/>
          <w:bCs/>
          <w:u w:val="single"/>
        </w:rPr>
        <w:t xml:space="preserve">Participation in Extracurricular Activities </w:t>
      </w:r>
    </w:p>
    <w:p w14:paraId="5CD7BB13" w14:textId="0146CDA3" w:rsidR="00BF2330" w:rsidRPr="00485967" w:rsidRDefault="00FA5284" w:rsidP="00BF2330">
      <w:p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 xml:space="preserve">Non-enrolled </w:t>
      </w:r>
      <w:r w:rsidR="00BF2330" w:rsidRPr="00485967">
        <w:rPr>
          <w:rFonts w:ascii="Cambria" w:eastAsia="Times New Roman" w:hAnsi="Cambria" w:cs="Times New Roman"/>
          <w:color w:val="000000" w:themeColor="text1"/>
        </w:rPr>
        <w:t xml:space="preserve">students who are </w:t>
      </w:r>
      <w:r w:rsidRPr="00485967">
        <w:rPr>
          <w:rFonts w:ascii="Cambria" w:eastAsia="Times New Roman" w:hAnsi="Cambria" w:cs="Times New Roman"/>
          <w:color w:val="000000" w:themeColor="text1"/>
        </w:rPr>
        <w:t xml:space="preserve">allowed </w:t>
      </w:r>
      <w:r w:rsidR="00BF2330" w:rsidRPr="00485967">
        <w:rPr>
          <w:rFonts w:ascii="Cambria" w:eastAsia="Times New Roman" w:hAnsi="Cambria" w:cs="Times New Roman"/>
          <w:color w:val="000000" w:themeColor="text1"/>
        </w:rPr>
        <w:t xml:space="preserve">to participate in an extracurricular activity </w:t>
      </w:r>
      <w:r w:rsidRPr="00485967">
        <w:rPr>
          <w:rFonts w:ascii="Cambria" w:eastAsia="Times New Roman" w:hAnsi="Cambria" w:cs="Times New Roman"/>
          <w:color w:val="000000" w:themeColor="text1"/>
        </w:rPr>
        <w:t xml:space="preserve">as provided for above shall be subject to all </w:t>
      </w:r>
      <w:r w:rsidR="00BF2330" w:rsidRPr="00485967">
        <w:rPr>
          <w:rFonts w:ascii="Cambria" w:eastAsia="Times New Roman" w:hAnsi="Cambria" w:cs="Times New Roman"/>
          <w:color w:val="000000" w:themeColor="text1"/>
        </w:rPr>
        <w:t xml:space="preserve">eligibility standards: </w:t>
      </w:r>
    </w:p>
    <w:p w14:paraId="5B30AF87" w14:textId="77777777" w:rsidR="00BF2330" w:rsidRPr="00485967" w:rsidRDefault="00BF2330" w:rsidP="00BF2330">
      <w:pPr>
        <w:numPr>
          <w:ilvl w:val="0"/>
          <w:numId w:val="6"/>
        </w:num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 xml:space="preserve">Applied to a fully enrolled District school student; </w:t>
      </w:r>
    </w:p>
    <w:p w14:paraId="7BCAECEF" w14:textId="0BE9AB57" w:rsidR="00BF2330" w:rsidRPr="00485967" w:rsidRDefault="00BF2330" w:rsidP="00BF2330">
      <w:pPr>
        <w:numPr>
          <w:ilvl w:val="0"/>
          <w:numId w:val="6"/>
        </w:num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Of the District school where the</w:t>
      </w:r>
      <w:r w:rsidR="00485967" w:rsidRPr="00485967">
        <w:rPr>
          <w:rFonts w:ascii="Cambria" w:eastAsia="Times New Roman" w:hAnsi="Cambria" w:cs="Times New Roman"/>
          <w:color w:val="000000" w:themeColor="text1"/>
        </w:rPr>
        <w:t xml:space="preserve"> </w:t>
      </w:r>
      <w:r w:rsidRPr="00485967">
        <w:rPr>
          <w:rFonts w:ascii="Cambria" w:eastAsia="Times New Roman" w:hAnsi="Cambria" w:cs="Times New Roman"/>
          <w:color w:val="000000" w:themeColor="text1"/>
        </w:rPr>
        <w:t xml:space="preserve">student participates in an extracurricular activity; and </w:t>
      </w:r>
    </w:p>
    <w:p w14:paraId="32F079B2" w14:textId="76255AD1" w:rsidR="00BF2330" w:rsidRPr="00485967" w:rsidRDefault="00BF2330" w:rsidP="00BF2330">
      <w:pPr>
        <w:numPr>
          <w:ilvl w:val="0"/>
          <w:numId w:val="6"/>
        </w:num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 xml:space="preserve">For the extracurricular activity in which the student participates. </w:t>
      </w:r>
    </w:p>
    <w:p w14:paraId="0D17BE36" w14:textId="77777777" w:rsidR="00485967" w:rsidRDefault="00FA5284" w:rsidP="00485967">
      <w:pPr>
        <w:rPr>
          <w:rFonts w:ascii="Cambria" w:eastAsia="Times New Roman" w:hAnsi="Cambria" w:cs="Times New Roman"/>
          <w:i/>
          <w:iCs/>
        </w:rPr>
      </w:pPr>
      <w:r w:rsidRPr="00485967">
        <w:rPr>
          <w:rFonts w:ascii="Cambria" w:eastAsia="Times New Roman" w:hAnsi="Cambria" w:cs="Times New Roman"/>
          <w:color w:val="000000" w:themeColor="text1"/>
        </w:rPr>
        <w:lastRenderedPageBreak/>
        <w:t xml:space="preserve">Apart from the basic eligibility requirements outlined above, </w:t>
      </w:r>
      <w:r w:rsidR="00BF2330" w:rsidRPr="00485967">
        <w:rPr>
          <w:rFonts w:ascii="Cambria" w:eastAsia="Times New Roman" w:hAnsi="Cambria" w:cs="Times New Roman"/>
          <w:color w:val="000000" w:themeColor="text1"/>
        </w:rPr>
        <w:t xml:space="preserve">District schools may not impose additional requirements on </w:t>
      </w:r>
      <w:r w:rsidRPr="00485967">
        <w:rPr>
          <w:rFonts w:ascii="Cambria" w:eastAsia="Times New Roman" w:hAnsi="Cambria" w:cs="Times New Roman"/>
          <w:color w:val="000000" w:themeColor="text1"/>
        </w:rPr>
        <w:t xml:space="preserve">non-enrolled </w:t>
      </w:r>
      <w:r w:rsidR="00BF2330" w:rsidRPr="00BF2330">
        <w:rPr>
          <w:rFonts w:ascii="Cambria" w:eastAsia="Times New Roman" w:hAnsi="Cambria" w:cs="Times New Roman"/>
        </w:rPr>
        <w:t>students to participate in an extracurricular activity that are not imposed on fully enrolled students at the District school.</w:t>
      </w:r>
    </w:p>
    <w:p w14:paraId="4E7978A8" w14:textId="5A224BDA" w:rsidR="00BF2330" w:rsidRPr="00485967" w:rsidRDefault="00000000" w:rsidP="00485967">
      <w:pPr>
        <w:ind w:firstLine="720"/>
        <w:rPr>
          <w:rFonts w:ascii="Cambria" w:eastAsia="Times New Roman" w:hAnsi="Cambria" w:cs="Times New Roman"/>
          <w:i/>
          <w:iCs/>
          <w:color w:val="0432FF"/>
        </w:rPr>
      </w:pPr>
      <w:hyperlink r:id="rId26" w:history="1">
        <w:r w:rsidR="00BF2330" w:rsidRPr="00485967">
          <w:rPr>
            <w:rStyle w:val="Hyperlink"/>
            <w:rFonts w:ascii="Cambria" w:eastAsia="Times New Roman" w:hAnsi="Cambria" w:cs="Times New Roman"/>
            <w:i/>
            <w:iCs/>
            <w:color w:val="0432FF"/>
          </w:rPr>
          <w:t>Utah Code Ann. § 53G-6-703</w:t>
        </w:r>
        <w:r w:rsidR="00FA5284" w:rsidRPr="00485967">
          <w:rPr>
            <w:rStyle w:val="Hyperlink"/>
            <w:rFonts w:ascii="Cambria" w:eastAsia="Times New Roman" w:hAnsi="Cambria" w:cs="Times New Roman"/>
            <w:i/>
            <w:iCs/>
            <w:color w:val="0432FF"/>
          </w:rPr>
          <w:t>(3)(a), (b) (2023)</w:t>
        </w:r>
      </w:hyperlink>
      <w:r w:rsidR="00BF2330" w:rsidRPr="00485967">
        <w:rPr>
          <w:rFonts w:ascii="Cambria" w:eastAsia="Times New Roman" w:hAnsi="Cambria" w:cs="Times New Roman"/>
          <w:i/>
          <w:iCs/>
          <w:color w:val="0432FF"/>
        </w:rPr>
        <w:t xml:space="preserve"> </w:t>
      </w:r>
    </w:p>
    <w:p w14:paraId="07C8FE20" w14:textId="77777777" w:rsidR="00FA5284" w:rsidRPr="00485967" w:rsidRDefault="00000000" w:rsidP="00485967">
      <w:pPr>
        <w:ind w:firstLine="720"/>
        <w:rPr>
          <w:rStyle w:val="Hyperlink"/>
          <w:rFonts w:ascii="Cambria" w:hAnsi="Cambria"/>
          <w:i/>
          <w:iCs/>
          <w:color w:val="0432FF"/>
        </w:rPr>
      </w:pPr>
      <w:hyperlink r:id="rId27" w:history="1">
        <w:r w:rsidR="00FA5284" w:rsidRPr="00485967">
          <w:rPr>
            <w:rStyle w:val="Hyperlink"/>
            <w:rFonts w:ascii="Cambria" w:hAnsi="Cambria"/>
            <w:i/>
            <w:iCs/>
            <w:color w:val="0432FF"/>
          </w:rPr>
          <w:t>Utah Code § 53G-6-704(5), (6) (2023)</w:t>
        </w:r>
      </w:hyperlink>
    </w:p>
    <w:p w14:paraId="44C9D596" w14:textId="77777777" w:rsidR="00FA5284" w:rsidRPr="00485967" w:rsidRDefault="00000000" w:rsidP="00485967">
      <w:pPr>
        <w:ind w:firstLine="720"/>
        <w:rPr>
          <w:rFonts w:ascii="Cambria" w:hAnsi="Cambria" w:cs="Arial"/>
          <w:color w:val="0432FF"/>
        </w:rPr>
      </w:pPr>
      <w:hyperlink r:id="rId28" w:history="1">
        <w:r w:rsidR="00FA5284" w:rsidRPr="00485967">
          <w:rPr>
            <w:rStyle w:val="Hyperlink"/>
            <w:rFonts w:ascii="Cambria" w:hAnsi="Cambria"/>
            <w:i/>
            <w:iCs/>
            <w:color w:val="0432FF"/>
          </w:rPr>
          <w:t>Utah Code § 53G-6-705(4), (5) (2023)</w:t>
        </w:r>
      </w:hyperlink>
    </w:p>
    <w:p w14:paraId="25169A74" w14:textId="718C0C46" w:rsidR="00BF2330" w:rsidRPr="00BF2330" w:rsidRDefault="00FA5284" w:rsidP="00BF2330">
      <w:pPr>
        <w:spacing w:before="100" w:beforeAutospacing="1" w:after="100" w:afterAutospacing="1"/>
        <w:rPr>
          <w:rFonts w:ascii="Cambria" w:eastAsia="Times New Roman" w:hAnsi="Cambria" w:cs="Times New Roman"/>
          <w:u w:val="single"/>
        </w:rPr>
      </w:pPr>
      <w:r w:rsidRPr="00485967">
        <w:rPr>
          <w:rFonts w:ascii="Cambria" w:eastAsia="Times New Roman" w:hAnsi="Cambria" w:cs="Times New Roman"/>
          <w:b/>
          <w:bCs/>
          <w:color w:val="000000" w:themeColor="text1"/>
          <w:u w:val="single"/>
        </w:rPr>
        <w:t xml:space="preserve">Specific </w:t>
      </w:r>
      <w:r w:rsidR="00BF2330" w:rsidRPr="00485967">
        <w:rPr>
          <w:rFonts w:ascii="Cambria" w:eastAsia="Times New Roman" w:hAnsi="Cambria" w:cs="Times New Roman"/>
          <w:b/>
          <w:bCs/>
          <w:color w:val="000000" w:themeColor="text1"/>
          <w:u w:val="single"/>
        </w:rPr>
        <w:t>E</w:t>
      </w:r>
      <w:r w:rsidR="00BF2330" w:rsidRPr="00BF2330">
        <w:rPr>
          <w:rFonts w:ascii="Cambria" w:eastAsia="Times New Roman" w:hAnsi="Cambria" w:cs="Times New Roman"/>
          <w:b/>
          <w:bCs/>
          <w:u w:val="single"/>
        </w:rPr>
        <w:t>ligibility Requirements for Participation in</w:t>
      </w:r>
      <w:r w:rsidR="00485967">
        <w:rPr>
          <w:rFonts w:ascii="Cambria" w:eastAsia="Times New Roman" w:hAnsi="Cambria" w:cs="Times New Roman"/>
          <w:b/>
          <w:bCs/>
          <w:u w:val="single"/>
        </w:rPr>
        <w:t xml:space="preserve"> </w:t>
      </w:r>
      <w:r w:rsidR="00BF2330" w:rsidRPr="00BF2330">
        <w:rPr>
          <w:rFonts w:ascii="Cambria" w:eastAsia="Times New Roman" w:hAnsi="Cambria" w:cs="Times New Roman"/>
          <w:b/>
          <w:bCs/>
          <w:u w:val="single"/>
        </w:rPr>
        <w:t xml:space="preserve">Extracurricular Activities for Home School Students </w:t>
      </w:r>
    </w:p>
    <w:p w14:paraId="6F300A50"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Eligibility requirements based on school attendance are not applicable to a qualifying home school student. </w:t>
      </w:r>
    </w:p>
    <w:p w14:paraId="78EF2746" w14:textId="24BFCDDF" w:rsidR="00E51DA6" w:rsidRPr="00E51DA6"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A home school student meets academic eligibility requirements to participate in an extracurricular activity if:</w:t>
      </w:r>
    </w:p>
    <w:p w14:paraId="021993A3" w14:textId="77777777" w:rsidR="00E51DA6" w:rsidRPr="00E51DA6" w:rsidRDefault="00BF2330" w:rsidP="00E51DA6">
      <w:pPr>
        <w:pStyle w:val="ListParagraph"/>
        <w:numPr>
          <w:ilvl w:val="0"/>
          <w:numId w:val="12"/>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The student is mastering the material in each course or subject being taught; and </w:t>
      </w:r>
    </w:p>
    <w:p w14:paraId="46F6DAF9" w14:textId="3FF70730" w:rsidR="00BF2330" w:rsidRPr="00E51DA6" w:rsidRDefault="00BF2330" w:rsidP="00BF2330">
      <w:pPr>
        <w:pStyle w:val="ListParagraph"/>
        <w:numPr>
          <w:ilvl w:val="0"/>
          <w:numId w:val="12"/>
        </w:numPr>
        <w:spacing w:before="100" w:beforeAutospacing="1" w:after="100" w:afterAutospacing="1"/>
        <w:rPr>
          <w:rFonts w:ascii="Cambria" w:eastAsia="Times New Roman" w:hAnsi="Cambria" w:cs="Times New Roman"/>
        </w:rPr>
      </w:pPr>
      <w:r w:rsidRPr="00E51DA6">
        <w:rPr>
          <w:rFonts w:ascii="Cambria" w:eastAsia="Times New Roman" w:hAnsi="Cambria" w:cs="Times New Roman"/>
        </w:rPr>
        <w:t xml:space="preserve">The student is maintaining satisfactory progress towards achievement or promotion. </w:t>
      </w:r>
    </w:p>
    <w:p w14:paraId="073B666A" w14:textId="7F3E00DE"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To establish a home school student's academic eligibility, a parent, teacher, or organization providing instruction to the student shall submit an academic eligibility affidavit to the principal indicating the student meets academic eligibility requirements. Upon submission of this affidavit, a home school student shall: </w:t>
      </w:r>
    </w:p>
    <w:p w14:paraId="0CD4AFD3" w14:textId="77777777" w:rsidR="00BF2330" w:rsidRPr="00BF2330" w:rsidRDefault="00BF2330" w:rsidP="00BF2330">
      <w:pPr>
        <w:numPr>
          <w:ilvl w:val="0"/>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Be considered to meet academic eligibility requirements; and </w:t>
      </w:r>
    </w:p>
    <w:p w14:paraId="3A53B475" w14:textId="31FD7B64" w:rsidR="00BF2330" w:rsidRPr="00BF2330" w:rsidRDefault="00BF2330" w:rsidP="00BF2330">
      <w:pPr>
        <w:numPr>
          <w:ilvl w:val="0"/>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Retain academic eligibility for all extracurricular activities during the activity season for which the affidavit is submitted, until: </w:t>
      </w:r>
    </w:p>
    <w:p w14:paraId="5CAD7FBB" w14:textId="7AF43DE5" w:rsidR="00BF2330" w:rsidRPr="00BF2330" w:rsidRDefault="00BF2330" w:rsidP="00BF2330">
      <w:pPr>
        <w:numPr>
          <w:ilvl w:val="1"/>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An academic eligibility panel determines the home school student does not meet academic eligibility requirements; or </w:t>
      </w:r>
    </w:p>
    <w:p w14:paraId="2A8E6443" w14:textId="2703A6C9" w:rsidR="00BF2330" w:rsidRPr="00BF2330" w:rsidRDefault="00BF2330" w:rsidP="00BF2330">
      <w:pPr>
        <w:numPr>
          <w:ilvl w:val="1"/>
          <w:numId w:val="7"/>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The person who submitted the academic eligibility affidavit provides written notice to the school principal that the student no longer meets academic eligibility requirements. </w:t>
      </w:r>
    </w:p>
    <w:p w14:paraId="33A91EEE"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 home school student who loses academic eligibility pursuant to Subsection (2)(b) above may not participate in an extracurricular activity until the person who submitted the affidavit under Subsection (2)(b) provides written notice to the school principal that the home school student has reestablished academic eligibility. If a home school student reestablishes academic eligibility as described above, the home school student may participate in extracurricular activities for the remainder of the activity season. </w:t>
      </w:r>
    </w:p>
    <w:p w14:paraId="7A1459F6"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 person who has probable cause to believe a home school student does not meet academic eligibility requirements may submit an affidavit to the principal: </w:t>
      </w:r>
    </w:p>
    <w:p w14:paraId="79CC39D6" w14:textId="77777777" w:rsidR="00BF2330" w:rsidRPr="00BF2330" w:rsidRDefault="00BF2330" w:rsidP="00BF2330">
      <w:pPr>
        <w:numPr>
          <w:ilvl w:val="0"/>
          <w:numId w:val="8"/>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lastRenderedPageBreak/>
        <w:t xml:space="preserve">Asserting the home student does not meet academic eligibility requirements; and </w:t>
      </w:r>
    </w:p>
    <w:p w14:paraId="161A2AFB" w14:textId="5A7F8771" w:rsidR="00BF2330" w:rsidRPr="00BF2330" w:rsidRDefault="00BF2330" w:rsidP="00BF2330">
      <w:pPr>
        <w:numPr>
          <w:ilvl w:val="0"/>
          <w:numId w:val="8"/>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Providing information indicating that the home school student does not meet the academic eligibility requirements. </w:t>
      </w:r>
    </w:p>
    <w:p w14:paraId="04EF8BFF"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A principal shall review the affidavit, and if the principal determines it contains information which constitutes probable cause to believe a home school student may not meet academic eligibility requirements, the principal shall request an academic eligibility panel to verify the student's compliance with academic eligibility requirements. </w:t>
      </w:r>
    </w:p>
    <w:p w14:paraId="74DA5A93" w14:textId="7777777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The District Superintendent shall appoint an academic eligibility panel to verify a home school student's compliance with academic eligibility requirements when requested by a principal. A panel shall: </w:t>
      </w:r>
    </w:p>
    <w:p w14:paraId="77D1A84B" w14:textId="77777777" w:rsidR="00BF2330" w:rsidRPr="00BF2330"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Review the affidavit and may confer with the person who submitted the affidavit; </w:t>
      </w:r>
    </w:p>
    <w:p w14:paraId="3FA229E8" w14:textId="0FCC8B50" w:rsidR="00BF2330" w:rsidRPr="00BF2330"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Request the home school student to submit test scores or a portfolio of work documenting the student's academic achievement to the panel; </w:t>
      </w:r>
    </w:p>
    <w:p w14:paraId="15B304D1" w14:textId="77777777" w:rsidR="00E51DA6" w:rsidRPr="00E51DA6"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Review the test scores or portfolio of work; and </w:t>
      </w:r>
    </w:p>
    <w:p w14:paraId="00328E52" w14:textId="6850F838" w:rsidR="00BF2330" w:rsidRPr="00BF2330" w:rsidRDefault="00BF2330" w:rsidP="00BF2330">
      <w:pPr>
        <w:numPr>
          <w:ilvl w:val="0"/>
          <w:numId w:val="9"/>
        </w:num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Determine whether the home school student meets academic eligibility requirements. </w:t>
      </w:r>
    </w:p>
    <w:p w14:paraId="58850FA2" w14:textId="509B8FE2"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t xml:space="preserve">If the panel determines that the home school student meets academic eligibility requirements, the student will retain academic eligibility for all extracurricular activities during the activity season for which an affidavit was submitted. A panel's determination that a home school student does not comply with academic eligibility requirements is effective for an activity season and all extracurricular activities that have academic eligibility requirements. </w:t>
      </w:r>
    </w:p>
    <w:p w14:paraId="03B58CCD" w14:textId="2E4281E1"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29" w:history="1">
        <w:r w:rsidR="00BF2330" w:rsidRPr="00BF2330">
          <w:rPr>
            <w:rStyle w:val="Hyperlink"/>
            <w:rFonts w:ascii="Cambria" w:eastAsia="Times New Roman" w:hAnsi="Cambria" w:cs="Times New Roman"/>
            <w:i/>
            <w:iCs/>
            <w:color w:val="0432FF"/>
          </w:rPr>
          <w:t>Utah Code Ann. § 53G-6-703 (2019)</w:t>
        </w:r>
      </w:hyperlink>
      <w:r w:rsidR="00BF2330" w:rsidRPr="00BF2330">
        <w:rPr>
          <w:rFonts w:ascii="Cambria" w:eastAsia="Times New Roman" w:hAnsi="Cambria" w:cs="Times New Roman"/>
          <w:i/>
          <w:iCs/>
          <w:color w:val="0432FF"/>
        </w:rPr>
        <w:t xml:space="preserve"> </w:t>
      </w:r>
    </w:p>
    <w:p w14:paraId="66E74ADE" w14:textId="77777777" w:rsidR="00BF2330" w:rsidRPr="00BF2330" w:rsidRDefault="00BF2330" w:rsidP="00BF2330">
      <w:pPr>
        <w:spacing w:before="100" w:beforeAutospacing="1" w:after="100" w:afterAutospacing="1"/>
        <w:rPr>
          <w:rFonts w:ascii="Cambria" w:eastAsia="Times New Roman" w:hAnsi="Cambria" w:cs="Times New Roman"/>
          <w:u w:val="single"/>
        </w:rPr>
      </w:pPr>
      <w:r w:rsidRPr="00BF2330">
        <w:rPr>
          <w:rFonts w:ascii="Cambria" w:eastAsia="Times New Roman" w:hAnsi="Cambria" w:cs="Times New Roman"/>
          <w:b/>
          <w:bCs/>
          <w:u w:val="single"/>
        </w:rPr>
        <w:t xml:space="preserve">Extracurricular Activities Fees </w:t>
      </w:r>
    </w:p>
    <w:p w14:paraId="523021E8" w14:textId="08B43BF0" w:rsidR="00BF2330" w:rsidRPr="00485967" w:rsidRDefault="00FA5284" w:rsidP="00BF2330">
      <w:pPr>
        <w:spacing w:before="100" w:beforeAutospacing="1" w:after="100" w:afterAutospacing="1"/>
        <w:rPr>
          <w:rFonts w:ascii="Cambria" w:eastAsia="Times New Roman" w:hAnsi="Cambria" w:cs="Times New Roman"/>
          <w:color w:val="000000" w:themeColor="text1"/>
        </w:rPr>
      </w:pPr>
      <w:r w:rsidRPr="00485967">
        <w:rPr>
          <w:rFonts w:ascii="Cambria" w:eastAsia="Times New Roman" w:hAnsi="Cambria" w:cs="Times New Roman"/>
          <w:color w:val="000000" w:themeColor="text1"/>
        </w:rPr>
        <w:t xml:space="preserve">Non-enrolled </w:t>
      </w:r>
      <w:r w:rsidR="00BF2330" w:rsidRPr="00485967">
        <w:rPr>
          <w:rFonts w:ascii="Cambria" w:eastAsia="Times New Roman" w:hAnsi="Cambria" w:cs="Times New Roman"/>
          <w:color w:val="000000" w:themeColor="text1"/>
        </w:rPr>
        <w:t xml:space="preserve">students who participate in an extracurricular activity at a District school shall pay the same fees as required of fully enrolled District school students to participate in an extracurricular activity. </w:t>
      </w:r>
    </w:p>
    <w:p w14:paraId="1B919368" w14:textId="201E550D" w:rsidR="00BF2330" w:rsidRPr="00BF2330" w:rsidRDefault="00BF2330" w:rsidP="00BF2330">
      <w:pPr>
        <w:spacing w:before="100" w:beforeAutospacing="1" w:after="100" w:afterAutospacing="1"/>
        <w:rPr>
          <w:rFonts w:ascii="Cambria" w:eastAsia="Times New Roman" w:hAnsi="Cambria" w:cs="Times New Roman"/>
        </w:rPr>
      </w:pPr>
      <w:r w:rsidRPr="00485967">
        <w:rPr>
          <w:rFonts w:ascii="Cambria" w:eastAsia="Times New Roman" w:hAnsi="Cambria" w:cs="Times New Roman"/>
          <w:color w:val="000000" w:themeColor="text1"/>
        </w:rPr>
        <w:t xml:space="preserve">If the District imposes a mandatory student activity fee for a student enrolled in a District school, the fee may be imposed on a </w:t>
      </w:r>
      <w:r w:rsidR="00FA5284" w:rsidRPr="00485967">
        <w:rPr>
          <w:rFonts w:ascii="Cambria" w:eastAsia="Times New Roman" w:hAnsi="Cambria" w:cs="Times New Roman"/>
          <w:color w:val="000000" w:themeColor="text1"/>
        </w:rPr>
        <w:t xml:space="preserve">non-enrolled </w:t>
      </w:r>
      <w:r w:rsidRPr="00485967">
        <w:rPr>
          <w:rFonts w:ascii="Cambria" w:eastAsia="Times New Roman" w:hAnsi="Cambria" w:cs="Times New Roman"/>
          <w:color w:val="000000" w:themeColor="text1"/>
        </w:rPr>
        <w:t xml:space="preserve">student who participates in an extracurricular activity at a District school if the same benefits of paying the mandatory student activity fee that are available to a fully enrolled District school student are available to a </w:t>
      </w:r>
      <w:r w:rsidR="00FA5284" w:rsidRPr="00485967">
        <w:rPr>
          <w:rFonts w:ascii="Cambria" w:eastAsia="Times New Roman" w:hAnsi="Cambria" w:cs="Times New Roman"/>
          <w:color w:val="000000" w:themeColor="text1"/>
        </w:rPr>
        <w:t xml:space="preserve">non-enrolled </w:t>
      </w:r>
      <w:r w:rsidRPr="00BF2330">
        <w:rPr>
          <w:rFonts w:ascii="Cambria" w:eastAsia="Times New Roman" w:hAnsi="Cambria" w:cs="Times New Roman"/>
        </w:rPr>
        <w:t xml:space="preserve">student who participates in an extracurricular activity at the District school. </w:t>
      </w:r>
    </w:p>
    <w:p w14:paraId="3AD0B341" w14:textId="0A801686" w:rsidR="00BF2330" w:rsidRPr="00BF2330" w:rsidRDefault="00E51DA6" w:rsidP="00BF2330">
      <w:pPr>
        <w:spacing w:before="100" w:beforeAutospacing="1" w:after="100" w:afterAutospacing="1"/>
        <w:rPr>
          <w:rFonts w:ascii="Cambria" w:eastAsia="Times New Roman" w:hAnsi="Cambria" w:cs="Times New Roman"/>
        </w:rPr>
      </w:pPr>
      <w:r w:rsidRPr="00E51DA6">
        <w:rPr>
          <w:rFonts w:ascii="Cambria" w:eastAsia="Times New Roman" w:hAnsi="Cambria" w:cs="Times New Roman"/>
          <w:i/>
          <w:iCs/>
        </w:rPr>
        <w:tab/>
      </w:r>
      <w:hyperlink r:id="rId30" w:history="1">
        <w:r w:rsidR="00BF2330" w:rsidRPr="00485967">
          <w:rPr>
            <w:rStyle w:val="Hyperlink"/>
            <w:rFonts w:ascii="Cambria" w:eastAsia="Times New Roman" w:hAnsi="Cambria" w:cs="Times New Roman"/>
            <w:i/>
            <w:iCs/>
            <w:color w:val="0432FF"/>
          </w:rPr>
          <w:t>Utah Code Ann. § 53G-6-703</w:t>
        </w:r>
        <w:r w:rsidR="00FA5284" w:rsidRPr="00485967">
          <w:rPr>
            <w:rStyle w:val="Hyperlink"/>
            <w:rFonts w:ascii="Cambria" w:eastAsia="Times New Roman" w:hAnsi="Cambria" w:cs="Times New Roman"/>
            <w:i/>
            <w:iCs/>
            <w:color w:val="0432FF"/>
          </w:rPr>
          <w:t>(3)(c) (2023)</w:t>
        </w:r>
      </w:hyperlink>
      <w:r w:rsidR="00BF2330" w:rsidRPr="00485967">
        <w:rPr>
          <w:rFonts w:ascii="Cambria" w:eastAsia="Times New Roman" w:hAnsi="Cambria" w:cs="Times New Roman"/>
          <w:i/>
          <w:iCs/>
          <w:color w:val="0432FF"/>
        </w:rPr>
        <w:t xml:space="preserve"> </w:t>
      </w:r>
    </w:p>
    <w:p w14:paraId="7379A079" w14:textId="56CF9367" w:rsidR="00BF2330" w:rsidRPr="00BF2330" w:rsidRDefault="00BF2330" w:rsidP="00BF2330">
      <w:pPr>
        <w:spacing w:before="100" w:beforeAutospacing="1" w:after="100" w:afterAutospacing="1"/>
        <w:rPr>
          <w:rFonts w:ascii="Cambria" w:eastAsia="Times New Roman" w:hAnsi="Cambria" w:cs="Times New Roman"/>
        </w:rPr>
      </w:pPr>
      <w:r w:rsidRPr="00BF2330">
        <w:rPr>
          <w:rFonts w:ascii="Cambria" w:eastAsia="Times New Roman" w:hAnsi="Cambria" w:cs="Times New Roman"/>
        </w:rPr>
        <w:lastRenderedPageBreak/>
        <w:t xml:space="preserve">All fees, including school participation fees, student participation fees and activity fees shall be paid prior to student participation. School fees </w:t>
      </w:r>
      <w:r w:rsidRPr="00485967">
        <w:rPr>
          <w:rFonts w:ascii="Cambria" w:eastAsia="Times New Roman" w:hAnsi="Cambria" w:cs="Times New Roman"/>
          <w:color w:val="000000" w:themeColor="text1"/>
        </w:rPr>
        <w:t xml:space="preserve">for </w:t>
      </w:r>
      <w:r w:rsidR="00FA5284" w:rsidRPr="00485967">
        <w:rPr>
          <w:rFonts w:ascii="Cambria" w:eastAsia="Times New Roman" w:hAnsi="Cambria" w:cs="Times New Roman"/>
          <w:color w:val="000000" w:themeColor="text1"/>
        </w:rPr>
        <w:t xml:space="preserve">non-enrolled </w:t>
      </w:r>
      <w:r w:rsidRPr="00485967">
        <w:rPr>
          <w:rFonts w:ascii="Cambria" w:eastAsia="Times New Roman" w:hAnsi="Cambria" w:cs="Times New Roman"/>
          <w:color w:val="000000" w:themeColor="text1"/>
        </w:rPr>
        <w:t xml:space="preserve">students </w:t>
      </w:r>
      <w:r w:rsidRPr="00BF2330">
        <w:rPr>
          <w:rFonts w:ascii="Cambria" w:eastAsia="Times New Roman" w:hAnsi="Cambria" w:cs="Times New Roman"/>
        </w:rPr>
        <w:t xml:space="preserve">shall be waived by the District if required under Utah law and state board of education policy. However, the student’s on-line or charter school shall be responsible for payment of waived fees to the District. </w:t>
      </w:r>
    </w:p>
    <w:p w14:paraId="7ABD75A0" w14:textId="7ACD8A7E" w:rsidR="00E51DA6" w:rsidRPr="00C271CD" w:rsidRDefault="00E51DA6" w:rsidP="00C271CD">
      <w:pPr>
        <w:rPr>
          <w:rFonts w:ascii="Cambria" w:eastAsia="Times New Roman" w:hAnsi="Cambria" w:cs="Times New Roman"/>
          <w:i/>
          <w:iCs/>
          <w:color w:val="0432FF"/>
        </w:rPr>
      </w:pPr>
      <w:r w:rsidRPr="00E51DA6">
        <w:rPr>
          <w:rFonts w:ascii="Cambria" w:eastAsia="Times New Roman" w:hAnsi="Cambria" w:cs="Times New Roman"/>
          <w:i/>
          <w:iCs/>
        </w:rPr>
        <w:tab/>
      </w:r>
      <w:hyperlink r:id="rId31" w:history="1">
        <w:r w:rsidR="00BF2330" w:rsidRPr="00BF2330">
          <w:rPr>
            <w:rStyle w:val="Hyperlink"/>
            <w:rFonts w:ascii="Cambria" w:eastAsia="Times New Roman" w:hAnsi="Cambria" w:cs="Times New Roman"/>
            <w:i/>
            <w:iCs/>
            <w:color w:val="0432FF"/>
          </w:rPr>
          <w:t>Utah Admin. R277-438-4 (December 8, 2016)</w:t>
        </w:r>
      </w:hyperlink>
      <w:r w:rsidR="00BF2330" w:rsidRPr="00BF2330">
        <w:rPr>
          <w:rFonts w:ascii="Cambria" w:eastAsia="Times New Roman" w:hAnsi="Cambria" w:cs="Times New Roman"/>
          <w:i/>
          <w:iCs/>
          <w:color w:val="0432FF"/>
        </w:rPr>
        <w:t xml:space="preserve"> </w:t>
      </w:r>
    </w:p>
    <w:p w14:paraId="1C0E3653" w14:textId="6638E661" w:rsidR="00BF2330" w:rsidRPr="00BF2330" w:rsidRDefault="00E51DA6" w:rsidP="00C271CD">
      <w:pPr>
        <w:rPr>
          <w:rFonts w:ascii="Cambria" w:eastAsia="Times New Roman" w:hAnsi="Cambria" w:cs="Times New Roman"/>
          <w:color w:val="0432FF"/>
        </w:rPr>
      </w:pPr>
      <w:r w:rsidRPr="00C271CD">
        <w:rPr>
          <w:rFonts w:ascii="Cambria" w:eastAsia="Times New Roman" w:hAnsi="Cambria" w:cs="Times New Roman"/>
          <w:i/>
          <w:iCs/>
          <w:color w:val="0432FF"/>
        </w:rPr>
        <w:tab/>
      </w:r>
      <w:hyperlink r:id="rId32" w:history="1">
        <w:r w:rsidR="00BF2330" w:rsidRPr="00BF2330">
          <w:rPr>
            <w:rStyle w:val="Hyperlink"/>
            <w:rFonts w:ascii="Cambria" w:eastAsia="Times New Roman" w:hAnsi="Cambria" w:cs="Times New Roman"/>
            <w:i/>
            <w:iCs/>
            <w:color w:val="0432FF"/>
          </w:rPr>
          <w:t>Utah Admin. R277-494-3 (7) (December 16, 2020)</w:t>
        </w:r>
      </w:hyperlink>
      <w:r w:rsidR="00BF2330" w:rsidRPr="00BF2330">
        <w:rPr>
          <w:rFonts w:ascii="Cambria" w:eastAsia="Times New Roman" w:hAnsi="Cambria" w:cs="Times New Roman"/>
          <w:i/>
          <w:iCs/>
          <w:color w:val="0432FF"/>
        </w:rPr>
        <w:t xml:space="preserve"> </w:t>
      </w:r>
    </w:p>
    <w:p w14:paraId="0E36E4F7" w14:textId="77777777" w:rsidR="000D30CB" w:rsidRPr="00E51DA6" w:rsidRDefault="000D30CB">
      <w:pPr>
        <w:rPr>
          <w:rFonts w:ascii="Cambria" w:hAnsi="Cambria"/>
        </w:rPr>
      </w:pPr>
    </w:p>
    <w:sectPr w:rsidR="000D30CB" w:rsidRPr="00E51DA6" w:rsidSect="00A92AEF">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6FE9B" w14:textId="77777777" w:rsidR="00272F42" w:rsidRDefault="00272F42" w:rsidP="00BF2330">
      <w:r>
        <w:separator/>
      </w:r>
    </w:p>
  </w:endnote>
  <w:endnote w:type="continuationSeparator" w:id="0">
    <w:p w14:paraId="248F8C8E" w14:textId="77777777" w:rsidR="00272F42" w:rsidRDefault="00272F42" w:rsidP="00BF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697CD" w14:textId="77777777" w:rsidR="00272F42" w:rsidRDefault="00272F42" w:rsidP="00BF2330">
      <w:r>
        <w:separator/>
      </w:r>
    </w:p>
  </w:footnote>
  <w:footnote w:type="continuationSeparator" w:id="0">
    <w:p w14:paraId="6F3FFBE8" w14:textId="77777777" w:rsidR="00272F42" w:rsidRDefault="00272F42" w:rsidP="00BF2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50C2" w14:textId="5D0B9533" w:rsidR="00BF2330" w:rsidRPr="00BF2330" w:rsidRDefault="00BF2330" w:rsidP="00BF2330">
    <w:pPr>
      <w:pStyle w:val="Header"/>
      <w:jc w:val="right"/>
      <w:rPr>
        <w:rFonts w:ascii="Cambria" w:hAnsi="Cambria"/>
        <w:b/>
        <w:bCs/>
        <w:sz w:val="36"/>
        <w:szCs w:val="36"/>
      </w:rPr>
    </w:pPr>
    <w:r w:rsidRPr="00BF2330">
      <w:rPr>
        <w:rFonts w:ascii="Cambria" w:hAnsi="Cambria"/>
        <w:b/>
        <w:bCs/>
        <w:sz w:val="36"/>
        <w:szCs w:val="36"/>
      </w:rPr>
      <w:t>Student Activities: Non-enrolled District Students Participation in Extracurricular Activities - FFD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479"/>
    <w:multiLevelType w:val="multilevel"/>
    <w:tmpl w:val="811A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73950"/>
    <w:multiLevelType w:val="multilevel"/>
    <w:tmpl w:val="0CC6791A"/>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77A04"/>
    <w:multiLevelType w:val="multilevel"/>
    <w:tmpl w:val="DC46E5F8"/>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528A"/>
    <w:multiLevelType w:val="multilevel"/>
    <w:tmpl w:val="44B08FA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B2D63"/>
    <w:multiLevelType w:val="hybridMultilevel"/>
    <w:tmpl w:val="101C57E8"/>
    <w:lvl w:ilvl="0" w:tplc="D8F86402">
      <w:start w:val="1"/>
      <w:numFmt w:val="decimal"/>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57707"/>
    <w:multiLevelType w:val="multilevel"/>
    <w:tmpl w:val="AB7A02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65D33"/>
    <w:multiLevelType w:val="multilevel"/>
    <w:tmpl w:val="AB7A02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D5E17F1"/>
    <w:multiLevelType w:val="multilevel"/>
    <w:tmpl w:val="740E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F3669"/>
    <w:multiLevelType w:val="multilevel"/>
    <w:tmpl w:val="44B08FA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C509A"/>
    <w:multiLevelType w:val="multilevel"/>
    <w:tmpl w:val="0CC6791A"/>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65DA8"/>
    <w:multiLevelType w:val="multilevel"/>
    <w:tmpl w:val="7AAEE5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C415524"/>
    <w:multiLevelType w:val="multilevel"/>
    <w:tmpl w:val="0BD43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E82B4F"/>
    <w:multiLevelType w:val="multilevel"/>
    <w:tmpl w:val="5EFA2E08"/>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C3551A"/>
    <w:multiLevelType w:val="hybridMultilevel"/>
    <w:tmpl w:val="9AD8E9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6E601A"/>
    <w:multiLevelType w:val="multilevel"/>
    <w:tmpl w:val="0CC6791A"/>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A5D35"/>
    <w:multiLevelType w:val="hybridMultilevel"/>
    <w:tmpl w:val="1C58E3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9B046A"/>
    <w:multiLevelType w:val="multilevel"/>
    <w:tmpl w:val="0CC6791A"/>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0E2F17"/>
    <w:multiLevelType w:val="multilevel"/>
    <w:tmpl w:val="0CC6791A"/>
    <w:styleLink w:val="CurrentList1"/>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F850CC"/>
    <w:multiLevelType w:val="hybridMultilevel"/>
    <w:tmpl w:val="B872A00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94519"/>
    <w:multiLevelType w:val="multilevel"/>
    <w:tmpl w:val="5EFA2E08"/>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F1A5C"/>
    <w:multiLevelType w:val="multilevel"/>
    <w:tmpl w:val="C928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517512">
    <w:abstractNumId w:val="7"/>
  </w:num>
  <w:num w:numId="2" w16cid:durableId="810907159">
    <w:abstractNumId w:val="21"/>
  </w:num>
  <w:num w:numId="3" w16cid:durableId="753167181">
    <w:abstractNumId w:val="11"/>
  </w:num>
  <w:num w:numId="4" w16cid:durableId="897206317">
    <w:abstractNumId w:val="2"/>
  </w:num>
  <w:num w:numId="5" w16cid:durableId="1005981175">
    <w:abstractNumId w:val="3"/>
  </w:num>
  <w:num w:numId="6" w16cid:durableId="2040156869">
    <w:abstractNumId w:val="8"/>
  </w:num>
  <w:num w:numId="7" w16cid:durableId="102070925">
    <w:abstractNumId w:val="5"/>
  </w:num>
  <w:num w:numId="8" w16cid:durableId="951009524">
    <w:abstractNumId w:val="12"/>
  </w:num>
  <w:num w:numId="9" w16cid:durableId="185295236">
    <w:abstractNumId w:val="0"/>
  </w:num>
  <w:num w:numId="10" w16cid:durableId="1417290359">
    <w:abstractNumId w:val="19"/>
  </w:num>
  <w:num w:numId="11" w16cid:durableId="1199511787">
    <w:abstractNumId w:val="9"/>
  </w:num>
  <w:num w:numId="12" w16cid:durableId="1297955342">
    <w:abstractNumId w:val="4"/>
  </w:num>
  <w:num w:numId="13" w16cid:durableId="1047413141">
    <w:abstractNumId w:val="6"/>
  </w:num>
  <w:num w:numId="14" w16cid:durableId="2140175676">
    <w:abstractNumId w:val="14"/>
  </w:num>
  <w:num w:numId="15" w16cid:durableId="1727991431">
    <w:abstractNumId w:val="1"/>
  </w:num>
  <w:num w:numId="16" w16cid:durableId="1557399483">
    <w:abstractNumId w:val="15"/>
  </w:num>
  <w:num w:numId="17" w16cid:durableId="1004165921">
    <w:abstractNumId w:val="17"/>
  </w:num>
  <w:num w:numId="18" w16cid:durableId="1281648556">
    <w:abstractNumId w:val="18"/>
  </w:num>
  <w:num w:numId="19" w16cid:durableId="703871350">
    <w:abstractNumId w:val="10"/>
  </w:num>
  <w:num w:numId="20" w16cid:durableId="631445179">
    <w:abstractNumId w:val="20"/>
  </w:num>
  <w:num w:numId="21" w16cid:durableId="42750485">
    <w:abstractNumId w:val="13"/>
  </w:num>
  <w:num w:numId="22" w16cid:durableId="1642422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30"/>
    <w:rsid w:val="000D30CB"/>
    <w:rsid w:val="00243DDD"/>
    <w:rsid w:val="00272F42"/>
    <w:rsid w:val="00485967"/>
    <w:rsid w:val="005E6E78"/>
    <w:rsid w:val="00953E3D"/>
    <w:rsid w:val="00A92AEF"/>
    <w:rsid w:val="00B971D6"/>
    <w:rsid w:val="00BF2330"/>
    <w:rsid w:val="00C271CD"/>
    <w:rsid w:val="00E51DA6"/>
    <w:rsid w:val="00FA5284"/>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4AECA"/>
  <w15:chartTrackingRefBased/>
  <w15:docId w15:val="{2BD2A75C-BB16-EB4F-98A2-E66C1CCF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B971D6"/>
    <w:pPr>
      <w:keepNext/>
      <w:spacing w:before="240" w:after="60"/>
      <w:outlineLvl w:val="2"/>
    </w:pPr>
    <w:rPr>
      <w:rFonts w:ascii="Arial" w:eastAsia="Times New Roman"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BF233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F2330"/>
    <w:pPr>
      <w:tabs>
        <w:tab w:val="center" w:pos="4680"/>
        <w:tab w:val="right" w:pos="9360"/>
      </w:tabs>
    </w:pPr>
  </w:style>
  <w:style w:type="character" w:customStyle="1" w:styleId="HeaderChar">
    <w:name w:val="Header Char"/>
    <w:basedOn w:val="DefaultParagraphFont"/>
    <w:link w:val="Header"/>
    <w:uiPriority w:val="99"/>
    <w:rsid w:val="00BF2330"/>
  </w:style>
  <w:style w:type="paragraph" w:styleId="Footer">
    <w:name w:val="footer"/>
    <w:basedOn w:val="Normal"/>
    <w:link w:val="FooterChar"/>
    <w:uiPriority w:val="99"/>
    <w:unhideWhenUsed/>
    <w:rsid w:val="00BF2330"/>
    <w:pPr>
      <w:tabs>
        <w:tab w:val="center" w:pos="4680"/>
        <w:tab w:val="right" w:pos="9360"/>
      </w:tabs>
    </w:pPr>
  </w:style>
  <w:style w:type="character" w:customStyle="1" w:styleId="FooterChar">
    <w:name w:val="Footer Char"/>
    <w:basedOn w:val="DefaultParagraphFont"/>
    <w:link w:val="Footer"/>
    <w:uiPriority w:val="99"/>
    <w:rsid w:val="00BF2330"/>
  </w:style>
  <w:style w:type="paragraph" w:styleId="ListParagraph">
    <w:name w:val="List Paragraph"/>
    <w:basedOn w:val="Normal"/>
    <w:uiPriority w:val="34"/>
    <w:qFormat/>
    <w:rsid w:val="00BF2330"/>
    <w:pPr>
      <w:ind w:left="720"/>
      <w:contextualSpacing/>
    </w:pPr>
  </w:style>
  <w:style w:type="character" w:styleId="Hyperlink">
    <w:name w:val="Hyperlink"/>
    <w:basedOn w:val="DefaultParagraphFont"/>
    <w:uiPriority w:val="99"/>
    <w:unhideWhenUsed/>
    <w:rsid w:val="00E51DA6"/>
    <w:rPr>
      <w:color w:val="0563C1" w:themeColor="hyperlink"/>
      <w:u w:val="single"/>
    </w:rPr>
  </w:style>
  <w:style w:type="character" w:styleId="UnresolvedMention">
    <w:name w:val="Unresolved Mention"/>
    <w:basedOn w:val="DefaultParagraphFont"/>
    <w:uiPriority w:val="99"/>
    <w:semiHidden/>
    <w:unhideWhenUsed/>
    <w:rsid w:val="00E51DA6"/>
    <w:rPr>
      <w:color w:val="605E5C"/>
      <w:shd w:val="clear" w:color="auto" w:fill="E1DFDD"/>
    </w:rPr>
  </w:style>
  <w:style w:type="numbering" w:customStyle="1" w:styleId="CurrentList1">
    <w:name w:val="Current List1"/>
    <w:uiPriority w:val="99"/>
    <w:rsid w:val="00B971D6"/>
    <w:pPr>
      <w:numPr>
        <w:numId w:val="18"/>
      </w:numPr>
    </w:pPr>
  </w:style>
  <w:style w:type="character" w:styleId="FollowedHyperlink">
    <w:name w:val="FollowedHyperlink"/>
    <w:basedOn w:val="DefaultParagraphFont"/>
    <w:uiPriority w:val="99"/>
    <w:semiHidden/>
    <w:unhideWhenUsed/>
    <w:rsid w:val="00B971D6"/>
    <w:rPr>
      <w:color w:val="954F72" w:themeColor="followedHyperlink"/>
      <w:u w:val="single"/>
    </w:rPr>
  </w:style>
  <w:style w:type="character" w:customStyle="1" w:styleId="Heading3Char">
    <w:name w:val="Heading 3 Char"/>
    <w:basedOn w:val="DefaultParagraphFont"/>
    <w:link w:val="Heading3"/>
    <w:rsid w:val="00B971D6"/>
    <w:rPr>
      <w:rFonts w:ascii="Arial" w:eastAsia="Times New Roman" w:hAnsi="Arial" w:cs="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224538">
      <w:bodyDiv w:val="1"/>
      <w:marLeft w:val="0"/>
      <w:marRight w:val="0"/>
      <w:marTop w:val="0"/>
      <w:marBottom w:val="0"/>
      <w:divBdr>
        <w:top w:val="none" w:sz="0" w:space="0" w:color="auto"/>
        <w:left w:val="none" w:sz="0" w:space="0" w:color="auto"/>
        <w:bottom w:val="none" w:sz="0" w:space="0" w:color="auto"/>
        <w:right w:val="none" w:sz="0" w:space="0" w:color="auto"/>
      </w:divBdr>
      <w:divsChild>
        <w:div w:id="1029916991">
          <w:marLeft w:val="0"/>
          <w:marRight w:val="0"/>
          <w:marTop w:val="0"/>
          <w:marBottom w:val="0"/>
          <w:divBdr>
            <w:top w:val="none" w:sz="0" w:space="0" w:color="auto"/>
            <w:left w:val="none" w:sz="0" w:space="0" w:color="auto"/>
            <w:bottom w:val="none" w:sz="0" w:space="0" w:color="auto"/>
            <w:right w:val="none" w:sz="0" w:space="0" w:color="auto"/>
          </w:divBdr>
          <w:divsChild>
            <w:div w:id="1337656686">
              <w:marLeft w:val="0"/>
              <w:marRight w:val="0"/>
              <w:marTop w:val="0"/>
              <w:marBottom w:val="0"/>
              <w:divBdr>
                <w:top w:val="none" w:sz="0" w:space="0" w:color="auto"/>
                <w:left w:val="none" w:sz="0" w:space="0" w:color="auto"/>
                <w:bottom w:val="none" w:sz="0" w:space="0" w:color="auto"/>
                <w:right w:val="none" w:sz="0" w:space="0" w:color="auto"/>
              </w:divBdr>
              <w:divsChild>
                <w:div w:id="1871338061">
                  <w:marLeft w:val="0"/>
                  <w:marRight w:val="0"/>
                  <w:marTop w:val="0"/>
                  <w:marBottom w:val="0"/>
                  <w:divBdr>
                    <w:top w:val="none" w:sz="0" w:space="0" w:color="auto"/>
                    <w:left w:val="none" w:sz="0" w:space="0" w:color="auto"/>
                    <w:bottom w:val="none" w:sz="0" w:space="0" w:color="auto"/>
                    <w:right w:val="none" w:sz="0" w:space="0" w:color="auto"/>
                  </w:divBdr>
                </w:div>
              </w:divsChild>
            </w:div>
            <w:div w:id="2010475752">
              <w:marLeft w:val="0"/>
              <w:marRight w:val="0"/>
              <w:marTop w:val="0"/>
              <w:marBottom w:val="0"/>
              <w:divBdr>
                <w:top w:val="none" w:sz="0" w:space="0" w:color="auto"/>
                <w:left w:val="none" w:sz="0" w:space="0" w:color="auto"/>
                <w:bottom w:val="none" w:sz="0" w:space="0" w:color="auto"/>
                <w:right w:val="none" w:sz="0" w:space="0" w:color="auto"/>
              </w:divBdr>
              <w:divsChild>
                <w:div w:id="1630160313">
                  <w:marLeft w:val="0"/>
                  <w:marRight w:val="0"/>
                  <w:marTop w:val="0"/>
                  <w:marBottom w:val="0"/>
                  <w:divBdr>
                    <w:top w:val="none" w:sz="0" w:space="0" w:color="auto"/>
                    <w:left w:val="none" w:sz="0" w:space="0" w:color="auto"/>
                    <w:bottom w:val="none" w:sz="0" w:space="0" w:color="auto"/>
                    <w:right w:val="none" w:sz="0" w:space="0" w:color="auto"/>
                  </w:divBdr>
                </w:div>
              </w:divsChild>
            </w:div>
            <w:div w:id="1998074039">
              <w:marLeft w:val="0"/>
              <w:marRight w:val="0"/>
              <w:marTop w:val="0"/>
              <w:marBottom w:val="0"/>
              <w:divBdr>
                <w:top w:val="none" w:sz="0" w:space="0" w:color="auto"/>
                <w:left w:val="none" w:sz="0" w:space="0" w:color="auto"/>
                <w:bottom w:val="none" w:sz="0" w:space="0" w:color="auto"/>
                <w:right w:val="none" w:sz="0" w:space="0" w:color="auto"/>
              </w:divBdr>
              <w:divsChild>
                <w:div w:id="490172040">
                  <w:marLeft w:val="0"/>
                  <w:marRight w:val="0"/>
                  <w:marTop w:val="0"/>
                  <w:marBottom w:val="0"/>
                  <w:divBdr>
                    <w:top w:val="none" w:sz="0" w:space="0" w:color="auto"/>
                    <w:left w:val="none" w:sz="0" w:space="0" w:color="auto"/>
                    <w:bottom w:val="none" w:sz="0" w:space="0" w:color="auto"/>
                    <w:right w:val="none" w:sz="0" w:space="0" w:color="auto"/>
                  </w:divBdr>
                </w:div>
              </w:divsChild>
            </w:div>
            <w:div w:id="779300391">
              <w:marLeft w:val="0"/>
              <w:marRight w:val="0"/>
              <w:marTop w:val="0"/>
              <w:marBottom w:val="0"/>
              <w:divBdr>
                <w:top w:val="none" w:sz="0" w:space="0" w:color="auto"/>
                <w:left w:val="none" w:sz="0" w:space="0" w:color="auto"/>
                <w:bottom w:val="none" w:sz="0" w:space="0" w:color="auto"/>
                <w:right w:val="none" w:sz="0" w:space="0" w:color="auto"/>
              </w:divBdr>
              <w:divsChild>
                <w:div w:id="2015064587">
                  <w:marLeft w:val="0"/>
                  <w:marRight w:val="0"/>
                  <w:marTop w:val="0"/>
                  <w:marBottom w:val="0"/>
                  <w:divBdr>
                    <w:top w:val="none" w:sz="0" w:space="0" w:color="auto"/>
                    <w:left w:val="none" w:sz="0" w:space="0" w:color="auto"/>
                    <w:bottom w:val="none" w:sz="0" w:space="0" w:color="auto"/>
                    <w:right w:val="none" w:sz="0" w:space="0" w:color="auto"/>
                  </w:divBdr>
                </w:div>
              </w:divsChild>
            </w:div>
            <w:div w:id="255410661">
              <w:marLeft w:val="0"/>
              <w:marRight w:val="0"/>
              <w:marTop w:val="0"/>
              <w:marBottom w:val="0"/>
              <w:divBdr>
                <w:top w:val="none" w:sz="0" w:space="0" w:color="auto"/>
                <w:left w:val="none" w:sz="0" w:space="0" w:color="auto"/>
                <w:bottom w:val="none" w:sz="0" w:space="0" w:color="auto"/>
                <w:right w:val="none" w:sz="0" w:space="0" w:color="auto"/>
              </w:divBdr>
              <w:divsChild>
                <w:div w:id="544759438">
                  <w:marLeft w:val="0"/>
                  <w:marRight w:val="0"/>
                  <w:marTop w:val="0"/>
                  <w:marBottom w:val="0"/>
                  <w:divBdr>
                    <w:top w:val="none" w:sz="0" w:space="0" w:color="auto"/>
                    <w:left w:val="none" w:sz="0" w:space="0" w:color="auto"/>
                    <w:bottom w:val="none" w:sz="0" w:space="0" w:color="auto"/>
                    <w:right w:val="none" w:sz="0" w:space="0" w:color="auto"/>
                  </w:divBdr>
                </w:div>
              </w:divsChild>
            </w:div>
            <w:div w:id="164975007">
              <w:marLeft w:val="0"/>
              <w:marRight w:val="0"/>
              <w:marTop w:val="0"/>
              <w:marBottom w:val="0"/>
              <w:divBdr>
                <w:top w:val="none" w:sz="0" w:space="0" w:color="auto"/>
                <w:left w:val="none" w:sz="0" w:space="0" w:color="auto"/>
                <w:bottom w:val="none" w:sz="0" w:space="0" w:color="auto"/>
                <w:right w:val="none" w:sz="0" w:space="0" w:color="auto"/>
              </w:divBdr>
              <w:divsChild>
                <w:div w:id="2050840435">
                  <w:marLeft w:val="0"/>
                  <w:marRight w:val="0"/>
                  <w:marTop w:val="0"/>
                  <w:marBottom w:val="0"/>
                  <w:divBdr>
                    <w:top w:val="none" w:sz="0" w:space="0" w:color="auto"/>
                    <w:left w:val="none" w:sz="0" w:space="0" w:color="auto"/>
                    <w:bottom w:val="none" w:sz="0" w:space="0" w:color="auto"/>
                    <w:right w:val="none" w:sz="0" w:space="0" w:color="auto"/>
                  </w:divBdr>
                </w:div>
              </w:divsChild>
            </w:div>
            <w:div w:id="1644971106">
              <w:marLeft w:val="0"/>
              <w:marRight w:val="0"/>
              <w:marTop w:val="0"/>
              <w:marBottom w:val="0"/>
              <w:divBdr>
                <w:top w:val="none" w:sz="0" w:space="0" w:color="auto"/>
                <w:left w:val="none" w:sz="0" w:space="0" w:color="auto"/>
                <w:bottom w:val="none" w:sz="0" w:space="0" w:color="auto"/>
                <w:right w:val="none" w:sz="0" w:space="0" w:color="auto"/>
              </w:divBdr>
              <w:divsChild>
                <w:div w:id="1761098475">
                  <w:marLeft w:val="0"/>
                  <w:marRight w:val="0"/>
                  <w:marTop w:val="0"/>
                  <w:marBottom w:val="0"/>
                  <w:divBdr>
                    <w:top w:val="none" w:sz="0" w:space="0" w:color="auto"/>
                    <w:left w:val="none" w:sz="0" w:space="0" w:color="auto"/>
                    <w:bottom w:val="none" w:sz="0" w:space="0" w:color="auto"/>
                    <w:right w:val="none" w:sz="0" w:space="0" w:color="auto"/>
                  </w:divBdr>
                </w:div>
                <w:div w:id="1944070566">
                  <w:marLeft w:val="0"/>
                  <w:marRight w:val="0"/>
                  <w:marTop w:val="0"/>
                  <w:marBottom w:val="0"/>
                  <w:divBdr>
                    <w:top w:val="none" w:sz="0" w:space="0" w:color="auto"/>
                    <w:left w:val="none" w:sz="0" w:space="0" w:color="auto"/>
                    <w:bottom w:val="none" w:sz="0" w:space="0" w:color="auto"/>
                    <w:right w:val="none" w:sz="0" w:space="0" w:color="auto"/>
                  </w:divBdr>
                </w:div>
              </w:divsChild>
            </w:div>
            <w:div w:id="1732918590">
              <w:marLeft w:val="0"/>
              <w:marRight w:val="0"/>
              <w:marTop w:val="0"/>
              <w:marBottom w:val="0"/>
              <w:divBdr>
                <w:top w:val="none" w:sz="0" w:space="0" w:color="auto"/>
                <w:left w:val="none" w:sz="0" w:space="0" w:color="auto"/>
                <w:bottom w:val="none" w:sz="0" w:space="0" w:color="auto"/>
                <w:right w:val="none" w:sz="0" w:space="0" w:color="auto"/>
              </w:divBdr>
              <w:divsChild>
                <w:div w:id="1052926312">
                  <w:marLeft w:val="0"/>
                  <w:marRight w:val="0"/>
                  <w:marTop w:val="0"/>
                  <w:marBottom w:val="0"/>
                  <w:divBdr>
                    <w:top w:val="none" w:sz="0" w:space="0" w:color="auto"/>
                    <w:left w:val="none" w:sz="0" w:space="0" w:color="auto"/>
                    <w:bottom w:val="none" w:sz="0" w:space="0" w:color="auto"/>
                    <w:right w:val="none" w:sz="0" w:space="0" w:color="auto"/>
                  </w:divBdr>
                </w:div>
              </w:divsChild>
            </w:div>
            <w:div w:id="45182081">
              <w:marLeft w:val="0"/>
              <w:marRight w:val="0"/>
              <w:marTop w:val="0"/>
              <w:marBottom w:val="0"/>
              <w:divBdr>
                <w:top w:val="none" w:sz="0" w:space="0" w:color="auto"/>
                <w:left w:val="none" w:sz="0" w:space="0" w:color="auto"/>
                <w:bottom w:val="none" w:sz="0" w:space="0" w:color="auto"/>
                <w:right w:val="none" w:sz="0" w:space="0" w:color="auto"/>
              </w:divBdr>
              <w:divsChild>
                <w:div w:id="21194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9722">
          <w:marLeft w:val="0"/>
          <w:marRight w:val="0"/>
          <w:marTop w:val="0"/>
          <w:marBottom w:val="0"/>
          <w:divBdr>
            <w:top w:val="none" w:sz="0" w:space="0" w:color="auto"/>
            <w:left w:val="none" w:sz="0" w:space="0" w:color="auto"/>
            <w:bottom w:val="none" w:sz="0" w:space="0" w:color="auto"/>
            <w:right w:val="none" w:sz="0" w:space="0" w:color="auto"/>
          </w:divBdr>
          <w:divsChild>
            <w:div w:id="859046582">
              <w:marLeft w:val="0"/>
              <w:marRight w:val="0"/>
              <w:marTop w:val="0"/>
              <w:marBottom w:val="0"/>
              <w:divBdr>
                <w:top w:val="none" w:sz="0" w:space="0" w:color="auto"/>
                <w:left w:val="none" w:sz="0" w:space="0" w:color="auto"/>
                <w:bottom w:val="none" w:sz="0" w:space="0" w:color="auto"/>
                <w:right w:val="none" w:sz="0" w:space="0" w:color="auto"/>
              </w:divBdr>
              <w:divsChild>
                <w:div w:id="42557558">
                  <w:marLeft w:val="0"/>
                  <w:marRight w:val="0"/>
                  <w:marTop w:val="0"/>
                  <w:marBottom w:val="0"/>
                  <w:divBdr>
                    <w:top w:val="none" w:sz="0" w:space="0" w:color="auto"/>
                    <w:left w:val="none" w:sz="0" w:space="0" w:color="auto"/>
                    <w:bottom w:val="none" w:sz="0" w:space="0" w:color="auto"/>
                    <w:right w:val="none" w:sz="0" w:space="0" w:color="auto"/>
                  </w:divBdr>
                </w:div>
              </w:divsChild>
            </w:div>
            <w:div w:id="153842767">
              <w:marLeft w:val="0"/>
              <w:marRight w:val="0"/>
              <w:marTop w:val="0"/>
              <w:marBottom w:val="0"/>
              <w:divBdr>
                <w:top w:val="none" w:sz="0" w:space="0" w:color="auto"/>
                <w:left w:val="none" w:sz="0" w:space="0" w:color="auto"/>
                <w:bottom w:val="none" w:sz="0" w:space="0" w:color="auto"/>
                <w:right w:val="none" w:sz="0" w:space="0" w:color="auto"/>
              </w:divBdr>
              <w:divsChild>
                <w:div w:id="2353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2609">
          <w:marLeft w:val="0"/>
          <w:marRight w:val="0"/>
          <w:marTop w:val="0"/>
          <w:marBottom w:val="0"/>
          <w:divBdr>
            <w:top w:val="none" w:sz="0" w:space="0" w:color="auto"/>
            <w:left w:val="none" w:sz="0" w:space="0" w:color="auto"/>
            <w:bottom w:val="none" w:sz="0" w:space="0" w:color="auto"/>
            <w:right w:val="none" w:sz="0" w:space="0" w:color="auto"/>
          </w:divBdr>
          <w:divsChild>
            <w:div w:id="51314792">
              <w:marLeft w:val="0"/>
              <w:marRight w:val="0"/>
              <w:marTop w:val="0"/>
              <w:marBottom w:val="0"/>
              <w:divBdr>
                <w:top w:val="none" w:sz="0" w:space="0" w:color="auto"/>
                <w:left w:val="none" w:sz="0" w:space="0" w:color="auto"/>
                <w:bottom w:val="none" w:sz="0" w:space="0" w:color="auto"/>
                <w:right w:val="none" w:sz="0" w:space="0" w:color="auto"/>
              </w:divBdr>
              <w:divsChild>
                <w:div w:id="634221066">
                  <w:marLeft w:val="0"/>
                  <w:marRight w:val="0"/>
                  <w:marTop w:val="0"/>
                  <w:marBottom w:val="0"/>
                  <w:divBdr>
                    <w:top w:val="none" w:sz="0" w:space="0" w:color="auto"/>
                    <w:left w:val="none" w:sz="0" w:space="0" w:color="auto"/>
                    <w:bottom w:val="none" w:sz="0" w:space="0" w:color="auto"/>
                    <w:right w:val="none" w:sz="0" w:space="0" w:color="auto"/>
                  </w:divBdr>
                </w:div>
              </w:divsChild>
            </w:div>
            <w:div w:id="507671301">
              <w:marLeft w:val="0"/>
              <w:marRight w:val="0"/>
              <w:marTop w:val="0"/>
              <w:marBottom w:val="0"/>
              <w:divBdr>
                <w:top w:val="none" w:sz="0" w:space="0" w:color="auto"/>
                <w:left w:val="none" w:sz="0" w:space="0" w:color="auto"/>
                <w:bottom w:val="none" w:sz="0" w:space="0" w:color="auto"/>
                <w:right w:val="none" w:sz="0" w:space="0" w:color="auto"/>
              </w:divBdr>
              <w:divsChild>
                <w:div w:id="55018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1940">
          <w:marLeft w:val="0"/>
          <w:marRight w:val="0"/>
          <w:marTop w:val="0"/>
          <w:marBottom w:val="0"/>
          <w:divBdr>
            <w:top w:val="none" w:sz="0" w:space="0" w:color="auto"/>
            <w:left w:val="none" w:sz="0" w:space="0" w:color="auto"/>
            <w:bottom w:val="none" w:sz="0" w:space="0" w:color="auto"/>
            <w:right w:val="none" w:sz="0" w:space="0" w:color="auto"/>
          </w:divBdr>
          <w:divsChild>
            <w:div w:id="865291535">
              <w:marLeft w:val="0"/>
              <w:marRight w:val="0"/>
              <w:marTop w:val="0"/>
              <w:marBottom w:val="0"/>
              <w:divBdr>
                <w:top w:val="none" w:sz="0" w:space="0" w:color="auto"/>
                <w:left w:val="none" w:sz="0" w:space="0" w:color="auto"/>
                <w:bottom w:val="none" w:sz="0" w:space="0" w:color="auto"/>
                <w:right w:val="none" w:sz="0" w:space="0" w:color="auto"/>
              </w:divBdr>
              <w:divsChild>
                <w:div w:id="1649822093">
                  <w:marLeft w:val="0"/>
                  <w:marRight w:val="0"/>
                  <w:marTop w:val="0"/>
                  <w:marBottom w:val="0"/>
                  <w:divBdr>
                    <w:top w:val="none" w:sz="0" w:space="0" w:color="auto"/>
                    <w:left w:val="none" w:sz="0" w:space="0" w:color="auto"/>
                    <w:bottom w:val="none" w:sz="0" w:space="0" w:color="auto"/>
                    <w:right w:val="none" w:sz="0" w:space="0" w:color="auto"/>
                  </w:divBdr>
                </w:div>
              </w:divsChild>
            </w:div>
            <w:div w:id="1286809259">
              <w:marLeft w:val="0"/>
              <w:marRight w:val="0"/>
              <w:marTop w:val="0"/>
              <w:marBottom w:val="0"/>
              <w:divBdr>
                <w:top w:val="none" w:sz="0" w:space="0" w:color="auto"/>
                <w:left w:val="none" w:sz="0" w:space="0" w:color="auto"/>
                <w:bottom w:val="none" w:sz="0" w:space="0" w:color="auto"/>
                <w:right w:val="none" w:sz="0" w:space="0" w:color="auto"/>
              </w:divBdr>
              <w:divsChild>
                <w:div w:id="15305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6/53G-6-S703.html" TargetMode="External"/><Relationship Id="rId18" Type="http://schemas.openxmlformats.org/officeDocument/2006/relationships/hyperlink" Target="https://le.utah.gov/xcode/Title53G/Chapter6/53G-6-S703.html" TargetMode="External"/><Relationship Id="rId26" Type="http://schemas.openxmlformats.org/officeDocument/2006/relationships/hyperlink" Target="https://le.utah.gov/xcode/Title53G/Chapter6/53G-6-S703.html" TargetMode="External"/><Relationship Id="rId3" Type="http://schemas.openxmlformats.org/officeDocument/2006/relationships/settings" Target="settings.xml"/><Relationship Id="rId21" Type="http://schemas.openxmlformats.org/officeDocument/2006/relationships/hyperlink" Target="https://le.utah.gov/xcode/Title53G/Chapter6/53G-6-S704.html" TargetMode="External"/><Relationship Id="rId34" Type="http://schemas.openxmlformats.org/officeDocument/2006/relationships/fontTable" Target="fontTable.xml"/><Relationship Id="rId7" Type="http://schemas.openxmlformats.org/officeDocument/2006/relationships/hyperlink" Target="https://le.utah.gov/xcode/Title53G/Chapter6/53G-6-S703.html" TargetMode="External"/><Relationship Id="rId12" Type="http://schemas.openxmlformats.org/officeDocument/2006/relationships/hyperlink" Target="https://le.utah.gov/xcode/Title53G/Chapter6/53G-6-S703.html?v=C53G-6-S703_2018012420180124" TargetMode="External"/><Relationship Id="rId17" Type="http://schemas.openxmlformats.org/officeDocument/2006/relationships/hyperlink" Target="https://le.utah.gov/xcode/Title53G/Chapter6/53G-6-S704.html" TargetMode="External"/><Relationship Id="rId25" Type="http://schemas.openxmlformats.org/officeDocument/2006/relationships/hyperlink" Target="https://le.utah.gov/xcode/Title53G/Chapter6/53G-6-S705.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utah.gov/xcode/Title53G/Chapter6/53G-6-S705.html" TargetMode="External"/><Relationship Id="rId20" Type="http://schemas.openxmlformats.org/officeDocument/2006/relationships/hyperlink" Target="https://le.utah.gov/xcode/Title53G/Chapter6/53G-6-S703.html?v=C53G-6-S703_2018012420180124" TargetMode="External"/><Relationship Id="rId29" Type="http://schemas.openxmlformats.org/officeDocument/2006/relationships/hyperlink" Target="https://le.utah.gov/xcode/Title53G/Chapter6/53G-6-S70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7/53G-7-S501.html?v=C53G-7-S501_2020051220200512" TargetMode="External"/><Relationship Id="rId24" Type="http://schemas.openxmlformats.org/officeDocument/2006/relationships/hyperlink" Target="https://le.utah.gov/xcode/Title53G/Chapter6/53G-6-S704.html" TargetMode="External"/><Relationship Id="rId32" Type="http://schemas.openxmlformats.org/officeDocument/2006/relationships/hyperlink" Target="https://schools.utah.gov/file/51494f59-8d5f-4c77-b8b8-9af3879b6fa0" TargetMode="External"/><Relationship Id="rId5" Type="http://schemas.openxmlformats.org/officeDocument/2006/relationships/footnotes" Target="footnotes.xml"/><Relationship Id="rId15" Type="http://schemas.openxmlformats.org/officeDocument/2006/relationships/hyperlink" Target="https://le.utah.gov/xcode/Title53G/Chapter6/53G-6-S705.html" TargetMode="External"/><Relationship Id="rId23" Type="http://schemas.openxmlformats.org/officeDocument/2006/relationships/hyperlink" Target="https://le.utah.gov/xcode/Title53G/Chapter6/53G-6-S703.html?v=C53G-6-S703_2018012420180124" TargetMode="External"/><Relationship Id="rId28" Type="http://schemas.openxmlformats.org/officeDocument/2006/relationships/hyperlink" Target="https://le.utah.gov/xcode/Title53G/Chapter6/53G-6-S705.html" TargetMode="External"/><Relationship Id="rId10" Type="http://schemas.openxmlformats.org/officeDocument/2006/relationships/hyperlink" Target="https://le.utah.gov/xcode/Title53G/Chapter6/53G-6-S703.html?v=C53G-6-S703_2018012420180124" TargetMode="External"/><Relationship Id="rId19" Type="http://schemas.openxmlformats.org/officeDocument/2006/relationships/hyperlink" Target="https://le.utah.gov/xcode/Title53G/Chapter6/53G-6-S703.html" TargetMode="External"/><Relationship Id="rId31" Type="http://schemas.openxmlformats.org/officeDocument/2006/relationships/hyperlink" Target="https://schools.utah.gov/file/1f2c3782-024f-4a7d-837c-988136266a0f" TargetMode="External"/><Relationship Id="rId4" Type="http://schemas.openxmlformats.org/officeDocument/2006/relationships/webSettings" Target="webSettings.xml"/><Relationship Id="rId9" Type="http://schemas.openxmlformats.org/officeDocument/2006/relationships/hyperlink" Target="https://le.utah.gov/xcode/Title53G/Chapter7/53G-7-S1101.html?v=C53G-7-S1101_2019051420190514" TargetMode="External"/><Relationship Id="rId14" Type="http://schemas.openxmlformats.org/officeDocument/2006/relationships/hyperlink" Target="https://le.utah.gov/xcode/Title53G/Chapter6/53G-6-S705.html" TargetMode="External"/><Relationship Id="rId22" Type="http://schemas.openxmlformats.org/officeDocument/2006/relationships/hyperlink" Target="https://le.utah.gov/xcode/Title53G/Chapter6/53G-6-S705.html" TargetMode="External"/><Relationship Id="rId27" Type="http://schemas.openxmlformats.org/officeDocument/2006/relationships/hyperlink" Target="https://le.utah.gov/xcode/Title53G/Chapter6/53G-6-S704.html" TargetMode="External"/><Relationship Id="rId30" Type="http://schemas.openxmlformats.org/officeDocument/2006/relationships/hyperlink" Target="https://le.utah.gov/xcode/Title53G/Chapter6/53G-6-S703.html" TargetMode="External"/><Relationship Id="rId35" Type="http://schemas.openxmlformats.org/officeDocument/2006/relationships/theme" Target="theme/theme1.xml"/><Relationship Id="rId8" Type="http://schemas.openxmlformats.org/officeDocument/2006/relationships/hyperlink" Target="https://le.utah.gov/xcode/Title53G/Chapter6/53G-6-S703.html?v=C53G-6-S703_201801242018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2024-02-14T18:50:00Z</dcterms:created>
  <dcterms:modified xsi:type="dcterms:W3CDTF">2024-02-14T18:50:00Z</dcterms:modified>
</cp:coreProperties>
</file>