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3568" w14:textId="77777777" w:rsidR="00586FB4" w:rsidRDefault="0077122D" w:rsidP="0077122D">
      <w:pPr>
        <w:jc w:val="center"/>
      </w:pPr>
      <w:r>
        <w:rPr>
          <w:b/>
        </w:rPr>
        <w:t>HYDE PARK CITY DEVELOPMENT AGREEMENT</w:t>
      </w:r>
    </w:p>
    <w:p w14:paraId="25409ABE" w14:textId="6F8DEA5E" w:rsidR="0077122D" w:rsidRDefault="0077122D" w:rsidP="00950903">
      <w:pPr>
        <w:jc w:val="both"/>
      </w:pPr>
      <w:r>
        <w:t>This Development Agreement (“</w:t>
      </w:r>
      <w:r w:rsidRPr="0077122D">
        <w:rPr>
          <w:b/>
        </w:rPr>
        <w:t>Agreement</w:t>
      </w:r>
      <w:r>
        <w:t>”) is entered into by Hyde Park City (“</w:t>
      </w:r>
      <w:r>
        <w:rPr>
          <w:b/>
        </w:rPr>
        <w:t>City</w:t>
      </w:r>
      <w:r>
        <w:t xml:space="preserve">”) and </w:t>
      </w:r>
      <w:r w:rsidR="004A2ACB">
        <w:t>Capita Group, LLC</w:t>
      </w:r>
      <w:r>
        <w:t xml:space="preserve"> (“</w:t>
      </w:r>
      <w:r>
        <w:rPr>
          <w:b/>
        </w:rPr>
        <w:t>Developer</w:t>
      </w:r>
      <w:r>
        <w:t>”), and is effective as of the date that it is executed by both parties, as shown by the signatures contained herein.</w:t>
      </w:r>
    </w:p>
    <w:p w14:paraId="3A7D3B33" w14:textId="77777777" w:rsidR="0077122D" w:rsidRPr="0077122D" w:rsidRDefault="0077122D" w:rsidP="00950903">
      <w:pPr>
        <w:jc w:val="center"/>
        <w:rPr>
          <w:b/>
        </w:rPr>
      </w:pPr>
      <w:r>
        <w:rPr>
          <w:b/>
        </w:rPr>
        <w:t>RECITALS</w:t>
      </w:r>
    </w:p>
    <w:p w14:paraId="7154D4A3" w14:textId="25825B48" w:rsidR="0077122D" w:rsidRDefault="0077122D" w:rsidP="00950903">
      <w:pPr>
        <w:pStyle w:val="ListParagraph"/>
        <w:numPr>
          <w:ilvl w:val="0"/>
          <w:numId w:val="7"/>
        </w:numPr>
        <w:contextualSpacing w:val="0"/>
        <w:jc w:val="both"/>
      </w:pPr>
      <w:r>
        <w:t>Developer owns or otherwise has the right to develop certain property located within the City and seeks to develop the same (“</w:t>
      </w:r>
      <w:r>
        <w:rPr>
          <w:b/>
        </w:rPr>
        <w:t>Development</w:t>
      </w:r>
      <w:r>
        <w:t xml:space="preserve">”), containing approximately </w:t>
      </w:r>
      <w:r>
        <w:rPr>
          <w:u w:val="single"/>
        </w:rPr>
        <w:tab/>
      </w:r>
      <w:r w:rsidR="00553157" w:rsidRPr="00AD2074">
        <w:rPr>
          <w:u w:val="single"/>
        </w:rPr>
        <w:t>16.09</w:t>
      </w:r>
      <w:r w:rsidR="009259C2" w:rsidRPr="00AD2074">
        <w:rPr>
          <w:u w:val="single"/>
        </w:rPr>
        <w:t xml:space="preserve"> acres currently owned by Developer</w:t>
      </w:r>
      <w:r w:rsidR="007F13B4" w:rsidRPr="00AD2074">
        <w:rPr>
          <w:u w:val="single"/>
        </w:rPr>
        <w:t xml:space="preserve"> identified as Cache County Parcel Number 04-031-0002</w:t>
      </w:r>
      <w:r w:rsidR="009259C2" w:rsidRPr="00AD2074">
        <w:rPr>
          <w:u w:val="single"/>
        </w:rPr>
        <w:t xml:space="preserve"> and an additional </w:t>
      </w:r>
      <w:r w:rsidR="00553157" w:rsidRPr="00AD2074">
        <w:t xml:space="preserve">5 </w:t>
      </w:r>
      <w:r w:rsidRPr="00AD2074">
        <w:t>acres</w:t>
      </w:r>
      <w:r w:rsidR="009259C2">
        <w:t xml:space="preserve"> currently owned by the City</w:t>
      </w:r>
      <w:r w:rsidR="007F13B4">
        <w:t xml:space="preserve"> identified as the western portion of Cache County Parcel Number 04-031-0003</w:t>
      </w:r>
      <w:r w:rsidR="009259C2">
        <w:t>, which shall be developed by the Developer</w:t>
      </w:r>
      <w:r>
        <w:t>, which property is more particularly described as:</w:t>
      </w:r>
    </w:p>
    <w:p w14:paraId="5E6E6B7F" w14:textId="11A0822D" w:rsidR="0077122D" w:rsidRDefault="009906B2" w:rsidP="00950903">
      <w:pPr>
        <w:pStyle w:val="ListParagraph"/>
        <w:ind w:left="1440"/>
        <w:contextualSpacing w:val="0"/>
        <w:jc w:val="both"/>
      </w:pPr>
      <w:r w:rsidRPr="00AD2074">
        <w:t>Hyde Park Gateway Project</w:t>
      </w:r>
    </w:p>
    <w:p w14:paraId="6B085AF9" w14:textId="5B89123A" w:rsidR="00DB370F" w:rsidRPr="00DB370F" w:rsidRDefault="00DB370F" w:rsidP="00950903">
      <w:pPr>
        <w:pStyle w:val="ListParagraph"/>
        <w:ind w:left="1440"/>
        <w:contextualSpacing w:val="0"/>
        <w:jc w:val="both"/>
      </w:pPr>
      <w:r>
        <w:t xml:space="preserve">The legal description of the Property is shown in the attached </w:t>
      </w:r>
      <w:r>
        <w:rPr>
          <w:u w:val="single"/>
        </w:rPr>
        <w:t>Exhibit C</w:t>
      </w:r>
      <w:r>
        <w:t>.</w:t>
      </w:r>
    </w:p>
    <w:p w14:paraId="4D1ED1C2" w14:textId="2BADE1FC" w:rsidR="0077122D" w:rsidRDefault="0077122D" w:rsidP="00950903">
      <w:pPr>
        <w:pStyle w:val="ListParagraph"/>
        <w:numPr>
          <w:ilvl w:val="0"/>
          <w:numId w:val="7"/>
        </w:numPr>
        <w:contextualSpacing w:val="0"/>
        <w:jc w:val="both"/>
      </w:pPr>
      <w:r>
        <w:t xml:space="preserve">Prior to the approval and execution of this Agreement, the Development was zoned under applicable City land use regulations as </w:t>
      </w:r>
      <w:r>
        <w:rPr>
          <w:u w:val="single"/>
        </w:rPr>
        <w:tab/>
      </w:r>
      <w:r w:rsidR="00553157" w:rsidRPr="00AD2074">
        <w:rPr>
          <w:u w:val="single"/>
        </w:rPr>
        <w:t>Commercial, Planned Professional, and Park</w:t>
      </w:r>
      <w:r w:rsidR="00DB370F">
        <w:rPr>
          <w:u w:val="single"/>
        </w:rPr>
        <w:t xml:space="preserve">.  </w:t>
      </w:r>
      <w:r w:rsidR="00DB370F" w:rsidRPr="00AD2074">
        <w:t>As part of the Development, Developer seeks to rezone the Property to Mixed-Use Zone (MXD)</w:t>
      </w:r>
      <w:r w:rsidRPr="00AD2074">
        <w:tab/>
      </w:r>
      <w:r>
        <w:t xml:space="preserve"> (“</w:t>
      </w:r>
      <w:r>
        <w:rPr>
          <w:b/>
        </w:rPr>
        <w:t>Zoning</w:t>
      </w:r>
      <w:r>
        <w:t>”).</w:t>
      </w:r>
    </w:p>
    <w:p w14:paraId="3261EB86" w14:textId="77777777" w:rsidR="0077122D" w:rsidRDefault="0077122D" w:rsidP="00950903">
      <w:pPr>
        <w:pStyle w:val="ListParagraph"/>
        <w:numPr>
          <w:ilvl w:val="0"/>
          <w:numId w:val="7"/>
        </w:numPr>
        <w:contextualSpacing w:val="0"/>
        <w:jc w:val="both"/>
      </w:pPr>
      <w:r>
        <w:t xml:space="preserve">Developer is entitled, pursuant to governing state law and City land use regulations, to develop the Development </w:t>
      </w:r>
      <w:r w:rsidR="00A74269">
        <w:t xml:space="preserve">under </w:t>
      </w:r>
      <w:r>
        <w:t>the Zoning and to vest development rights in accordance therewith</w:t>
      </w:r>
      <w:r w:rsidR="00950903">
        <w:t>. Notwithstanding such entitlement, Developer desires to adjust the allowed uses or development standards for the Development under the Zoning in order to better meet Developer’s needs and desires for the Development.</w:t>
      </w:r>
    </w:p>
    <w:p w14:paraId="71954AAB" w14:textId="77777777" w:rsidR="003A2168" w:rsidRDefault="003A2168" w:rsidP="00950903">
      <w:pPr>
        <w:pStyle w:val="ListParagraph"/>
        <w:numPr>
          <w:ilvl w:val="0"/>
          <w:numId w:val="7"/>
        </w:numPr>
        <w:contextualSpacing w:val="0"/>
        <w:jc w:val="both"/>
      </w:pPr>
      <w:r>
        <w:t>Developer has prepared preliminary and conceptual plans and documents for the Development, which plans show the proposed density</w:t>
      </w:r>
      <w:r w:rsidR="00657DCD">
        <w:t>,</w:t>
      </w:r>
      <w:r>
        <w:t xml:space="preserve"> uses</w:t>
      </w:r>
      <w:r w:rsidR="00657DCD">
        <w:t>,</w:t>
      </w:r>
      <w:r>
        <w:t xml:space="preserve"> and layout of lots, units, roads, and other improvements for the Development (“</w:t>
      </w:r>
      <w:r>
        <w:rPr>
          <w:b/>
        </w:rPr>
        <w:t>Development Plans”</w:t>
      </w:r>
      <w:r>
        <w:t xml:space="preserve">), which Development Plans </w:t>
      </w:r>
      <w:r w:rsidR="00860843">
        <w:t xml:space="preserve">are attached and incorporated herein as </w:t>
      </w:r>
      <w:r w:rsidR="00860843" w:rsidRPr="00860843">
        <w:rPr>
          <w:u w:val="single"/>
        </w:rPr>
        <w:t>Exhibit A</w:t>
      </w:r>
      <w:r w:rsidR="00860843">
        <w:t>.</w:t>
      </w:r>
    </w:p>
    <w:p w14:paraId="075E7DE8" w14:textId="5C3DCD35" w:rsidR="0077122D" w:rsidRDefault="0077122D" w:rsidP="00950903">
      <w:pPr>
        <w:pStyle w:val="ListParagraph"/>
        <w:numPr>
          <w:ilvl w:val="0"/>
          <w:numId w:val="7"/>
        </w:numPr>
        <w:contextualSpacing w:val="0"/>
        <w:jc w:val="both"/>
      </w:pPr>
      <w:r>
        <w:t>City</w:t>
      </w:r>
      <w:r w:rsidR="00950903">
        <w:t xml:space="preserve"> has, pursuant to Hyde Park City Code 13.10.045, 13.10.070, and other applicable ordinances, determined that the approval of this Agreement with Developer, and the establishment </w:t>
      </w:r>
      <w:r w:rsidR="00657DCD">
        <w:t>t</w:t>
      </w:r>
      <w:r w:rsidR="00950903">
        <w:t xml:space="preserve">hereby of specific requirements, elements, and aspects of the Development, some or all of which are not </w:t>
      </w:r>
      <w:r w:rsidR="003A2168">
        <w:t xml:space="preserve">currently </w:t>
      </w:r>
      <w:r w:rsidR="00950903">
        <w:t xml:space="preserve">allowed under the Zoning, will result in benefits to the City and its residents that are not provided </w:t>
      </w:r>
      <w:r w:rsidR="003A2168">
        <w:t>by</w:t>
      </w:r>
      <w:r w:rsidR="00950903">
        <w:t xml:space="preserve"> the Zoning</w:t>
      </w:r>
      <w:r w:rsidR="003F7C44">
        <w:t>, but are approved by the City</w:t>
      </w:r>
      <w:r w:rsidR="00DB370F">
        <w:t xml:space="preserve"> as set forth in this Agreement</w:t>
      </w:r>
      <w:r w:rsidR="003F7C44">
        <w:t>, despite the Zoning</w:t>
      </w:r>
      <w:r w:rsidR="00950903">
        <w:t>.</w:t>
      </w:r>
    </w:p>
    <w:p w14:paraId="4F10E374" w14:textId="77777777" w:rsidR="00950903" w:rsidRDefault="00950903" w:rsidP="00950903">
      <w:pPr>
        <w:pStyle w:val="ListParagraph"/>
        <w:numPr>
          <w:ilvl w:val="0"/>
          <w:numId w:val="7"/>
        </w:numPr>
        <w:contextualSpacing w:val="0"/>
        <w:jc w:val="both"/>
      </w:pPr>
      <w:r>
        <w:t>The Parties therefore desire to enter into this Agreement in order to provide specific requirements, elements, conditions, and standards that will govern the Development.</w:t>
      </w:r>
    </w:p>
    <w:p w14:paraId="55F2BF7E" w14:textId="77777777" w:rsidR="00860843" w:rsidRPr="00860843" w:rsidRDefault="00950903" w:rsidP="00860843">
      <w:pPr>
        <w:jc w:val="center"/>
        <w:rPr>
          <w:b/>
        </w:rPr>
      </w:pPr>
      <w:r w:rsidRPr="00950903">
        <w:rPr>
          <w:b/>
        </w:rPr>
        <w:t>TERMS</w:t>
      </w:r>
    </w:p>
    <w:p w14:paraId="5CA92342" w14:textId="77777777" w:rsidR="009C2BE9" w:rsidRDefault="00133604" w:rsidP="00860843">
      <w:pPr>
        <w:pStyle w:val="ListParagraph"/>
        <w:numPr>
          <w:ilvl w:val="0"/>
          <w:numId w:val="8"/>
        </w:numPr>
        <w:contextualSpacing w:val="0"/>
        <w:jc w:val="both"/>
      </w:pPr>
      <w:r>
        <w:rPr>
          <w:b/>
          <w:u w:val="single"/>
        </w:rPr>
        <w:t xml:space="preserve">Compliance with </w:t>
      </w:r>
      <w:r w:rsidRPr="00133604">
        <w:rPr>
          <w:b/>
          <w:u w:val="single"/>
        </w:rPr>
        <w:t>Regulations.</w:t>
      </w:r>
      <w:r>
        <w:t xml:space="preserve"> </w:t>
      </w:r>
    </w:p>
    <w:p w14:paraId="5FBA76B0" w14:textId="77777777" w:rsidR="009C2BE9" w:rsidRDefault="000523B7" w:rsidP="009C2BE9">
      <w:pPr>
        <w:pStyle w:val="ListParagraph"/>
        <w:numPr>
          <w:ilvl w:val="1"/>
          <w:numId w:val="8"/>
        </w:numPr>
        <w:contextualSpacing w:val="0"/>
        <w:jc w:val="both"/>
      </w:pPr>
      <w:r>
        <w:lastRenderedPageBreak/>
        <w:t xml:space="preserve">The Development remains subject to all terms, conditions, and requirements of the Zoning and </w:t>
      </w:r>
      <w:r w:rsidR="00536B08">
        <w:t xml:space="preserve">all </w:t>
      </w:r>
      <w:r>
        <w:t xml:space="preserve">other </w:t>
      </w:r>
      <w:r w:rsidR="00536B08">
        <w:t xml:space="preserve">applicable federal, state, county, and City </w:t>
      </w:r>
      <w:r w:rsidR="00B515C8">
        <w:t xml:space="preserve">laws, </w:t>
      </w:r>
      <w:r>
        <w:t xml:space="preserve">ordinances, </w:t>
      </w:r>
      <w:r w:rsidR="00B515C8">
        <w:t xml:space="preserve">codes, </w:t>
      </w:r>
      <w:r>
        <w:t>standards, and land use regulations applicable to the Development</w:t>
      </w:r>
      <w:r w:rsidR="00536B08">
        <w:t xml:space="preserve"> and to any building, improvement, landscaping, excavation, or other work required or related to the Development</w:t>
      </w:r>
      <w:r w:rsidR="009C2BE9">
        <w:t>, including but not limited to payment of fees, provision of assurances and guarantees, and compliance with design and construction standards</w:t>
      </w:r>
      <w:r w:rsidR="00536B08">
        <w:t xml:space="preserve">. </w:t>
      </w:r>
    </w:p>
    <w:p w14:paraId="0F68245E" w14:textId="77777777" w:rsidR="009C2BE9" w:rsidRDefault="00536B08" w:rsidP="00A74269">
      <w:pPr>
        <w:pStyle w:val="ListParagraph"/>
        <w:numPr>
          <w:ilvl w:val="1"/>
          <w:numId w:val="8"/>
        </w:numPr>
        <w:contextualSpacing w:val="0"/>
        <w:jc w:val="both"/>
      </w:pPr>
      <w:r>
        <w:t xml:space="preserve">To </w:t>
      </w:r>
      <w:r w:rsidR="000523B7">
        <w:t xml:space="preserve">the extent that </w:t>
      </w:r>
      <w:r>
        <w:t xml:space="preserve">the </w:t>
      </w:r>
      <w:r w:rsidR="000523B7">
        <w:t xml:space="preserve">terms, conditions, and requirements </w:t>
      </w:r>
      <w:r>
        <w:t xml:space="preserve">of </w:t>
      </w:r>
      <w:r w:rsidR="009C2BE9">
        <w:t xml:space="preserve">this Agreement and the Development Plans expressly modify or are in </w:t>
      </w:r>
      <w:r w:rsidR="0082451D">
        <w:t>direct</w:t>
      </w:r>
      <w:r w:rsidR="009C2BE9">
        <w:t xml:space="preserve"> conflict with </w:t>
      </w:r>
      <w:r>
        <w:t xml:space="preserve">the Zoning or </w:t>
      </w:r>
      <w:r w:rsidR="009C2BE9">
        <w:t>an</w:t>
      </w:r>
      <w:r>
        <w:t>other City-adopted ordinance, standard, or land use regulation</w:t>
      </w:r>
      <w:r w:rsidR="0082451D">
        <w:t xml:space="preserve"> applicable to the Development</w:t>
      </w:r>
      <w:r w:rsidR="009C2BE9">
        <w:t>,</w:t>
      </w:r>
      <w:r>
        <w:t xml:space="preserve"> this Agreement shall control</w:t>
      </w:r>
      <w:r w:rsidR="0082451D">
        <w:t xml:space="preserve"> and take precedence</w:t>
      </w:r>
      <w:r>
        <w:t xml:space="preserve">, </w:t>
      </w:r>
      <w:r w:rsidR="000523B7">
        <w:t>but only to the extent of the express modification or direct conflict.</w:t>
      </w:r>
    </w:p>
    <w:p w14:paraId="2947E93D" w14:textId="764B8A1C" w:rsidR="00860843" w:rsidRDefault="00133604" w:rsidP="000523B7">
      <w:pPr>
        <w:pStyle w:val="ListParagraph"/>
        <w:numPr>
          <w:ilvl w:val="0"/>
          <w:numId w:val="8"/>
        </w:numPr>
        <w:contextualSpacing w:val="0"/>
        <w:jc w:val="both"/>
      </w:pPr>
      <w:r>
        <w:rPr>
          <w:b/>
          <w:u w:val="single"/>
        </w:rPr>
        <w:t>Land Use Approvals Required.</w:t>
      </w:r>
      <w:r>
        <w:t xml:space="preserve"> </w:t>
      </w:r>
      <w:r w:rsidR="00860843">
        <w:t xml:space="preserve">Developer </w:t>
      </w:r>
      <w:r w:rsidR="000523B7">
        <w:t>acknowledges that the execution of this Agreement, on its own, does not constitute preliminary or final plat approval,</w:t>
      </w:r>
      <w:r w:rsidR="00536B08">
        <w:t xml:space="preserve"> the adoption of </w:t>
      </w:r>
      <w:r w:rsidR="000523B7">
        <w:t xml:space="preserve">any land use regulation </w:t>
      </w:r>
      <w:r w:rsidR="0082451D">
        <w:t>other than th</w:t>
      </w:r>
      <w:r w:rsidR="00A74269">
        <w:t>os</w:t>
      </w:r>
      <w:r w:rsidR="0082451D">
        <w:t xml:space="preserve">e related to the Development </w:t>
      </w:r>
      <w:r w:rsidR="000523B7">
        <w:t>set forth herein, or permission to begin development, excavation, or construction regarding the Development, and that any such approval sought by the Developer shall only be granted based on Developer’s submission of all necessary applications, documentation, and information</w:t>
      </w:r>
      <w:r w:rsidR="0082451D">
        <w:t xml:space="preserve"> to the City</w:t>
      </w:r>
      <w:r w:rsidR="000523B7">
        <w:t xml:space="preserve">, and Developer’s compliance with the </w:t>
      </w:r>
      <w:r w:rsidR="00536B08">
        <w:t xml:space="preserve">applicable </w:t>
      </w:r>
      <w:r w:rsidR="000523B7">
        <w:t>terms of the City’s land use regulations, ordinances, standards, and this Agreement.</w:t>
      </w:r>
      <w:r w:rsidR="00860843">
        <w:t xml:space="preserve"> </w:t>
      </w:r>
    </w:p>
    <w:p w14:paraId="46CBA0C0" w14:textId="558713D2" w:rsidR="00950903" w:rsidRDefault="00133604" w:rsidP="00860843">
      <w:pPr>
        <w:pStyle w:val="ListParagraph"/>
        <w:numPr>
          <w:ilvl w:val="0"/>
          <w:numId w:val="8"/>
        </w:numPr>
        <w:contextualSpacing w:val="0"/>
        <w:jc w:val="both"/>
      </w:pPr>
      <w:r>
        <w:rPr>
          <w:b/>
          <w:u w:val="single"/>
        </w:rPr>
        <w:t>Compliance with Development Plans.</w:t>
      </w:r>
      <w:r>
        <w:t xml:space="preserve"> </w:t>
      </w:r>
      <w:r w:rsidR="00860843">
        <w:t xml:space="preserve">Developer shall develop, construct, improve, and maintain the Development </w:t>
      </w:r>
      <w:r w:rsidR="000523B7">
        <w:t xml:space="preserve">in a manner </w:t>
      </w:r>
      <w:r>
        <w:t xml:space="preserve">substantially similar to and </w:t>
      </w:r>
      <w:r w:rsidR="00860843">
        <w:t>in substantial compliance</w:t>
      </w:r>
      <w:r>
        <w:t xml:space="preserve"> with the Development Plans, attached hereto</w:t>
      </w:r>
      <w:r w:rsidR="007F13B4">
        <w:t xml:space="preserve"> as Exhibit A</w:t>
      </w:r>
      <w:r>
        <w:t>, and the terms, conditions, and requirements</w:t>
      </w:r>
      <w:r w:rsidR="00B515C8">
        <w:t xml:space="preserve"> set forth below. The express terms of this Agreement shall control and take precedence in the event of a conflict between the Development Plans and this Agreement.</w:t>
      </w:r>
    </w:p>
    <w:p w14:paraId="0CE2CC8E" w14:textId="211C1A8D" w:rsidR="00860843" w:rsidRDefault="00860843" w:rsidP="00860843">
      <w:pPr>
        <w:pStyle w:val="ListParagraph"/>
        <w:numPr>
          <w:ilvl w:val="1"/>
          <w:numId w:val="8"/>
        </w:numPr>
        <w:contextualSpacing w:val="0"/>
        <w:jc w:val="both"/>
      </w:pPr>
      <w:r w:rsidRPr="00860843">
        <w:rPr>
          <w:u w:val="single"/>
        </w:rPr>
        <w:t>Total Residential Units</w:t>
      </w:r>
      <w:r w:rsidR="00133604" w:rsidRPr="00133604">
        <w:rPr>
          <w:u w:val="single"/>
        </w:rPr>
        <w:t>:</w:t>
      </w:r>
      <w:r>
        <w:t xml:space="preserve"> No more than </w:t>
      </w:r>
      <w:r w:rsidRPr="00AD2074">
        <w:t>[</w:t>
      </w:r>
      <w:r w:rsidR="00552DD6" w:rsidRPr="00AD2074">
        <w:t>1</w:t>
      </w:r>
      <w:r w:rsidR="009906B2" w:rsidRPr="00AD2074">
        <w:t>98</w:t>
      </w:r>
      <w:r w:rsidRPr="00AD2074">
        <w:t>]</w:t>
      </w:r>
      <w:r>
        <w:t xml:space="preserve"> residential units, allocated as follows:</w:t>
      </w:r>
    </w:p>
    <w:p w14:paraId="73CE1F27" w14:textId="404634BB" w:rsidR="00860843" w:rsidRPr="00AD2074" w:rsidRDefault="00860843" w:rsidP="00860843">
      <w:pPr>
        <w:pStyle w:val="ListParagraph"/>
        <w:numPr>
          <w:ilvl w:val="2"/>
          <w:numId w:val="8"/>
        </w:numPr>
        <w:contextualSpacing w:val="0"/>
        <w:jc w:val="both"/>
      </w:pPr>
      <w:r w:rsidRPr="00AD2074">
        <w:t>Condominium/Apartment:</w:t>
      </w:r>
      <w:r w:rsidR="00553157" w:rsidRPr="00AD2074">
        <w:t xml:space="preserve"> </w:t>
      </w:r>
      <w:r w:rsidR="009906B2" w:rsidRPr="00AD2074">
        <w:t>120</w:t>
      </w:r>
    </w:p>
    <w:p w14:paraId="458E0484" w14:textId="2608472E" w:rsidR="00860843" w:rsidRPr="00AD2074" w:rsidRDefault="00860843" w:rsidP="00860843">
      <w:pPr>
        <w:pStyle w:val="ListParagraph"/>
        <w:numPr>
          <w:ilvl w:val="2"/>
          <w:numId w:val="8"/>
        </w:numPr>
        <w:contextualSpacing w:val="0"/>
        <w:jc w:val="both"/>
      </w:pPr>
      <w:r w:rsidRPr="00AD2074">
        <w:t>Townhome:</w:t>
      </w:r>
      <w:r w:rsidR="00553157" w:rsidRPr="00AD2074">
        <w:t xml:space="preserve"> 78</w:t>
      </w:r>
    </w:p>
    <w:p w14:paraId="745024C6" w14:textId="50E87DD8" w:rsidR="00860843" w:rsidRPr="00AD2074" w:rsidRDefault="00860843" w:rsidP="00860843">
      <w:pPr>
        <w:pStyle w:val="ListParagraph"/>
        <w:numPr>
          <w:ilvl w:val="2"/>
          <w:numId w:val="8"/>
        </w:numPr>
        <w:contextualSpacing w:val="0"/>
        <w:jc w:val="both"/>
      </w:pPr>
      <w:r w:rsidRPr="00AD2074">
        <w:t>Single-family:</w:t>
      </w:r>
      <w:r w:rsidR="00553157" w:rsidRPr="00AD2074">
        <w:t xml:space="preserve"> 0</w:t>
      </w:r>
    </w:p>
    <w:p w14:paraId="419FC48E" w14:textId="1E41AA07" w:rsidR="00860843" w:rsidRPr="00AD2074" w:rsidRDefault="00860843" w:rsidP="00860843">
      <w:pPr>
        <w:pStyle w:val="ListParagraph"/>
        <w:numPr>
          <w:ilvl w:val="2"/>
          <w:numId w:val="8"/>
        </w:numPr>
        <w:contextualSpacing w:val="0"/>
        <w:jc w:val="both"/>
      </w:pPr>
      <w:r w:rsidRPr="00AD2074">
        <w:t>Other:</w:t>
      </w:r>
      <w:r w:rsidR="00553157" w:rsidRPr="00AD2074">
        <w:t xml:space="preserve"> 0</w:t>
      </w:r>
    </w:p>
    <w:p w14:paraId="2944428B" w14:textId="15546120" w:rsidR="000523B7" w:rsidRPr="00AD2074" w:rsidRDefault="00860843" w:rsidP="00133604">
      <w:pPr>
        <w:pStyle w:val="ListParagraph"/>
        <w:numPr>
          <w:ilvl w:val="1"/>
          <w:numId w:val="8"/>
        </w:numPr>
        <w:contextualSpacing w:val="0"/>
        <w:jc w:val="both"/>
      </w:pPr>
      <w:r w:rsidRPr="00AD2074">
        <w:rPr>
          <w:u w:val="single"/>
        </w:rPr>
        <w:t>Commercial spaces</w:t>
      </w:r>
      <w:r w:rsidR="00133604" w:rsidRPr="00AD2074">
        <w:rPr>
          <w:u w:val="single"/>
        </w:rPr>
        <w:t>:</w:t>
      </w:r>
      <w:r w:rsidRPr="00AD2074">
        <w:t xml:space="preserve"> </w:t>
      </w:r>
      <w:r w:rsidR="00910B2E" w:rsidRPr="00AD2074">
        <w:t xml:space="preserve">Three areas described as possible commercial/retail on the Development Plans attached hereto as Exhibit A shall be reserved and developed solely for commercial/retail uses and associated parking and improvements. Such sites encompass and shall constitute a minimum of +/- 6.4 acres. </w:t>
      </w:r>
    </w:p>
    <w:p w14:paraId="3AB9A8DC" w14:textId="766B59AB" w:rsidR="00860843" w:rsidRPr="00AD2074" w:rsidRDefault="000523B7" w:rsidP="000523B7">
      <w:pPr>
        <w:pStyle w:val="ListParagraph"/>
        <w:numPr>
          <w:ilvl w:val="1"/>
          <w:numId w:val="8"/>
        </w:numPr>
        <w:contextualSpacing w:val="0"/>
        <w:jc w:val="both"/>
      </w:pPr>
      <w:r>
        <w:rPr>
          <w:u w:val="single"/>
        </w:rPr>
        <w:t xml:space="preserve">Public </w:t>
      </w:r>
      <w:r w:rsidRPr="00AD2074">
        <w:rPr>
          <w:u w:val="single"/>
        </w:rPr>
        <w:t>Amenities</w:t>
      </w:r>
      <w:r w:rsidR="00133604" w:rsidRPr="00AD2074">
        <w:rPr>
          <w:u w:val="single"/>
        </w:rPr>
        <w:t>:</w:t>
      </w:r>
      <w:r w:rsidRPr="00AD2074">
        <w:t xml:space="preserve"> </w:t>
      </w:r>
      <w:r w:rsidR="00553157" w:rsidRPr="00AD2074">
        <w:t>Expansion of parking facilities for Lee Park (</w:t>
      </w:r>
      <w:r w:rsidR="009906B2" w:rsidRPr="00AD2074">
        <w:t>42</w:t>
      </w:r>
      <w:r w:rsidR="00553157" w:rsidRPr="00AD2074">
        <w:t xml:space="preserve"> additional spaces)</w:t>
      </w:r>
      <w:r w:rsidR="009906B2" w:rsidRPr="00AD2074">
        <w:t>. 2 complete pickleball courts to be located near the Lee Park parking expansion</w:t>
      </w:r>
      <w:r w:rsidR="00A76263" w:rsidRPr="00AD2074">
        <w:t xml:space="preserve">. The reasonable cost of the expansion of the parking facilities for  Lee </w:t>
      </w:r>
      <w:r w:rsidR="00A76263" w:rsidRPr="00AD2074">
        <w:lastRenderedPageBreak/>
        <w:t>Park and the reasonable cost to complete the two pickleball courts in Lee Park shall be offset</w:t>
      </w:r>
      <w:r w:rsidR="006263B5" w:rsidRPr="00AD2074">
        <w:t xml:space="preserve"> against or refunded from</w:t>
      </w:r>
      <w:r w:rsidR="00A76263" w:rsidRPr="00AD2074">
        <w:t xml:space="preserve"> </w:t>
      </w:r>
      <w:r w:rsidR="007F13B4" w:rsidRPr="00AD2074">
        <w:t>impact fees paid by Developer</w:t>
      </w:r>
      <w:r w:rsidR="006263B5" w:rsidRPr="00AD2074">
        <w:t xml:space="preserve"> [that will be assessed and paid at the time of building permit issuance |</w:t>
      </w:r>
      <w:r w:rsidR="007F13B4" w:rsidRPr="00AD2074">
        <w:t xml:space="preserve"> to City as outlined on Exhibit B</w:t>
      </w:r>
      <w:r w:rsidR="006263B5" w:rsidRPr="00AD2074">
        <w:t>]</w:t>
      </w:r>
      <w:r w:rsidR="00553157" w:rsidRPr="00AD2074">
        <w:t>.</w:t>
      </w:r>
      <w:r w:rsidR="009906B2" w:rsidRPr="00AD2074">
        <w:t xml:space="preserve"> </w:t>
      </w:r>
      <w:r w:rsidR="00747F9F" w:rsidRPr="00AD2074">
        <w:t>The City may approve, through the plat and construction plan preparation, review, and approval processes, a substitution</w:t>
      </w:r>
      <w:r w:rsidR="00A74269" w:rsidRPr="00AD2074">
        <w:t xml:space="preserve"> or relocation</w:t>
      </w:r>
      <w:r w:rsidR="00747F9F" w:rsidRPr="00AD2074">
        <w:t xml:space="preserve"> of amenities, so long as such substituted</w:t>
      </w:r>
      <w:r w:rsidR="00A74269" w:rsidRPr="00AD2074">
        <w:t xml:space="preserve"> or relocated</w:t>
      </w:r>
      <w:r w:rsidR="00747F9F" w:rsidRPr="00AD2074">
        <w:t xml:space="preserve"> amenities are of equivalent value and utility to the City and its residents.</w:t>
      </w:r>
    </w:p>
    <w:p w14:paraId="7F8FDC01" w14:textId="3A1E96B0" w:rsidR="00133604" w:rsidRPr="00AD2074" w:rsidRDefault="00133604" w:rsidP="00133604">
      <w:pPr>
        <w:pStyle w:val="ListParagraph"/>
        <w:numPr>
          <w:ilvl w:val="1"/>
          <w:numId w:val="8"/>
        </w:numPr>
        <w:contextualSpacing w:val="0"/>
        <w:jc w:val="both"/>
      </w:pPr>
      <w:r w:rsidRPr="00AD2074">
        <w:rPr>
          <w:u w:val="single"/>
        </w:rPr>
        <w:t>Private Amenities:</w:t>
      </w:r>
      <w:r w:rsidRPr="00AD2074">
        <w:t xml:space="preserve"> </w:t>
      </w:r>
      <w:r w:rsidR="00553157" w:rsidRPr="00AD2074">
        <w:t xml:space="preserve">Clubhouse, pool, </w:t>
      </w:r>
      <w:r w:rsidR="000637E1" w:rsidRPr="00AD2074">
        <w:t>1</w:t>
      </w:r>
      <w:r w:rsidR="00553157" w:rsidRPr="00AD2074">
        <w:t xml:space="preserve"> playground available for use by all HOA members. </w:t>
      </w:r>
    </w:p>
    <w:p w14:paraId="4CF81BA2" w14:textId="0F5BECA3" w:rsidR="00133604" w:rsidRPr="00AD2074" w:rsidRDefault="00133604" w:rsidP="00133604">
      <w:pPr>
        <w:pStyle w:val="ListParagraph"/>
        <w:numPr>
          <w:ilvl w:val="1"/>
          <w:numId w:val="8"/>
        </w:numPr>
        <w:contextualSpacing w:val="0"/>
        <w:jc w:val="both"/>
      </w:pPr>
      <w:r w:rsidRPr="00AD2074">
        <w:rPr>
          <w:u w:val="single"/>
        </w:rPr>
        <w:t>Public Improvements:</w:t>
      </w:r>
      <w:r w:rsidRPr="00AD2074">
        <w:t xml:space="preserve"> </w:t>
      </w:r>
      <w:r w:rsidR="009906B2" w:rsidRPr="00AD2074">
        <w:t>Developer will build</w:t>
      </w:r>
      <w:r w:rsidR="00553157" w:rsidRPr="00AD2074">
        <w:t xml:space="preserve"> the entire cross section of Wolfpack Way through the project from </w:t>
      </w:r>
      <w:r w:rsidR="009906B2" w:rsidRPr="00AD2074">
        <w:t xml:space="preserve">the </w:t>
      </w:r>
      <w:r w:rsidR="00124613" w:rsidRPr="00AD2074">
        <w:t>Center Street</w:t>
      </w:r>
      <w:r w:rsidR="009906B2" w:rsidRPr="00AD2074">
        <w:t xml:space="preserve"> roundabout</w:t>
      </w:r>
      <w:r w:rsidR="00553157" w:rsidRPr="00AD2074">
        <w:t xml:space="preserve"> to the northern boundary</w:t>
      </w:r>
      <w:r w:rsidR="009906B2" w:rsidRPr="00AD2074">
        <w:t xml:space="preserve"> of the property</w:t>
      </w:r>
      <w:r w:rsidR="007F13B4" w:rsidRPr="00AD2074">
        <w:t xml:space="preserve"> in exchange for </w:t>
      </w:r>
      <w:r w:rsidR="004A2ACB" w:rsidRPr="00AD2074">
        <w:t>a 4.8 acre parcel adjacent to the new Wolfpack Way road</w:t>
      </w:r>
      <w:r w:rsidR="007F13B4" w:rsidRPr="00AD2074">
        <w:t xml:space="preserve"> by City outlined on Exhibit B</w:t>
      </w:r>
      <w:r w:rsidR="006263B5" w:rsidRPr="00AD2074">
        <w:t xml:space="preserve"> and in accordance with the process set forth in Section 11</w:t>
      </w:r>
      <w:r w:rsidR="00553157" w:rsidRPr="00AD2074">
        <w:t>.</w:t>
      </w:r>
      <w:r w:rsidR="006263B5" w:rsidRPr="00AD2074">
        <w:t xml:space="preserve"> </w:t>
      </w:r>
    </w:p>
    <w:p w14:paraId="6548E6B2" w14:textId="56FC7E87" w:rsidR="005241A9" w:rsidRDefault="005241A9" w:rsidP="00133604">
      <w:pPr>
        <w:pStyle w:val="ListParagraph"/>
        <w:numPr>
          <w:ilvl w:val="1"/>
          <w:numId w:val="8"/>
        </w:numPr>
        <w:contextualSpacing w:val="0"/>
        <w:jc w:val="both"/>
      </w:pPr>
      <w:r w:rsidRPr="00775098">
        <w:rPr>
          <w:u w:val="single"/>
        </w:rPr>
        <w:t>Design Elements:</w:t>
      </w:r>
      <w:r>
        <w:t xml:space="preserve"> Developer agrees to construct and develop the lots, units, structures, buildings, grounds, and spaces according to the design elements and specifications</w:t>
      </w:r>
      <w:r w:rsidRPr="005241A9">
        <w:t xml:space="preserve"> </w:t>
      </w:r>
      <w:r>
        <w:t>as set forth in the Development Plans</w:t>
      </w:r>
      <w:r w:rsidR="00E043BF">
        <w:t>, attached hereto as Exhibit A, and City’s land use regulations, ordinances, standards, except as the same are modified herein</w:t>
      </w:r>
      <w:r>
        <w:t>.</w:t>
      </w:r>
      <w:r w:rsidR="00E043BF">
        <w:t xml:space="preserve"> City shall review and may revise or require Developer to revise or update design elements and standards in connection with City’s review of each final plat for each phase.</w:t>
      </w:r>
      <w:r>
        <w:t xml:space="preserve"> Developer acknowledges that City is not authorized, under state law, to regulate design elements of one to two family dwellings without the request and agreement of Developer</w:t>
      </w:r>
      <w:r w:rsidR="0082451D">
        <w:t xml:space="preserve">. </w:t>
      </w:r>
      <w:r>
        <w:t xml:space="preserve">Developer hereby requests and agrees to the imposition of such design elements </w:t>
      </w:r>
      <w:r w:rsidR="00E043BF">
        <w:t xml:space="preserve">in accordance with this section </w:t>
      </w:r>
      <w:r w:rsidR="0082451D">
        <w:t>in recognition of and in exchange for the benefits granted to Developer herein.</w:t>
      </w:r>
    </w:p>
    <w:p w14:paraId="38C73A7E" w14:textId="77777777" w:rsidR="008F4EDF" w:rsidRDefault="00B515C8" w:rsidP="008F4EDF">
      <w:pPr>
        <w:pStyle w:val="ListParagraph"/>
        <w:numPr>
          <w:ilvl w:val="0"/>
          <w:numId w:val="8"/>
        </w:numPr>
        <w:contextualSpacing w:val="0"/>
        <w:jc w:val="both"/>
      </w:pPr>
      <w:r>
        <w:rPr>
          <w:b/>
          <w:u w:val="single"/>
        </w:rPr>
        <w:t>Uses Allowed.</w:t>
      </w:r>
      <w:r>
        <w:t xml:space="preserve"> </w:t>
      </w:r>
    </w:p>
    <w:p w14:paraId="4E1BC8F7" w14:textId="77777777" w:rsidR="008F4EDF" w:rsidRDefault="00B515C8" w:rsidP="008F4EDF">
      <w:pPr>
        <w:pStyle w:val="ListParagraph"/>
        <w:numPr>
          <w:ilvl w:val="1"/>
          <w:numId w:val="8"/>
        </w:numPr>
        <w:contextualSpacing w:val="0"/>
        <w:jc w:val="both"/>
      </w:pPr>
      <w:r>
        <w:t>The uses allowed within the Development shall be those uses authorized by Section 3 and the uses allowed by the Zoning, subject to the following</w:t>
      </w:r>
      <w:r w:rsidR="008F4EDF">
        <w:t xml:space="preserve"> modifications:</w:t>
      </w:r>
    </w:p>
    <w:p w14:paraId="1AF999BA" w14:textId="5F28D669" w:rsidR="00B515C8" w:rsidRPr="00AD2074" w:rsidRDefault="00124613" w:rsidP="008F4EDF">
      <w:pPr>
        <w:pStyle w:val="ListParagraph"/>
        <w:numPr>
          <w:ilvl w:val="2"/>
          <w:numId w:val="8"/>
        </w:numPr>
        <w:contextualSpacing w:val="0"/>
        <w:jc w:val="both"/>
      </w:pPr>
      <w:r w:rsidRPr="00AD2074">
        <w:t>None</w:t>
      </w:r>
    </w:p>
    <w:p w14:paraId="1D467B19" w14:textId="77777777" w:rsidR="008F4EDF" w:rsidRDefault="008F4EDF" w:rsidP="008F4EDF">
      <w:pPr>
        <w:pStyle w:val="ListParagraph"/>
        <w:numPr>
          <w:ilvl w:val="1"/>
          <w:numId w:val="8"/>
        </w:numPr>
        <w:contextualSpacing w:val="0"/>
        <w:jc w:val="both"/>
      </w:pPr>
      <w:r>
        <w:t>The total number of residential units or lots allowed, created, or developed within the Development shall be limited to the maximum number and type allowed under Section 3</w:t>
      </w:r>
      <w:r w:rsidR="00A74269">
        <w:t>,</w:t>
      </w:r>
      <w:r>
        <w:t xml:space="preserve"> regardless of whether such units or lots are developed by Developer or by an assignee, transferee, or other successor-in-interest of Developer</w:t>
      </w:r>
      <w:r w:rsidR="00A74269">
        <w:t xml:space="preserve"> and regardless of whether additional or different units or lots are shown in the Development Plans</w:t>
      </w:r>
      <w:r>
        <w:t>.</w:t>
      </w:r>
    </w:p>
    <w:p w14:paraId="33ED2E26" w14:textId="55015D02" w:rsidR="00B52A39" w:rsidRDefault="00B52A39" w:rsidP="009C2BE9">
      <w:pPr>
        <w:pStyle w:val="ListParagraph"/>
        <w:numPr>
          <w:ilvl w:val="0"/>
          <w:numId w:val="8"/>
        </w:numPr>
        <w:contextualSpacing w:val="0"/>
        <w:jc w:val="both"/>
      </w:pPr>
      <w:r w:rsidRPr="00775098">
        <w:rPr>
          <w:b/>
          <w:u w:val="single"/>
        </w:rPr>
        <w:t>Water Dedication.</w:t>
      </w:r>
      <w:r>
        <w:t xml:space="preserve"> Developer shall provide water </w:t>
      </w:r>
      <w:r w:rsidR="00A74269">
        <w:t>shares/rights</w:t>
      </w:r>
      <w:r>
        <w:t xml:space="preserve"> for the Development</w:t>
      </w:r>
      <w:r w:rsidR="00FC5CBD">
        <w:t xml:space="preserve"> per City Code 12.150</w:t>
      </w:r>
      <w:r>
        <w:t xml:space="preserve"> as follows:</w:t>
      </w:r>
    </w:p>
    <w:p w14:paraId="6D65F71B" w14:textId="792E5698" w:rsidR="00AA147A" w:rsidRPr="00907242" w:rsidRDefault="00AA147A" w:rsidP="00AA147A">
      <w:pPr>
        <w:pStyle w:val="ListParagraph"/>
        <w:numPr>
          <w:ilvl w:val="1"/>
          <w:numId w:val="8"/>
        </w:numPr>
        <w:contextualSpacing w:val="0"/>
        <w:jc w:val="both"/>
        <w:rPr>
          <w:bCs/>
        </w:rPr>
      </w:pPr>
      <w:r w:rsidRPr="00907242">
        <w:rPr>
          <w:bCs/>
        </w:rPr>
        <w:t>Dedicate</w:t>
      </w:r>
      <w:r w:rsidR="00907242">
        <w:rPr>
          <w:bCs/>
        </w:rPr>
        <w:t xml:space="preserve"> secondary water</w:t>
      </w:r>
      <w:r w:rsidRPr="00907242">
        <w:rPr>
          <w:bCs/>
        </w:rPr>
        <w:t xml:space="preserve"> shares from the Hyde Park Irrigation Company</w:t>
      </w:r>
      <w:r w:rsidR="00907242">
        <w:rPr>
          <w:bCs/>
        </w:rPr>
        <w:t>.</w:t>
      </w:r>
      <w:r w:rsidRPr="00907242">
        <w:rPr>
          <w:bCs/>
        </w:rPr>
        <w:t xml:space="preserve"> </w:t>
      </w:r>
    </w:p>
    <w:p w14:paraId="716A5557" w14:textId="77777777" w:rsidR="00FC5CBD" w:rsidRDefault="00AA147A" w:rsidP="00AA147A">
      <w:pPr>
        <w:pStyle w:val="ListParagraph"/>
        <w:numPr>
          <w:ilvl w:val="1"/>
          <w:numId w:val="8"/>
        </w:numPr>
        <w:contextualSpacing w:val="0"/>
        <w:jc w:val="both"/>
        <w:rPr>
          <w:bCs/>
        </w:rPr>
      </w:pPr>
      <w:r w:rsidRPr="00AD2074">
        <w:rPr>
          <w:bCs/>
        </w:rPr>
        <w:lastRenderedPageBreak/>
        <w:t>Pay for the remaining amount</w:t>
      </w:r>
      <w:r w:rsidR="007F13B4" w:rsidRPr="00AD2074">
        <w:rPr>
          <w:bCs/>
        </w:rPr>
        <w:t>, if any,</w:t>
      </w:r>
      <w:r w:rsidRPr="00AD2074">
        <w:rPr>
          <w:bCs/>
        </w:rPr>
        <w:t xml:space="preserve"> according to the fee schedule and ordinance 12.150</w:t>
      </w:r>
      <w:r w:rsidR="00907242">
        <w:rPr>
          <w:bCs/>
        </w:rPr>
        <w:t>.</w:t>
      </w:r>
    </w:p>
    <w:p w14:paraId="036A1E15" w14:textId="01BCF098" w:rsidR="00AA147A" w:rsidRPr="00AD2074" w:rsidRDefault="00907242" w:rsidP="00AA147A">
      <w:pPr>
        <w:pStyle w:val="ListParagraph"/>
        <w:numPr>
          <w:ilvl w:val="1"/>
          <w:numId w:val="8"/>
        </w:numPr>
        <w:contextualSpacing w:val="0"/>
        <w:jc w:val="both"/>
        <w:rPr>
          <w:bCs/>
        </w:rPr>
      </w:pPr>
      <w:r>
        <w:rPr>
          <w:bCs/>
        </w:rPr>
        <w:t xml:space="preserve">The final amount </w:t>
      </w:r>
      <w:r w:rsidR="00FC5CBD">
        <w:rPr>
          <w:bCs/>
        </w:rPr>
        <w:t xml:space="preserve">of water to be dedicated or paid for </w:t>
      </w:r>
      <w:r>
        <w:rPr>
          <w:bCs/>
        </w:rPr>
        <w:t xml:space="preserve">will be determined for each phase of development </w:t>
      </w:r>
      <w:r w:rsidR="00FC5CBD">
        <w:rPr>
          <w:bCs/>
        </w:rPr>
        <w:t xml:space="preserve">in connection with </w:t>
      </w:r>
      <w:r>
        <w:rPr>
          <w:bCs/>
        </w:rPr>
        <w:t>the approval of the final plat(s).</w:t>
      </w:r>
    </w:p>
    <w:p w14:paraId="137879D8" w14:textId="239A33B6" w:rsidR="00910B2E" w:rsidRPr="00AD2074" w:rsidRDefault="00910B2E" w:rsidP="00AA147A">
      <w:pPr>
        <w:pStyle w:val="ListParagraph"/>
        <w:numPr>
          <w:ilvl w:val="1"/>
          <w:numId w:val="8"/>
        </w:numPr>
        <w:contextualSpacing w:val="0"/>
        <w:jc w:val="both"/>
        <w:rPr>
          <w:bCs/>
        </w:rPr>
      </w:pPr>
      <w:r w:rsidRPr="00AD2074">
        <w:rPr>
          <w:bCs/>
        </w:rPr>
        <w:t>Water for the commercial sites shall be required at the time of site plan approval or building permit issuance, and such approval or issuance shall be withheld until water is provided.</w:t>
      </w:r>
    </w:p>
    <w:p w14:paraId="2D1026E5" w14:textId="77777777" w:rsidR="0082451D" w:rsidRDefault="0082451D" w:rsidP="0082451D">
      <w:pPr>
        <w:pStyle w:val="ListParagraph"/>
        <w:numPr>
          <w:ilvl w:val="0"/>
          <w:numId w:val="8"/>
        </w:numPr>
        <w:contextualSpacing w:val="0"/>
        <w:jc w:val="both"/>
      </w:pPr>
      <w:r>
        <w:rPr>
          <w:b/>
          <w:u w:val="single"/>
        </w:rPr>
        <w:t>Phasing.</w:t>
      </w:r>
      <w:r>
        <w:t xml:space="preserve"> Phasing of the Development shall be established as set forth in the Development Plans. In the event that the Development Plans do not specify the phasing of the Development, or in the event that Developer desires to alter the phasing specified by the Development Plans, phasing shall be allowed pursuant to governing City ordinances, provided that Developer shall be required to provide with each phase a proportional amount of the public improvements and public amenities required by this Agreement, whether by actual construction or by provision of an adequate guarantee of construction. A separate phasing agreement may be entered into by the parties, which agreement shall be approved as an amendment to this Agreement.</w:t>
      </w:r>
    </w:p>
    <w:p w14:paraId="5FB0F6C8" w14:textId="77777777" w:rsidR="004B798A" w:rsidRPr="00133604" w:rsidRDefault="004B798A" w:rsidP="000523B7">
      <w:pPr>
        <w:pStyle w:val="ListParagraph"/>
        <w:numPr>
          <w:ilvl w:val="0"/>
          <w:numId w:val="8"/>
        </w:numPr>
        <w:contextualSpacing w:val="0"/>
        <w:jc w:val="both"/>
        <w:rPr>
          <w:b/>
          <w:u w:val="single"/>
        </w:rPr>
      </w:pPr>
      <w:r w:rsidRPr="00133604">
        <w:rPr>
          <w:b/>
          <w:u w:val="single"/>
        </w:rPr>
        <w:t>Public Improvements.</w:t>
      </w:r>
      <w:r>
        <w:t xml:space="preserve"> All public improvements for the Development, including but not limited to those described in Section 3, shall be constructed, improved, and installed in accordance with the City’s design and construction standards and specifications</w:t>
      </w:r>
      <w:r w:rsidR="00047FFB">
        <w:t xml:space="preserve"> adopted and in effect at the time Developer applies for or, if no application is required, begins construction of the same</w:t>
      </w:r>
      <w:r>
        <w:t>, except to the extent such standards and specifications are expressly modified herein.</w:t>
      </w:r>
    </w:p>
    <w:p w14:paraId="22F83D76" w14:textId="77777777" w:rsidR="004B798A" w:rsidRDefault="004B798A" w:rsidP="000523B7">
      <w:pPr>
        <w:pStyle w:val="ListParagraph"/>
        <w:numPr>
          <w:ilvl w:val="0"/>
          <w:numId w:val="8"/>
        </w:numPr>
        <w:contextualSpacing w:val="0"/>
        <w:jc w:val="both"/>
      </w:pPr>
      <w:r w:rsidRPr="00775098">
        <w:rPr>
          <w:b/>
          <w:u w:val="single"/>
        </w:rPr>
        <w:t>Fees and Charges.</w:t>
      </w:r>
      <w:r>
        <w:t xml:space="preserve"> Developer shall pay all application, building, plan and plat review, excavation, hook-up, impact, and other applicable development fees adopted and in effect at the time of the relevant application, regardless of whether such fees were in effect as of the effective date of this Agreement.</w:t>
      </w:r>
    </w:p>
    <w:p w14:paraId="44B82C8A" w14:textId="68E2FE9D" w:rsidR="00552DD6" w:rsidRDefault="00552DD6" w:rsidP="00552DD6">
      <w:pPr>
        <w:pStyle w:val="ListParagraph"/>
        <w:numPr>
          <w:ilvl w:val="1"/>
          <w:numId w:val="8"/>
        </w:numPr>
        <w:contextualSpacing w:val="0"/>
        <w:jc w:val="both"/>
      </w:pPr>
      <w:r w:rsidRPr="00AD2074">
        <w:t>Developer will receive a credit towards</w:t>
      </w:r>
      <w:r w:rsidR="006263B5" w:rsidRPr="00AD2074">
        <w:t xml:space="preserve"> or refund of</w:t>
      </w:r>
      <w:r w:rsidRPr="00AD2074">
        <w:t xml:space="preserve"> the </w:t>
      </w:r>
      <w:r w:rsidR="00AA147A" w:rsidRPr="00AD2074">
        <w:t>various</w:t>
      </w:r>
      <w:r w:rsidRPr="00AD2074">
        <w:t xml:space="preserve"> impact fee equivalent to the value of </w:t>
      </w:r>
      <w:r w:rsidR="00AA147A" w:rsidRPr="00AD2074">
        <w:t>any</w:t>
      </w:r>
      <w:r w:rsidRPr="00AD2074">
        <w:t xml:space="preserve"> </w:t>
      </w:r>
      <w:r w:rsidR="006263B5" w:rsidRPr="00AD2074">
        <w:t xml:space="preserve">system </w:t>
      </w:r>
      <w:r w:rsidRPr="00AD2074">
        <w:t>improvements</w:t>
      </w:r>
      <w:r w:rsidR="006263B5" w:rsidRPr="00AD2074">
        <w:t xml:space="preserve"> or upgrades, but not project improvements, which system improvements or upgrades are</w:t>
      </w:r>
      <w:r w:rsidRPr="00AD2074">
        <w:t xml:space="preserve"> installed </w:t>
      </w:r>
      <w:r w:rsidR="006263B5" w:rsidRPr="00AD2074">
        <w:t xml:space="preserve">by Developer </w:t>
      </w:r>
      <w:r w:rsidR="00AA147A" w:rsidRPr="00AD2074">
        <w:t xml:space="preserve">on behalf of </w:t>
      </w:r>
      <w:r w:rsidR="006263B5" w:rsidRPr="00AD2074">
        <w:t xml:space="preserve">and at the request of </w:t>
      </w:r>
      <w:r w:rsidR="00AA147A" w:rsidRPr="00AD2074">
        <w:t xml:space="preserve">the </w:t>
      </w:r>
      <w:r w:rsidR="006263B5" w:rsidRPr="00AD2074">
        <w:t>C</w:t>
      </w:r>
      <w:r w:rsidR="00AA147A" w:rsidRPr="00AD2074">
        <w:t xml:space="preserve">ity as </w:t>
      </w:r>
      <w:r w:rsidR="00FC5CBD">
        <w:t xml:space="preserve">generally </w:t>
      </w:r>
      <w:r w:rsidR="00AA147A" w:rsidRPr="00AD2074">
        <w:t xml:space="preserve">outlined </w:t>
      </w:r>
      <w:r w:rsidR="007F13B4" w:rsidRPr="00AD2074">
        <w:t>on Exhibit B</w:t>
      </w:r>
      <w:r w:rsidRPr="00AD2074">
        <w:t>.</w:t>
      </w:r>
      <w:r w:rsidR="006263B5" w:rsidRPr="00AD2074">
        <w:t xml:space="preserve"> Impacts fees to be credited or refunded must be assessed for the same type of public improvement as the improvement installed by Developer. </w:t>
      </w:r>
    </w:p>
    <w:p w14:paraId="0C8C1347" w14:textId="27933F78" w:rsidR="00907242" w:rsidRPr="00AD2074" w:rsidRDefault="00907242" w:rsidP="00552DD6">
      <w:pPr>
        <w:pStyle w:val="ListParagraph"/>
        <w:numPr>
          <w:ilvl w:val="1"/>
          <w:numId w:val="8"/>
        </w:numPr>
        <w:contextualSpacing w:val="0"/>
        <w:jc w:val="both"/>
      </w:pPr>
      <w:r>
        <w:t xml:space="preserve">Final determination of the </w:t>
      </w:r>
      <w:r w:rsidR="00FC5CBD">
        <w:t xml:space="preserve">system </w:t>
      </w:r>
      <w:r>
        <w:t xml:space="preserve">improvements </w:t>
      </w:r>
      <w:r w:rsidR="00FC5CBD">
        <w:t xml:space="preserve">or upgrades to be installed </w:t>
      </w:r>
      <w:r>
        <w:t xml:space="preserve">will be determined on a phase-by-phase basis at the time of final plat approval. </w:t>
      </w:r>
      <w:r w:rsidR="00FC5CBD">
        <w:t>The value of such improvements and corresponding impact fee credits</w:t>
      </w:r>
      <w:r w:rsidR="0030777F">
        <w:t xml:space="preserve"> or refund</w:t>
      </w:r>
      <w:r w:rsidR="00FC5CBD">
        <w:t xml:space="preserve"> </w:t>
      </w:r>
      <w:r w:rsidR="0030777F">
        <w:t xml:space="preserve">will be determined after construction, </w:t>
      </w:r>
      <w:r w:rsidR="00FC5CBD">
        <w:t xml:space="preserve">and the amount of impact fees assessed will be determined in connection with building permits. </w:t>
      </w:r>
    </w:p>
    <w:p w14:paraId="285A9370" w14:textId="77777777" w:rsidR="008F4EDF" w:rsidRDefault="008F4EDF" w:rsidP="00AF0563">
      <w:pPr>
        <w:pStyle w:val="ListParagraph"/>
        <w:numPr>
          <w:ilvl w:val="0"/>
          <w:numId w:val="8"/>
        </w:numPr>
        <w:contextualSpacing w:val="0"/>
        <w:jc w:val="both"/>
      </w:pPr>
      <w:r>
        <w:rPr>
          <w:b/>
          <w:u w:val="single"/>
        </w:rPr>
        <w:t>Vested Rights.</w:t>
      </w:r>
      <w:r>
        <w:t xml:space="preserve"> Upon the City’s approval of this Agreement after the City’s completion of the required public notice, hearing, review, and approval processes, and both parties’ execution of this Agreement,</w:t>
      </w:r>
      <w:r w:rsidR="00AF0563">
        <w:t xml:space="preserve"> the right to develop</w:t>
      </w:r>
      <w:r>
        <w:t xml:space="preserve"> the Development in accordance with the </w:t>
      </w:r>
      <w:r>
        <w:lastRenderedPageBreak/>
        <w:t>use and density rights set forth in Section 3, Section 4, and as described in the Development Plans, shall vest in Developer (“</w:t>
      </w:r>
      <w:r w:rsidRPr="00AF0563">
        <w:rPr>
          <w:b/>
        </w:rPr>
        <w:t>Vested Rights</w:t>
      </w:r>
      <w:r>
        <w:t>”)</w:t>
      </w:r>
      <w:r w:rsidR="00AF0563">
        <w:t xml:space="preserve">. In exercising </w:t>
      </w:r>
      <w:r>
        <w:t xml:space="preserve">the Vested Rights, Developer shall be bound by all obligations and requirements set forth herein. </w:t>
      </w:r>
    </w:p>
    <w:p w14:paraId="299F4C92" w14:textId="77777777" w:rsidR="00DB370F" w:rsidRPr="00DB370F" w:rsidRDefault="00DB370F" w:rsidP="00DB370F">
      <w:pPr>
        <w:pStyle w:val="ListParagraph"/>
        <w:numPr>
          <w:ilvl w:val="0"/>
          <w:numId w:val="8"/>
        </w:numPr>
        <w:contextualSpacing w:val="0"/>
        <w:jc w:val="both"/>
        <w:rPr>
          <w:b/>
          <w:bCs/>
          <w:u w:val="single"/>
        </w:rPr>
      </w:pPr>
      <w:r>
        <w:rPr>
          <w:b/>
          <w:bCs/>
          <w:u w:val="single"/>
        </w:rPr>
        <w:t xml:space="preserve">Effectiveness of Agreement; </w:t>
      </w:r>
      <w:r w:rsidRPr="00F701A9">
        <w:rPr>
          <w:b/>
          <w:bCs/>
          <w:u w:val="single"/>
        </w:rPr>
        <w:t>Zoning</w:t>
      </w:r>
      <w:r>
        <w:rPr>
          <w:b/>
          <w:bCs/>
          <w:u w:val="single"/>
        </w:rPr>
        <w:t>.</w:t>
      </w:r>
      <w:r>
        <w:t xml:space="preserve"> This Agreement shall not take effect unless and until the property is rezoned to the Mixed-Use Zone (MXD). Developer acknowledges that the approval of any rezone is a legislative decision that may or may not be granted, subject to the reserved legislative power of the City, and that this Agreement cannot and does not constitute a rezone of the Property.</w:t>
      </w:r>
    </w:p>
    <w:p w14:paraId="33C79E17" w14:textId="07016C32" w:rsidR="00162ECF" w:rsidRDefault="00DB370F" w:rsidP="00AF0563">
      <w:pPr>
        <w:pStyle w:val="ListParagraph"/>
        <w:numPr>
          <w:ilvl w:val="0"/>
          <w:numId w:val="8"/>
        </w:numPr>
        <w:contextualSpacing w:val="0"/>
        <w:jc w:val="both"/>
      </w:pPr>
      <w:r>
        <w:rPr>
          <w:b/>
          <w:bCs/>
          <w:u w:val="single"/>
        </w:rPr>
        <w:t>Title to City Property, Consideration.</w:t>
      </w:r>
      <w:r>
        <w:t xml:space="preserve"> </w:t>
      </w:r>
      <w:r w:rsidR="00162ECF">
        <w:t xml:space="preserve">Title to the portion of the Property consisting of the </w:t>
      </w:r>
      <w:r w:rsidR="00910B2E">
        <w:t xml:space="preserve">+/- </w:t>
      </w:r>
      <w:r w:rsidR="00162ECF" w:rsidRPr="00AD2074">
        <w:t>5</w:t>
      </w:r>
      <w:r w:rsidR="00162ECF">
        <w:t xml:space="preserve"> acres owned by the City identified as the western portion of Cache County Parcel Number 04-031-0003 (“</w:t>
      </w:r>
      <w:r w:rsidR="00162ECF">
        <w:rPr>
          <w:b/>
          <w:bCs/>
        </w:rPr>
        <w:t>City Property</w:t>
      </w:r>
      <w:r w:rsidR="00162ECF">
        <w:t>”) shall be deeded by City to Developer in accordance with the following:</w:t>
      </w:r>
    </w:p>
    <w:p w14:paraId="76BC8AAD" w14:textId="2728B9C7" w:rsidR="00162ECF" w:rsidRDefault="00162ECF" w:rsidP="00162ECF">
      <w:pPr>
        <w:pStyle w:val="ListParagraph"/>
        <w:numPr>
          <w:ilvl w:val="1"/>
          <w:numId w:val="8"/>
        </w:numPr>
        <w:contextualSpacing w:val="0"/>
        <w:jc w:val="both"/>
      </w:pPr>
      <w:r>
        <w:t xml:space="preserve">Title to the City Property shall not be transferred or deeded until Developer completes all improvements and construction associated with Wolf Pack Way as shown on Exhibit A and in accordance with the City’s adopted standards and specifications for road cross-section, including road, road base, sidewalk, curb, gutter, and park strip (collectively, “Wolf Pack Way Improvements”). </w:t>
      </w:r>
    </w:p>
    <w:p w14:paraId="63CD32D4" w14:textId="538E6B6F" w:rsidR="00162ECF" w:rsidRDefault="00162ECF" w:rsidP="00162ECF">
      <w:pPr>
        <w:pStyle w:val="ListParagraph"/>
        <w:numPr>
          <w:ilvl w:val="1"/>
          <w:numId w:val="8"/>
        </w:numPr>
        <w:contextualSpacing w:val="0"/>
        <w:jc w:val="both"/>
      </w:pPr>
      <w:r>
        <w:t>Upon completion of the Wolf Pack Way Improvements, Developer shall request a final inspection of the completed Wolf Pack Way Improvements from City, and Developer shall correct all deficiencies in design, construction, workmanship, or materials identified by City.</w:t>
      </w:r>
    </w:p>
    <w:p w14:paraId="0F6137BF" w14:textId="13F950AA" w:rsidR="00162ECF" w:rsidRDefault="00162ECF" w:rsidP="00162ECF">
      <w:pPr>
        <w:pStyle w:val="ListParagraph"/>
        <w:numPr>
          <w:ilvl w:val="1"/>
          <w:numId w:val="8"/>
        </w:numPr>
        <w:contextualSpacing w:val="0"/>
        <w:jc w:val="both"/>
      </w:pPr>
      <w:r>
        <w:t>Upon successful completion of a final inspection and correction of all outstanding deficiencies, Developer shall provide an improvement warranty assurance in the amount of 10% of the construction costs for the Wolf Pack Way Improvements, for a period of one year, which shall be managed and released in accordance with City code.</w:t>
      </w:r>
    </w:p>
    <w:p w14:paraId="557894D7" w14:textId="77777777" w:rsidR="00162ECF" w:rsidRDefault="00162ECF" w:rsidP="00162ECF">
      <w:pPr>
        <w:pStyle w:val="ListParagraph"/>
        <w:numPr>
          <w:ilvl w:val="1"/>
          <w:numId w:val="8"/>
        </w:numPr>
        <w:contextualSpacing w:val="0"/>
        <w:jc w:val="both"/>
      </w:pPr>
      <w:r>
        <w:t>Upon successful completion of a final inspection, correction of all outstanding deficiencies, and provision of an improvement warranty assurance, City shall transfer and deed fee title to the City Property to Developer.</w:t>
      </w:r>
    </w:p>
    <w:p w14:paraId="329344B3" w14:textId="10FF1D85" w:rsidR="00DB370F" w:rsidRDefault="00162ECF" w:rsidP="00AD2074">
      <w:pPr>
        <w:pStyle w:val="ListParagraph"/>
        <w:numPr>
          <w:ilvl w:val="1"/>
          <w:numId w:val="8"/>
        </w:numPr>
        <w:contextualSpacing w:val="0"/>
        <w:jc w:val="both"/>
      </w:pPr>
      <w:r>
        <w:t xml:space="preserve">All parties acknowledge that this Agreement, the other promises and consideration provided herein, and the construction of the Wolf Pack Way improvements, constitute adequate consideration for the City Property, and further acknowledge that this Agreement, the other promises and consideration provided herein, and the transfer of title to the City Property, constitutes just compensation and fair market value for property used or acquired by City as more particularly described in the right of occupancy agreement executed by and between the parties dated </w:t>
      </w:r>
      <w:r w:rsidR="00775098">
        <w:t>September 20, 2022,</w:t>
      </w:r>
      <w:r>
        <w:t xml:space="preserve"> and settles all claims the parties had or may have had under said right of occupancy agreement.</w:t>
      </w:r>
    </w:p>
    <w:p w14:paraId="35D6F2AD" w14:textId="77777777" w:rsidR="005241A9" w:rsidRPr="00B515C8" w:rsidRDefault="00AF0563" w:rsidP="0082451D">
      <w:pPr>
        <w:pStyle w:val="ListParagraph"/>
        <w:numPr>
          <w:ilvl w:val="0"/>
          <w:numId w:val="8"/>
        </w:numPr>
        <w:contextualSpacing w:val="0"/>
        <w:jc w:val="both"/>
      </w:pPr>
      <w:r>
        <w:rPr>
          <w:b/>
          <w:u w:val="single"/>
        </w:rPr>
        <w:t>Reserved Legislative Powers.</w:t>
      </w:r>
      <w:r>
        <w:t xml:space="preserve"> The execution of this Agreement and the </w:t>
      </w:r>
      <w:r w:rsidR="008F4EDF">
        <w:t xml:space="preserve">establishment of the Vested Rights shall not prevent the City, pursuant to the exercise of its legislative </w:t>
      </w:r>
      <w:r w:rsidR="008F4EDF">
        <w:lastRenderedPageBreak/>
        <w:t xml:space="preserve">authority and power, </w:t>
      </w:r>
      <w:r>
        <w:t xml:space="preserve">to amend, enact, or repeal </w:t>
      </w:r>
      <w:r w:rsidR="008F4EDF">
        <w:t xml:space="preserve">any </w:t>
      </w:r>
      <w:r w:rsidR="005241A9">
        <w:t>provision</w:t>
      </w:r>
      <w:r>
        <w:t xml:space="preserve"> of the Zoning or any other </w:t>
      </w:r>
      <w:r w:rsidR="008F4EDF">
        <w:t>ordinance</w:t>
      </w:r>
      <w:r>
        <w:t>, specification, standard,</w:t>
      </w:r>
      <w:r w:rsidR="008F4EDF">
        <w:t xml:space="preserve"> or code, provided that </w:t>
      </w:r>
      <w:r>
        <w:t xml:space="preserve">no </w:t>
      </w:r>
      <w:r w:rsidR="008F4EDF">
        <w:t xml:space="preserve">such </w:t>
      </w:r>
      <w:r>
        <w:t xml:space="preserve">legislative action </w:t>
      </w:r>
      <w:r w:rsidR="008F4EDF">
        <w:t xml:space="preserve">shall reduce or eliminate the Developer’s Vested Rights </w:t>
      </w:r>
      <w:r>
        <w:t>under this Agreement</w:t>
      </w:r>
      <w:r w:rsidR="005241A9">
        <w:t xml:space="preserve"> unless facts and circumstances are present and specifically found by the governing body of the City that meet the compelling, countervailing public interest exception to the vested rights doctrine under Utah law</w:t>
      </w:r>
      <w:r>
        <w:t>.</w:t>
      </w:r>
      <w:r w:rsidR="005241A9">
        <w:t xml:space="preserve"> Any such proposed legislative action affecting the Vested Rights shall be of general application to all development activity in the City.</w:t>
      </w:r>
    </w:p>
    <w:p w14:paraId="1228992A" w14:textId="77777777" w:rsidR="000523B7" w:rsidRDefault="009C2BE9" w:rsidP="000523B7">
      <w:pPr>
        <w:pStyle w:val="ListParagraph"/>
        <w:numPr>
          <w:ilvl w:val="0"/>
          <w:numId w:val="8"/>
        </w:numPr>
        <w:contextualSpacing w:val="0"/>
        <w:jc w:val="both"/>
      </w:pPr>
      <w:r>
        <w:rPr>
          <w:b/>
          <w:u w:val="single"/>
        </w:rPr>
        <w:t>Recordation.</w:t>
      </w:r>
      <w:r>
        <w:t xml:space="preserve"> This Agreement, including the Development Plans, shall be recorded against title to all real property that is included the Development prior to any further land use application, permit, or approval being sought for the Development. Developer shall ensure that there are no holders of interest that are superior in title to this Agreement, and that all interests, including but not limited to liens, mortgages, deeds of trust, and other similar instruments, have been made subordinate to this Agreement. Developer shall provide such documentation as is necessary to establish the fact of the recordation and of the priority of this Agreement prior to receiving any further approval related to the Development.</w:t>
      </w:r>
    </w:p>
    <w:p w14:paraId="3A888A38" w14:textId="062082AE" w:rsidR="00133604" w:rsidRDefault="00B515C8" w:rsidP="000523B7">
      <w:pPr>
        <w:pStyle w:val="ListParagraph"/>
        <w:numPr>
          <w:ilvl w:val="0"/>
          <w:numId w:val="8"/>
        </w:numPr>
        <w:contextualSpacing w:val="0"/>
        <w:jc w:val="both"/>
      </w:pPr>
      <w:r>
        <w:rPr>
          <w:b/>
          <w:u w:val="single"/>
        </w:rPr>
        <w:t>Assignment</w:t>
      </w:r>
      <w:r w:rsidR="008C7501">
        <w:rPr>
          <w:b/>
          <w:u w:val="single"/>
        </w:rPr>
        <w:t>; Successors Bound</w:t>
      </w:r>
      <w:r>
        <w:rPr>
          <w:b/>
          <w:u w:val="single"/>
        </w:rPr>
        <w:t>.</w:t>
      </w:r>
      <w:r>
        <w:t xml:space="preserve"> </w:t>
      </w:r>
      <w:r w:rsidR="00AD52E9">
        <w:t xml:space="preserve"> </w:t>
      </w:r>
      <w:r w:rsidR="008C7501">
        <w:t xml:space="preserve">This Agreement may be assigned and transferred by Developer. This Agreement shall run with the land and be binding on </w:t>
      </w:r>
      <w:r w:rsidR="008F7404">
        <w:t xml:space="preserve">and inure to the benefit of </w:t>
      </w:r>
      <w:r w:rsidR="008C7501">
        <w:t>the successors and assigns of Developer, such that any person who obtains any right, title, or interest to any portion of the Development shall be bound by the rights and obligations of this Agreement and shall be responsible for performance of Developer’s obligations related to such portion in the same manner as Developer. All assignees, transferees, and successors in interest shall be bound by all terms of this Agreement applicable to Developer as though such party were named herein as Developer. Unless otherwise agreed to, in writing, by City, no person may acquire any portion or interest in the Development without likewise being obligated in the same manner and to the same extent as Developer by this Agreement as to such portion or interest.</w:t>
      </w:r>
      <w:r w:rsidR="00AD52E9">
        <w:t xml:space="preserve"> </w:t>
      </w:r>
    </w:p>
    <w:p w14:paraId="232B5565" w14:textId="77777777" w:rsidR="00AD52E9" w:rsidRPr="00AD52E9" w:rsidRDefault="00AD52E9" w:rsidP="000523B7">
      <w:pPr>
        <w:pStyle w:val="ListParagraph"/>
        <w:numPr>
          <w:ilvl w:val="0"/>
          <w:numId w:val="8"/>
        </w:numPr>
        <w:contextualSpacing w:val="0"/>
        <w:jc w:val="both"/>
        <w:rPr>
          <w:b/>
          <w:u w:val="single"/>
        </w:rPr>
      </w:pPr>
      <w:r>
        <w:rPr>
          <w:b/>
          <w:u w:val="single"/>
        </w:rPr>
        <w:t>Modifications to Development.</w:t>
      </w:r>
    </w:p>
    <w:p w14:paraId="5077CF5E" w14:textId="77777777" w:rsidR="00AD52E9" w:rsidRDefault="00AD52E9" w:rsidP="00AD52E9">
      <w:pPr>
        <w:pStyle w:val="ListParagraph"/>
        <w:numPr>
          <w:ilvl w:val="1"/>
          <w:numId w:val="8"/>
        </w:numPr>
        <w:contextualSpacing w:val="0"/>
        <w:jc w:val="both"/>
      </w:pPr>
      <w:r>
        <w:t>Developer shall develop, construct, improve, and maintain the Development in a manner substantially similar to and in substantial compliance with the Development Plans and this Agreement, provided that Developer may adjust the final placement or location of lots, streets, amenities, infrastructure, and other improvements within and upon the Development as necessary and as approved by the City through the plat and construction</w:t>
      </w:r>
      <w:r w:rsidR="00747F9F">
        <w:t xml:space="preserve"> plan</w:t>
      </w:r>
      <w:r>
        <w:t xml:space="preserve"> preparation, review, and approval processes, so long as such adjustments do not materially change the overall design and intent of the Development.</w:t>
      </w:r>
    </w:p>
    <w:p w14:paraId="1F5B3486" w14:textId="77777777" w:rsidR="00AD52E9" w:rsidRDefault="00AD52E9" w:rsidP="00AD52E9">
      <w:pPr>
        <w:pStyle w:val="ListParagraph"/>
        <w:numPr>
          <w:ilvl w:val="1"/>
          <w:numId w:val="8"/>
        </w:numPr>
        <w:contextualSpacing w:val="0"/>
        <w:jc w:val="both"/>
      </w:pPr>
      <w:r>
        <w:t>Material changes to the overall design and intent of the Development include, but are not limited to:</w:t>
      </w:r>
    </w:p>
    <w:p w14:paraId="08FAB753" w14:textId="77777777" w:rsidR="00747F9F" w:rsidRDefault="00AD52E9" w:rsidP="00AD52E9">
      <w:pPr>
        <w:pStyle w:val="ListParagraph"/>
        <w:numPr>
          <w:ilvl w:val="2"/>
          <w:numId w:val="8"/>
        </w:numPr>
        <w:contextualSpacing w:val="0"/>
        <w:jc w:val="both"/>
      </w:pPr>
      <w:r>
        <w:t xml:space="preserve">Increase in the number of residential lots or units, a decrease of minimum </w:t>
      </w:r>
      <w:r w:rsidR="00747F9F">
        <w:t xml:space="preserve">residential </w:t>
      </w:r>
      <w:r>
        <w:t xml:space="preserve">lot or unit size, </w:t>
      </w:r>
      <w:r w:rsidR="00747F9F">
        <w:t xml:space="preserve">or </w:t>
      </w:r>
      <w:r>
        <w:t xml:space="preserve">a decrease of minimum </w:t>
      </w:r>
      <w:r w:rsidR="00747F9F">
        <w:t xml:space="preserve">residential lot </w:t>
      </w:r>
      <w:r>
        <w:t>frontage or setback requirements</w:t>
      </w:r>
      <w:r w:rsidR="00747F9F">
        <w:t>;</w:t>
      </w:r>
    </w:p>
    <w:p w14:paraId="155798F0" w14:textId="77777777" w:rsidR="00AD52E9" w:rsidRDefault="00747F9F" w:rsidP="00AD52E9">
      <w:pPr>
        <w:pStyle w:val="ListParagraph"/>
        <w:numPr>
          <w:ilvl w:val="2"/>
          <w:numId w:val="8"/>
        </w:numPr>
        <w:contextualSpacing w:val="0"/>
        <w:jc w:val="both"/>
      </w:pPr>
      <w:r>
        <w:lastRenderedPageBreak/>
        <w:t>Decreases to the amount or size of public amenities, open space, or common area</w:t>
      </w:r>
      <w:r w:rsidR="00557A2A">
        <w:t xml:space="preserve"> or s</w:t>
      </w:r>
      <w:r>
        <w:t>ubstantial relocation of public amenities, open space, or common area;</w:t>
      </w:r>
    </w:p>
    <w:p w14:paraId="5C92E1FD" w14:textId="77777777" w:rsidR="00747F9F" w:rsidRDefault="00747F9F" w:rsidP="00AD52E9">
      <w:pPr>
        <w:pStyle w:val="ListParagraph"/>
        <w:numPr>
          <w:ilvl w:val="2"/>
          <w:numId w:val="8"/>
        </w:numPr>
        <w:contextualSpacing w:val="0"/>
        <w:jc w:val="both"/>
      </w:pPr>
      <w:r>
        <w:t xml:space="preserve">Decreases to </w:t>
      </w:r>
      <w:r w:rsidR="00557A2A">
        <w:t xml:space="preserve">or substantial relocation of </w:t>
      </w:r>
      <w:r>
        <w:t>commercial area</w:t>
      </w:r>
      <w:r w:rsidR="00557A2A">
        <w:t>, or a change in the proposed use of a commercial area to a use that is not permitted under the Zoning or this Agreement</w:t>
      </w:r>
      <w:r>
        <w:t>;</w:t>
      </w:r>
    </w:p>
    <w:p w14:paraId="09F48699" w14:textId="77777777" w:rsidR="00747F9F" w:rsidRDefault="00747F9F" w:rsidP="00AD52E9">
      <w:pPr>
        <w:pStyle w:val="ListParagraph"/>
        <w:numPr>
          <w:ilvl w:val="2"/>
          <w:numId w:val="8"/>
        </w:numPr>
        <w:contextualSpacing w:val="0"/>
        <w:jc w:val="both"/>
      </w:pPr>
      <w:r>
        <w:t>Variances or exceptions to the Zoning or other applicable land use regulations not set forth herein;</w:t>
      </w:r>
    </w:p>
    <w:p w14:paraId="04DC4D57" w14:textId="77777777" w:rsidR="00747F9F" w:rsidRDefault="00747F9F" w:rsidP="00AD52E9">
      <w:pPr>
        <w:pStyle w:val="ListParagraph"/>
        <w:numPr>
          <w:ilvl w:val="2"/>
          <w:numId w:val="8"/>
        </w:numPr>
        <w:contextualSpacing w:val="0"/>
        <w:jc w:val="both"/>
      </w:pPr>
      <w:r>
        <w:t>Changes to the functional design of the Development that materially affects vehicular and pedestrian traffic, drainage, utility connectivity, or other design characteristics.</w:t>
      </w:r>
    </w:p>
    <w:p w14:paraId="128FA719" w14:textId="77777777" w:rsidR="00747F9F" w:rsidRDefault="00747F9F" w:rsidP="00747F9F">
      <w:pPr>
        <w:pStyle w:val="ListParagraph"/>
        <w:numPr>
          <w:ilvl w:val="1"/>
          <w:numId w:val="8"/>
        </w:numPr>
        <w:contextualSpacing w:val="0"/>
        <w:jc w:val="both"/>
      </w:pPr>
      <w:r>
        <w:t>In the event of a dispute between Developer and the City as to whether a change is “material,” no change, modification, or adjustment shall be made without express</w:t>
      </w:r>
      <w:r w:rsidR="00657DCD">
        <w:t>, written</w:t>
      </w:r>
      <w:r>
        <w:t xml:space="preserve"> City approval</w:t>
      </w:r>
      <w:r w:rsidR="00657DCD">
        <w:t xml:space="preserve"> of such change, modification, or adjustment</w:t>
      </w:r>
      <w:r>
        <w:t>.</w:t>
      </w:r>
    </w:p>
    <w:p w14:paraId="2C0A2F2B" w14:textId="77777777" w:rsidR="00747F9F" w:rsidRDefault="00747F9F" w:rsidP="00747F9F">
      <w:pPr>
        <w:pStyle w:val="ListParagraph"/>
        <w:numPr>
          <w:ilvl w:val="1"/>
          <w:numId w:val="8"/>
        </w:numPr>
        <w:contextualSpacing w:val="0"/>
        <w:jc w:val="both"/>
      </w:pPr>
      <w:r>
        <w:t>Material changes to the Development and Development Plans shall not be authorized by the City except by way of an amendment to this Agreement. All amendments to this Agreement shall be in writing and shall be approved in the same manner as this Agreement, i.e., pursuant to the City’s public notice, hearing, review, and approval processes.</w:t>
      </w:r>
    </w:p>
    <w:p w14:paraId="1DC04A3B" w14:textId="77777777" w:rsidR="00B52A39" w:rsidRDefault="00747F9F" w:rsidP="00B52A39">
      <w:pPr>
        <w:pStyle w:val="ListParagraph"/>
        <w:numPr>
          <w:ilvl w:val="0"/>
          <w:numId w:val="8"/>
        </w:numPr>
        <w:contextualSpacing w:val="0"/>
        <w:jc w:val="both"/>
      </w:pPr>
      <w:r>
        <w:rPr>
          <w:b/>
          <w:u w:val="single"/>
        </w:rPr>
        <w:t>Term.</w:t>
      </w:r>
      <w:r>
        <w:t xml:space="preserve"> </w:t>
      </w:r>
      <w:r w:rsidR="00B52A39">
        <w:t>The term of this Agreement shall commence as of the Agreement’s effective date and shall continue until it is terminated as set forth herein:</w:t>
      </w:r>
    </w:p>
    <w:p w14:paraId="74EC8974" w14:textId="77777777" w:rsidR="004B798A" w:rsidRDefault="004B798A" w:rsidP="00B52A39">
      <w:pPr>
        <w:pStyle w:val="ListParagraph"/>
        <w:numPr>
          <w:ilvl w:val="1"/>
          <w:numId w:val="8"/>
        </w:numPr>
        <w:contextualSpacing w:val="0"/>
        <w:jc w:val="both"/>
      </w:pPr>
      <w:r>
        <w:t>The Agreement, and the Vested Rights described herein, may be terminated due to the uncured breach or default of one of the parties hereto, subject to the provisions set forth in Section 15.</w:t>
      </w:r>
    </w:p>
    <w:p w14:paraId="3162270B" w14:textId="77777777" w:rsidR="00B52A39" w:rsidRDefault="00B52A39" w:rsidP="00B52A39">
      <w:pPr>
        <w:pStyle w:val="ListParagraph"/>
        <w:numPr>
          <w:ilvl w:val="1"/>
          <w:numId w:val="8"/>
        </w:numPr>
        <w:contextualSpacing w:val="0"/>
        <w:jc w:val="both"/>
      </w:pPr>
      <w:r>
        <w:t>The Agreement, and the Vested Rights described herein, may be terminated by the mutual agreement of the parties, and the Development shall thereafter be subject to the general zoning regulations applicable to the affected property.</w:t>
      </w:r>
    </w:p>
    <w:p w14:paraId="1D80AD3C" w14:textId="77777777" w:rsidR="00747F9F" w:rsidRDefault="00B52A39" w:rsidP="00B52A39">
      <w:pPr>
        <w:pStyle w:val="ListParagraph"/>
        <w:numPr>
          <w:ilvl w:val="1"/>
          <w:numId w:val="8"/>
        </w:numPr>
        <w:contextualSpacing w:val="0"/>
        <w:jc w:val="both"/>
      </w:pPr>
      <w:r>
        <w:t xml:space="preserve">The Agreement, and the Vested Rights described herein, may be terminated by the City if Developer fails to submit a proposed preliminary </w:t>
      </w:r>
      <w:r w:rsidR="00657DCD">
        <w:t xml:space="preserve">subdivision </w:t>
      </w:r>
      <w:r>
        <w:t xml:space="preserve">plat for </w:t>
      </w:r>
      <w:r w:rsidR="00657DCD">
        <w:t xml:space="preserve">at least </w:t>
      </w:r>
      <w:r>
        <w:t>one phase of the Development within twenty-four (24) months after the effective date of this Agreement. At least ninety (90) days prior to termination of this Agreement under this provision, City shall give Developer written notice of City’s intent to terminate.</w:t>
      </w:r>
    </w:p>
    <w:p w14:paraId="6C82A146" w14:textId="77777777" w:rsidR="00657DCD" w:rsidRDefault="00657DCD" w:rsidP="00B52A39">
      <w:pPr>
        <w:pStyle w:val="ListParagraph"/>
        <w:numPr>
          <w:ilvl w:val="1"/>
          <w:numId w:val="8"/>
        </w:numPr>
        <w:contextualSpacing w:val="0"/>
        <w:jc w:val="both"/>
      </w:pPr>
      <w:r>
        <w:t xml:space="preserve">The Agreement, and the Vested Rights described herein, may be terminated by the City if Developer fails to record a City-approved final subdivision plat for at least one phase of the Development within forty-eight (48) months after the effective date of this Agreement. At least ninety (90) days prior to termination of this </w:t>
      </w:r>
      <w:r>
        <w:lastRenderedPageBreak/>
        <w:t>Agreement under this provision, City shall give Developer written notice of City’s intent to terminate.</w:t>
      </w:r>
    </w:p>
    <w:p w14:paraId="6A71E965" w14:textId="77777777" w:rsidR="00657DCD" w:rsidRDefault="00657DCD" w:rsidP="00B52A39">
      <w:pPr>
        <w:pStyle w:val="ListParagraph"/>
        <w:numPr>
          <w:ilvl w:val="1"/>
          <w:numId w:val="8"/>
        </w:numPr>
        <w:contextualSpacing w:val="0"/>
        <w:jc w:val="both"/>
      </w:pPr>
      <w:r>
        <w:t>Developer may apply for an extension of the deadlines set forth in this Section from the governing body of the City, who may grant an extension, with such terms and conditions as the body finds expedient, upon a finding of good cause for the delay or extension.</w:t>
      </w:r>
    </w:p>
    <w:p w14:paraId="2F13C858" w14:textId="77777777" w:rsidR="00657DCD" w:rsidRDefault="00B52A39" w:rsidP="00B52A39">
      <w:pPr>
        <w:pStyle w:val="ListParagraph"/>
        <w:numPr>
          <w:ilvl w:val="0"/>
          <w:numId w:val="8"/>
        </w:numPr>
        <w:contextualSpacing w:val="0"/>
        <w:jc w:val="both"/>
      </w:pPr>
      <w:r>
        <w:rPr>
          <w:b/>
          <w:u w:val="single"/>
        </w:rPr>
        <w:t>Default</w:t>
      </w:r>
      <w:r>
        <w:t>.</w:t>
      </w:r>
      <w:r w:rsidR="00657DCD">
        <w:t xml:space="preserve"> </w:t>
      </w:r>
    </w:p>
    <w:p w14:paraId="24F9AD17" w14:textId="77777777" w:rsidR="00657DCD" w:rsidRDefault="00657DCD" w:rsidP="00657DCD">
      <w:pPr>
        <w:pStyle w:val="ListParagraph"/>
        <w:numPr>
          <w:ilvl w:val="1"/>
          <w:numId w:val="8"/>
        </w:numPr>
        <w:contextualSpacing w:val="0"/>
        <w:jc w:val="both"/>
      </w:pPr>
      <w:r>
        <w:t xml:space="preserve">In the event of a breach or default of any term of this Agreement, the non-breaching party shall provide written notice to the breaching party. Such notice shall describe the alleged breach, the applicable provisions of this Agreement, and the actions necessary to remedy and cure the breach. </w:t>
      </w:r>
    </w:p>
    <w:p w14:paraId="19720C05" w14:textId="77777777" w:rsidR="00657DCD" w:rsidRDefault="00657DCD" w:rsidP="00657DCD">
      <w:pPr>
        <w:pStyle w:val="ListParagraph"/>
        <w:numPr>
          <w:ilvl w:val="1"/>
          <w:numId w:val="8"/>
        </w:numPr>
        <w:contextualSpacing w:val="0"/>
        <w:jc w:val="both"/>
      </w:pPr>
      <w:r>
        <w:t>Within 30 days after the date of such notice, the breaching party shall either:</w:t>
      </w:r>
    </w:p>
    <w:p w14:paraId="4743EC4A" w14:textId="77777777" w:rsidR="00B52A39" w:rsidRDefault="00657DCD" w:rsidP="00657DCD">
      <w:pPr>
        <w:pStyle w:val="ListParagraph"/>
        <w:numPr>
          <w:ilvl w:val="2"/>
          <w:numId w:val="8"/>
        </w:numPr>
        <w:contextualSpacing w:val="0"/>
        <w:jc w:val="both"/>
      </w:pPr>
      <w:r>
        <w:t>cure the breach and notify the non-breaching party, in writing, of the actions taken to cure the breach; or</w:t>
      </w:r>
    </w:p>
    <w:p w14:paraId="13CCAFDF" w14:textId="77777777" w:rsidR="00657DCD" w:rsidRDefault="00657DCD" w:rsidP="00657DCD">
      <w:pPr>
        <w:pStyle w:val="ListParagraph"/>
        <w:numPr>
          <w:ilvl w:val="2"/>
          <w:numId w:val="8"/>
        </w:numPr>
        <w:contextualSpacing w:val="0"/>
        <w:jc w:val="both"/>
      </w:pPr>
      <w:r>
        <w:t>notify the non-breaching party, in writing, why the breach cannot be cured within 30 days and establishing a reasonable time to cure such breach, with a description of the steps, processes, and actions to be taken by the breaching party.</w:t>
      </w:r>
    </w:p>
    <w:p w14:paraId="2E83C173" w14:textId="77777777" w:rsidR="00657DCD" w:rsidRDefault="00657DCD" w:rsidP="00657DCD">
      <w:pPr>
        <w:pStyle w:val="ListParagraph"/>
        <w:numPr>
          <w:ilvl w:val="1"/>
          <w:numId w:val="8"/>
        </w:numPr>
        <w:contextualSpacing w:val="0"/>
        <w:jc w:val="both"/>
      </w:pPr>
      <w:r>
        <w:t xml:space="preserve">In the event </w:t>
      </w:r>
      <w:r w:rsidR="004B798A">
        <w:t>the breaching party does not cure the breach or default within the specified timeframes, the non-breaching party may declare this Agreement to be terminated and send written notice of such declaration to the breaching party.</w:t>
      </w:r>
    </w:p>
    <w:p w14:paraId="0FA11E8A" w14:textId="77777777" w:rsidR="00B52A39" w:rsidRDefault="00B52A39" w:rsidP="00B52A39">
      <w:pPr>
        <w:pStyle w:val="ListParagraph"/>
        <w:numPr>
          <w:ilvl w:val="0"/>
          <w:numId w:val="8"/>
        </w:numPr>
        <w:contextualSpacing w:val="0"/>
        <w:jc w:val="both"/>
      </w:pPr>
      <w:r>
        <w:rPr>
          <w:b/>
          <w:u w:val="single"/>
        </w:rPr>
        <w:t>Severability.</w:t>
      </w:r>
      <w:r>
        <w:t xml:space="preserve"> </w:t>
      </w:r>
      <w:r w:rsidR="004B798A">
        <w:t>Each provision of this Agreement shall be separate, several, and distinct from each other provision hereof, and the invalidity, unenforceability, or illegality of any such provisions shall not affect the enforceability of any other provision hereof, provided that, the provisions set forth in Sections 1 through 9 of this Agreement are material and essential to the purpose and intent of this Agreement. Accordingly, if any provision within Sections 1 through 9 is declared to be invalid, unenforceable, or illegal, either party may terminate this Agreement upon written notice to the other party.</w:t>
      </w:r>
    </w:p>
    <w:p w14:paraId="331D4BBB" w14:textId="77777777" w:rsidR="00B52A39" w:rsidRDefault="004B798A" w:rsidP="008F7404">
      <w:pPr>
        <w:pStyle w:val="ListParagraph"/>
        <w:numPr>
          <w:ilvl w:val="0"/>
          <w:numId w:val="8"/>
        </w:numPr>
        <w:contextualSpacing w:val="0"/>
        <w:jc w:val="both"/>
      </w:pPr>
      <w:r>
        <w:rPr>
          <w:b/>
          <w:u w:val="single"/>
        </w:rPr>
        <w:t>No Waiver.</w:t>
      </w:r>
      <w:r>
        <w:t xml:space="preserve"> Failure of a party to exercise any right hereunder shall not be deemed a waiver of any such right and shall not affect the right of such party to exercise, at some future time, said right or any other right it may have hereunder, provided that this provision shall not operate to excuse </w:t>
      </w:r>
      <w:r w:rsidR="00243688">
        <w:t>Developer’s</w:t>
      </w:r>
      <w:r>
        <w:t xml:space="preserve"> non-compliance with the deadlines set forth in S</w:t>
      </w:r>
      <w:r w:rsidR="00243688">
        <w:t>ection</w:t>
      </w:r>
      <w:r>
        <w:t xml:space="preserve"> 14.</w:t>
      </w:r>
      <w:r w:rsidR="00243688">
        <w:t xml:space="preserve"> No modification, waiver, or amendment to any right, term, condition, obligation, or provision of this Agreement shall be valid unless adopted through the process set forth in Section 13.</w:t>
      </w:r>
    </w:p>
    <w:p w14:paraId="05EF163C" w14:textId="77777777" w:rsidR="00243688" w:rsidRDefault="00B52A39" w:rsidP="00B52A39">
      <w:pPr>
        <w:pStyle w:val="ListParagraph"/>
        <w:numPr>
          <w:ilvl w:val="0"/>
          <w:numId w:val="8"/>
        </w:numPr>
        <w:contextualSpacing w:val="0"/>
        <w:jc w:val="both"/>
      </w:pPr>
      <w:r>
        <w:rPr>
          <w:b/>
          <w:u w:val="single"/>
        </w:rPr>
        <w:t>Entire Agreement.</w:t>
      </w:r>
      <w:r>
        <w:t xml:space="preserve"> </w:t>
      </w:r>
    </w:p>
    <w:p w14:paraId="4034B258" w14:textId="77777777" w:rsidR="00243688" w:rsidRDefault="00243688" w:rsidP="00243688">
      <w:pPr>
        <w:pStyle w:val="ListParagraph"/>
        <w:numPr>
          <w:ilvl w:val="1"/>
          <w:numId w:val="8"/>
        </w:numPr>
        <w:contextualSpacing w:val="0"/>
        <w:jc w:val="both"/>
      </w:pPr>
      <w:r>
        <w:lastRenderedPageBreak/>
        <w:t>This Agreement</w:t>
      </w:r>
      <w:r w:rsidR="008F7404">
        <w:t xml:space="preserve"> </w:t>
      </w:r>
      <w:r>
        <w:t>is the entire agreement between the Parties with respect to the Development and the spec</w:t>
      </w:r>
      <w:r w:rsidR="008F7404">
        <w:t>ial rights and obligations</w:t>
      </w:r>
      <w:r>
        <w:t xml:space="preserve"> granted to and assumed by Developer related to the Development. </w:t>
      </w:r>
    </w:p>
    <w:p w14:paraId="40AABCCD" w14:textId="77777777" w:rsidR="00B52A39" w:rsidRDefault="00243688" w:rsidP="008F7404">
      <w:pPr>
        <w:pStyle w:val="ListParagraph"/>
        <w:numPr>
          <w:ilvl w:val="1"/>
          <w:numId w:val="8"/>
        </w:numPr>
        <w:contextualSpacing w:val="0"/>
        <w:jc w:val="both"/>
      </w:pPr>
      <w:r>
        <w:t>This Agreement shall supersede all prior agreements, conversations, understandings, contracts, and representations related to the Development or any term or provision of this Agreement.</w:t>
      </w:r>
      <w:r w:rsidR="00E8478B">
        <w:t xml:space="preserve"> Neither party shall rely on or </w:t>
      </w:r>
      <w:r w:rsidR="008F7404">
        <w:t xml:space="preserve">attempt to </w:t>
      </w:r>
      <w:r w:rsidR="00E8478B">
        <w:t>enforce any statement or representation, not contained herein, made by any person regarding the Development or Developer’s rights and obligations thereto.</w:t>
      </w:r>
    </w:p>
    <w:p w14:paraId="7119CE59" w14:textId="77777777" w:rsidR="00CC57BA" w:rsidRDefault="00B52A39" w:rsidP="008F7404">
      <w:pPr>
        <w:pStyle w:val="ListParagraph"/>
        <w:numPr>
          <w:ilvl w:val="0"/>
          <w:numId w:val="8"/>
        </w:numPr>
        <w:contextualSpacing w:val="0"/>
        <w:jc w:val="both"/>
      </w:pPr>
      <w:r>
        <w:rPr>
          <w:b/>
          <w:u w:val="single"/>
        </w:rPr>
        <w:t>Enforcement</w:t>
      </w:r>
      <w:r w:rsidR="00E8478B">
        <w:rPr>
          <w:b/>
          <w:u w:val="single"/>
        </w:rPr>
        <w:t xml:space="preserve"> and Governing Law</w:t>
      </w:r>
      <w:r>
        <w:rPr>
          <w:b/>
          <w:u w:val="single"/>
        </w:rPr>
        <w:t>.</w:t>
      </w:r>
      <w:r>
        <w:t xml:space="preserve"> </w:t>
      </w:r>
      <w:r w:rsidR="00E8478B">
        <w:t>This Agreement may be enforced by any means available to the parties, subject to the notice and default provisions set forth in Section 15. This Agreement shall be governed by the laws of the State of Utah, and any court proceedings shall be brought in the First Judicial District Court of the State of Utah. Prior to initiating any</w:t>
      </w:r>
      <w:r w:rsidR="008F7404">
        <w:t xml:space="preserve"> such</w:t>
      </w:r>
      <w:r w:rsidR="00E8478B">
        <w:t xml:space="preserve"> litigation, the parties shall first attempt to mediate or seek an advisory opinion regarding any dispute related to this Agreement through the Utah Property Rights Ombudsman’s office</w:t>
      </w:r>
      <w:r w:rsidR="008F7404">
        <w:t xml:space="preserve"> or another qualified mediator that both parties agree upon</w:t>
      </w:r>
      <w:r w:rsidR="00E8478B">
        <w:t xml:space="preserve">. A party that prevails in any litigation following such mediation or opinion regarding this Agreement shall be entitled to recover their reasonable court costs and attorney fees related to the </w:t>
      </w:r>
      <w:r w:rsidR="008F7404">
        <w:t>litigation</w:t>
      </w:r>
      <w:r w:rsidR="00E8478B">
        <w:t xml:space="preserve">. </w:t>
      </w:r>
    </w:p>
    <w:p w14:paraId="060E3049" w14:textId="77777777" w:rsidR="008F7404" w:rsidRDefault="008F7404" w:rsidP="008F7404">
      <w:pPr>
        <w:pStyle w:val="ListParagraph"/>
        <w:numPr>
          <w:ilvl w:val="0"/>
          <w:numId w:val="8"/>
        </w:numPr>
        <w:contextualSpacing w:val="0"/>
        <w:jc w:val="both"/>
      </w:pPr>
      <w:r>
        <w:rPr>
          <w:b/>
          <w:u w:val="single"/>
        </w:rPr>
        <w:t>Third Parties.</w:t>
      </w:r>
      <w:r>
        <w:t xml:space="preserve"> This Agreement is intended for the sole benefit of the named parties thereto. No third party, except for permitted assignees, transferees, and successors-in-interest, shall have any right to enforce any of the terms or obligations herein contained.</w:t>
      </w:r>
    </w:p>
    <w:p w14:paraId="695F0F0C" w14:textId="77777777" w:rsidR="008F7404" w:rsidRDefault="008F7404" w:rsidP="00E8478B">
      <w:pPr>
        <w:pStyle w:val="ListParagraph"/>
        <w:numPr>
          <w:ilvl w:val="0"/>
          <w:numId w:val="8"/>
        </w:numPr>
        <w:contextualSpacing w:val="0"/>
        <w:jc w:val="both"/>
      </w:pPr>
      <w:r>
        <w:rPr>
          <w:b/>
          <w:u w:val="single"/>
        </w:rPr>
        <w:t>Representations.</w:t>
      </w:r>
      <w:r>
        <w:t xml:space="preserve"> The persons signing this Agreement on behalf of the parties represent </w:t>
      </w:r>
      <w:r w:rsidR="00047FFB">
        <w:t xml:space="preserve">and warrant </w:t>
      </w:r>
      <w:r>
        <w:t>that they have the authority and authorization to execute the Agreement on behalf of the respective party such that the party will be bound by all rights, obligations, terms, and conditions herein, and that all steps, requirements, and processes necessary for a party to approve and execute the Agreement have each been completed.</w:t>
      </w:r>
    </w:p>
    <w:p w14:paraId="7ED137D7" w14:textId="77777777" w:rsidR="008F7404" w:rsidRDefault="008F7404" w:rsidP="008F7404">
      <w:pPr>
        <w:jc w:val="center"/>
      </w:pPr>
      <w:r>
        <w:t>-- SIGNATURE PAGE AND ACKNOWLEDGEMENT TO FOLLOW --</w:t>
      </w:r>
    </w:p>
    <w:p w14:paraId="3B58364E" w14:textId="77777777" w:rsidR="008F7404" w:rsidRDefault="008F7404">
      <w:pPr>
        <w:spacing w:after="200" w:line="276" w:lineRule="auto"/>
      </w:pPr>
      <w:r>
        <w:br w:type="page"/>
      </w:r>
    </w:p>
    <w:p w14:paraId="42282A46" w14:textId="77777777" w:rsidR="008F7404" w:rsidRDefault="008F7404" w:rsidP="00BA40B5">
      <w:pPr>
        <w:spacing w:after="0"/>
        <w:jc w:val="both"/>
      </w:pPr>
      <w:r>
        <w:lastRenderedPageBreak/>
        <w:t>For Hyde Park City:</w:t>
      </w:r>
      <w:r>
        <w:tab/>
      </w:r>
      <w:r>
        <w:tab/>
      </w:r>
      <w:r>
        <w:tab/>
      </w:r>
      <w:r>
        <w:tab/>
      </w:r>
      <w:r>
        <w:tab/>
        <w:t>Attested by:</w:t>
      </w:r>
    </w:p>
    <w:p w14:paraId="19EA9467" w14:textId="77777777" w:rsidR="00BA40B5" w:rsidRDefault="00BA40B5" w:rsidP="00BA40B5">
      <w:pPr>
        <w:spacing w:after="0"/>
        <w:jc w:val="both"/>
      </w:pPr>
    </w:p>
    <w:p w14:paraId="574BE625" w14:textId="77777777" w:rsidR="00BA40B5" w:rsidRDefault="00BA40B5" w:rsidP="00BA40B5">
      <w:pPr>
        <w:spacing w:after="0"/>
        <w:jc w:val="both"/>
      </w:pPr>
    </w:p>
    <w:p w14:paraId="15C8F229" w14:textId="77777777" w:rsidR="008F7404" w:rsidRDefault="008F7404" w:rsidP="00BA40B5">
      <w:pPr>
        <w:spacing w:after="0"/>
        <w:jc w:val="both"/>
      </w:pPr>
      <w:r>
        <w:t>By:</w:t>
      </w:r>
      <w:r w:rsidR="00BA40B5">
        <w:t xml:space="preserve"> </w:t>
      </w:r>
      <w:r w:rsidR="00BA40B5">
        <w:rPr>
          <w:u w:val="single"/>
        </w:rPr>
        <w:tab/>
      </w:r>
      <w:r w:rsidR="00BA40B5">
        <w:rPr>
          <w:u w:val="single"/>
        </w:rPr>
        <w:tab/>
      </w:r>
      <w:r w:rsidR="00BA40B5">
        <w:rPr>
          <w:u w:val="single"/>
        </w:rPr>
        <w:tab/>
      </w:r>
      <w:r w:rsidR="00BA40B5">
        <w:rPr>
          <w:u w:val="single"/>
        </w:rPr>
        <w:tab/>
      </w:r>
      <w:r w:rsidR="00BA40B5">
        <w:rPr>
          <w:u w:val="single"/>
        </w:rPr>
        <w:tab/>
      </w:r>
      <w:r w:rsidR="00BA40B5">
        <w:tab/>
      </w:r>
      <w:r w:rsidR="00BA40B5">
        <w:tab/>
      </w:r>
      <w:r w:rsidR="00BA40B5">
        <w:rPr>
          <w:u w:val="single"/>
        </w:rPr>
        <w:tab/>
      </w:r>
      <w:r w:rsidR="00BA40B5">
        <w:rPr>
          <w:u w:val="single"/>
        </w:rPr>
        <w:tab/>
      </w:r>
      <w:r w:rsidR="00BA40B5">
        <w:rPr>
          <w:u w:val="single"/>
        </w:rPr>
        <w:tab/>
      </w:r>
      <w:r w:rsidR="00BA40B5">
        <w:rPr>
          <w:u w:val="single"/>
        </w:rPr>
        <w:tab/>
      </w:r>
      <w:r w:rsidR="00BA40B5">
        <w:rPr>
          <w:u w:val="single"/>
        </w:rPr>
        <w:tab/>
      </w:r>
    </w:p>
    <w:p w14:paraId="58FEC4C4" w14:textId="77777777" w:rsidR="008F7404" w:rsidRDefault="008F7404" w:rsidP="00BA40B5">
      <w:pPr>
        <w:spacing w:after="0"/>
        <w:jc w:val="both"/>
      </w:pPr>
      <w:r>
        <w:t xml:space="preserve">     </w:t>
      </w:r>
      <w:r w:rsidR="00BA40B5">
        <w:t xml:space="preserve">  </w:t>
      </w:r>
      <w:r>
        <w:t>Mayor</w:t>
      </w:r>
      <w:r>
        <w:tab/>
      </w:r>
      <w:r>
        <w:tab/>
      </w:r>
      <w:r>
        <w:tab/>
      </w:r>
      <w:r>
        <w:tab/>
      </w:r>
      <w:r>
        <w:tab/>
      </w:r>
      <w:r>
        <w:tab/>
        <w:t xml:space="preserve"> City Recorder</w:t>
      </w:r>
    </w:p>
    <w:p w14:paraId="40CF840C" w14:textId="77777777" w:rsidR="008F7404" w:rsidRDefault="008F7404" w:rsidP="00BA40B5">
      <w:pPr>
        <w:spacing w:after="0"/>
        <w:jc w:val="both"/>
      </w:pPr>
    </w:p>
    <w:p w14:paraId="740988F6" w14:textId="77777777" w:rsidR="00BA40B5" w:rsidRPr="00BA40B5" w:rsidRDefault="00BA40B5" w:rsidP="00BA40B5">
      <w:pPr>
        <w:spacing w:after="0"/>
        <w:jc w:val="both"/>
        <w:rPr>
          <w:u w:val="single"/>
        </w:rPr>
      </w:pPr>
      <w:r>
        <w:t xml:space="preserve">Date: </w:t>
      </w:r>
      <w:r>
        <w:rPr>
          <w:u w:val="single"/>
        </w:rPr>
        <w:tab/>
      </w:r>
      <w:r>
        <w:rPr>
          <w:u w:val="single"/>
        </w:rPr>
        <w:tab/>
      </w:r>
      <w:r>
        <w:rPr>
          <w:u w:val="single"/>
        </w:rPr>
        <w:tab/>
      </w:r>
      <w:r>
        <w:rPr>
          <w:u w:val="single"/>
        </w:rPr>
        <w:tab/>
      </w:r>
      <w:r>
        <w:rPr>
          <w:u w:val="single"/>
        </w:rPr>
        <w:tab/>
      </w:r>
    </w:p>
    <w:p w14:paraId="2CD845F2" w14:textId="77777777" w:rsidR="00BA40B5" w:rsidRDefault="00BA40B5" w:rsidP="00BA40B5">
      <w:pPr>
        <w:spacing w:after="0"/>
        <w:jc w:val="both"/>
      </w:pPr>
    </w:p>
    <w:p w14:paraId="00002312" w14:textId="77777777" w:rsidR="00BA40B5" w:rsidRDefault="00BA40B5" w:rsidP="00BA40B5">
      <w:pPr>
        <w:spacing w:after="0"/>
        <w:jc w:val="both"/>
      </w:pPr>
    </w:p>
    <w:p w14:paraId="204E07F6" w14:textId="77777777" w:rsidR="00047FFB" w:rsidRDefault="00047FFB" w:rsidP="00BA40B5">
      <w:pPr>
        <w:spacing w:after="0"/>
        <w:jc w:val="both"/>
      </w:pPr>
    </w:p>
    <w:p w14:paraId="6C943877" w14:textId="77777777" w:rsidR="00047FFB" w:rsidRDefault="00047FFB" w:rsidP="00BA40B5">
      <w:pPr>
        <w:spacing w:after="0"/>
        <w:jc w:val="both"/>
      </w:pPr>
    </w:p>
    <w:p w14:paraId="0D471B87" w14:textId="77777777" w:rsidR="00047FFB" w:rsidRDefault="00047FFB" w:rsidP="00BA40B5">
      <w:pPr>
        <w:spacing w:after="0"/>
        <w:jc w:val="both"/>
      </w:pPr>
    </w:p>
    <w:p w14:paraId="7BF7CBE7" w14:textId="77777777" w:rsidR="008F7404" w:rsidRPr="00047FFB" w:rsidRDefault="008F7404" w:rsidP="00BA40B5">
      <w:pPr>
        <w:spacing w:after="0"/>
        <w:jc w:val="both"/>
      </w:pPr>
      <w:r>
        <w:t>For Developer:</w:t>
      </w:r>
      <w:r w:rsidR="00047FFB">
        <w:t xml:space="preserve"> </w:t>
      </w:r>
      <w:r w:rsidR="00047FFB">
        <w:rPr>
          <w:u w:val="single"/>
        </w:rPr>
        <w:tab/>
      </w:r>
      <w:r w:rsidR="00047FFB">
        <w:rPr>
          <w:u w:val="single"/>
        </w:rPr>
        <w:tab/>
      </w:r>
      <w:r w:rsidR="00047FFB">
        <w:rPr>
          <w:u w:val="single"/>
        </w:rPr>
        <w:tab/>
      </w:r>
      <w:r w:rsidR="00047FFB">
        <w:rPr>
          <w:u w:val="single"/>
        </w:rPr>
        <w:tab/>
      </w:r>
      <w:r w:rsidR="00047FFB">
        <w:rPr>
          <w:u w:val="single"/>
        </w:rPr>
        <w:tab/>
      </w:r>
      <w:r w:rsidR="00047FFB">
        <w:rPr>
          <w:u w:val="single"/>
        </w:rPr>
        <w:tab/>
      </w:r>
      <w:r w:rsidR="00047FFB">
        <w:rPr>
          <w:u w:val="single"/>
        </w:rPr>
        <w:tab/>
      </w:r>
    </w:p>
    <w:p w14:paraId="6C565028" w14:textId="77777777" w:rsidR="00BA40B5" w:rsidRDefault="00BA40B5" w:rsidP="00BA40B5">
      <w:pPr>
        <w:spacing w:after="0"/>
        <w:jc w:val="both"/>
      </w:pPr>
    </w:p>
    <w:p w14:paraId="464DF675" w14:textId="77777777" w:rsidR="00BA40B5" w:rsidRDefault="00BA40B5" w:rsidP="00BA40B5">
      <w:pPr>
        <w:spacing w:after="0"/>
        <w:jc w:val="both"/>
      </w:pPr>
    </w:p>
    <w:p w14:paraId="37F4BDF2" w14:textId="77777777" w:rsidR="00BA40B5" w:rsidRDefault="00BA40B5" w:rsidP="00BA40B5">
      <w:pPr>
        <w:spacing w:after="0"/>
        <w:jc w:val="both"/>
      </w:pPr>
      <w:r>
        <w:t xml:space="preserve">By: </w:t>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r>
        <w:rPr>
          <w:u w:val="single"/>
        </w:rPr>
        <w:tab/>
      </w:r>
    </w:p>
    <w:p w14:paraId="4327C5C7" w14:textId="77777777" w:rsidR="00BA40B5" w:rsidRPr="00BA40B5" w:rsidRDefault="00BA40B5" w:rsidP="00BA40B5">
      <w:pPr>
        <w:spacing w:after="0"/>
        <w:jc w:val="both"/>
        <w:rPr>
          <w:u w:val="single"/>
        </w:rPr>
      </w:pPr>
      <w:r>
        <w:tab/>
      </w:r>
    </w:p>
    <w:p w14:paraId="67DB4D77" w14:textId="77777777" w:rsidR="00BA40B5" w:rsidRDefault="00BA40B5" w:rsidP="00BA40B5">
      <w:pPr>
        <w:spacing w:after="0"/>
        <w:jc w:val="both"/>
      </w:pPr>
      <w:r>
        <w:t xml:space="preserve">Name: </w:t>
      </w:r>
      <w:r>
        <w:rPr>
          <w:u w:val="single"/>
        </w:rPr>
        <w:tab/>
      </w:r>
      <w:r>
        <w:rPr>
          <w:u w:val="single"/>
        </w:rPr>
        <w:tab/>
      </w:r>
      <w:r>
        <w:rPr>
          <w:u w:val="single"/>
        </w:rPr>
        <w:tab/>
      </w:r>
      <w:r>
        <w:rPr>
          <w:u w:val="single"/>
        </w:rPr>
        <w:tab/>
      </w:r>
      <w:r>
        <w:rPr>
          <w:u w:val="single"/>
        </w:rPr>
        <w:tab/>
      </w:r>
      <w:r>
        <w:rPr>
          <w:u w:val="single"/>
        </w:rPr>
        <w:tab/>
      </w:r>
    </w:p>
    <w:p w14:paraId="6337B6D4" w14:textId="77777777" w:rsidR="00BA40B5" w:rsidRDefault="00BA40B5" w:rsidP="00BA40B5">
      <w:pPr>
        <w:spacing w:after="0"/>
        <w:jc w:val="both"/>
      </w:pPr>
      <w:r>
        <w:t xml:space="preserve">       </w:t>
      </w:r>
      <w:r>
        <w:tab/>
      </w:r>
      <w:r>
        <w:tab/>
      </w:r>
      <w:r>
        <w:tab/>
      </w:r>
      <w:r>
        <w:tab/>
      </w:r>
      <w:r>
        <w:tab/>
      </w:r>
      <w:r>
        <w:tab/>
      </w:r>
    </w:p>
    <w:p w14:paraId="6B6DD2BB" w14:textId="77777777" w:rsidR="00BA40B5" w:rsidRPr="00BA40B5" w:rsidRDefault="00BA40B5" w:rsidP="00BA40B5">
      <w:pPr>
        <w:spacing w:after="0"/>
        <w:jc w:val="both"/>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6F3A4977" w14:textId="77777777" w:rsidR="00BA40B5" w:rsidRDefault="00BA40B5" w:rsidP="00BA40B5">
      <w:pPr>
        <w:spacing w:after="0"/>
        <w:jc w:val="both"/>
      </w:pPr>
      <w:r>
        <w:tab/>
      </w:r>
      <w:r>
        <w:tab/>
      </w:r>
      <w:r>
        <w:tab/>
      </w:r>
      <w:r>
        <w:tab/>
      </w:r>
      <w:r>
        <w:tab/>
      </w:r>
      <w:r>
        <w:tab/>
      </w:r>
    </w:p>
    <w:p w14:paraId="2A214C0C" w14:textId="77777777" w:rsidR="008F7404" w:rsidRDefault="008F7404" w:rsidP="008F7404">
      <w:pPr>
        <w:jc w:val="both"/>
      </w:pPr>
    </w:p>
    <w:p w14:paraId="5A6F3EE6" w14:textId="77777777" w:rsidR="00BA40B5" w:rsidRPr="00C25092" w:rsidRDefault="00BA40B5" w:rsidP="00BA40B5">
      <w:pPr>
        <w:keepNext/>
        <w:contextualSpacing/>
        <w:rPr>
          <w:rFonts w:cs="Times New Roman"/>
          <w:szCs w:val="24"/>
        </w:rPr>
      </w:pPr>
      <w:r w:rsidRPr="00C25092">
        <w:rPr>
          <w:rFonts w:cs="Times New Roman"/>
          <w:noProof/>
          <w:szCs w:val="24"/>
        </w:rPr>
        <w:t>STATE OF UTAH</w:t>
      </w:r>
      <w:r w:rsidRPr="00C25092">
        <w:rPr>
          <w:rFonts w:cs="Times New Roman"/>
          <w:szCs w:val="24"/>
        </w:rPr>
        <w:tab/>
        <w:t>)</w:t>
      </w:r>
    </w:p>
    <w:p w14:paraId="78CCF5E3" w14:textId="77777777" w:rsidR="00BA40B5" w:rsidRPr="00C25092" w:rsidRDefault="00BA40B5" w:rsidP="00BA40B5">
      <w:pPr>
        <w:keepNext/>
        <w:contextualSpacing/>
        <w:rPr>
          <w:rFonts w:cs="Times New Roman"/>
          <w:szCs w:val="24"/>
        </w:rPr>
      </w:pPr>
      <w:r w:rsidRPr="00C25092">
        <w:rPr>
          <w:rFonts w:cs="Times New Roman"/>
          <w:szCs w:val="24"/>
        </w:rPr>
        <w:tab/>
      </w:r>
      <w:r w:rsidRPr="00C25092">
        <w:rPr>
          <w:rFonts w:cs="Times New Roman"/>
          <w:szCs w:val="24"/>
        </w:rPr>
        <w:tab/>
      </w:r>
      <w:r w:rsidRPr="00C25092">
        <w:rPr>
          <w:rFonts w:cs="Times New Roman"/>
          <w:szCs w:val="24"/>
        </w:rPr>
        <w:tab/>
        <w:t>: ss</w:t>
      </w:r>
    </w:p>
    <w:p w14:paraId="6A01FABA" w14:textId="77777777" w:rsidR="00BA40B5" w:rsidRPr="00C25092" w:rsidRDefault="00BA40B5" w:rsidP="00BA40B5">
      <w:pPr>
        <w:keepNext/>
        <w:contextualSpacing/>
        <w:rPr>
          <w:rFonts w:cs="Times New Roman"/>
          <w:szCs w:val="24"/>
        </w:rPr>
      </w:pPr>
      <w:r w:rsidRPr="00C25092">
        <w:rPr>
          <w:rFonts w:cs="Times New Roman"/>
          <w:szCs w:val="24"/>
        </w:rPr>
        <w:t xml:space="preserve">County of </w:t>
      </w:r>
      <w:r>
        <w:rPr>
          <w:rFonts w:cs="Times New Roman"/>
          <w:szCs w:val="24"/>
          <w:u w:val="single"/>
        </w:rPr>
        <w:tab/>
      </w:r>
      <w:r>
        <w:rPr>
          <w:rFonts w:cs="Times New Roman"/>
          <w:szCs w:val="24"/>
          <w:u w:val="single"/>
        </w:rPr>
        <w:tab/>
      </w:r>
      <w:r w:rsidRPr="00C25092">
        <w:rPr>
          <w:rFonts w:cs="Times New Roman"/>
          <w:szCs w:val="24"/>
        </w:rPr>
        <w:t>)</w:t>
      </w:r>
    </w:p>
    <w:p w14:paraId="68FC95BF" w14:textId="77777777" w:rsidR="00BA40B5" w:rsidRPr="00C25092" w:rsidRDefault="00BA40B5" w:rsidP="00BA40B5">
      <w:pPr>
        <w:keepNext/>
        <w:contextualSpacing/>
        <w:rPr>
          <w:rFonts w:cs="Times New Roman"/>
          <w:szCs w:val="24"/>
        </w:rPr>
      </w:pPr>
    </w:p>
    <w:p w14:paraId="3D09BAF8" w14:textId="77777777" w:rsidR="00BA40B5" w:rsidRPr="00C25092" w:rsidRDefault="00BA40B5" w:rsidP="00BA40B5">
      <w:pPr>
        <w:keepNext/>
        <w:spacing w:line="360" w:lineRule="auto"/>
        <w:ind w:firstLine="720"/>
        <w:contextualSpacing/>
        <w:jc w:val="both"/>
        <w:rPr>
          <w:rFonts w:cs="Times New Roman"/>
          <w:szCs w:val="24"/>
        </w:rPr>
      </w:pPr>
      <w:r w:rsidRPr="00C25092">
        <w:rPr>
          <w:rFonts w:cs="Times New Roman"/>
          <w:szCs w:val="24"/>
        </w:rPr>
        <w:t xml:space="preserve">On the ____ day </w:t>
      </w:r>
      <w:r w:rsidRPr="00C25092">
        <w:rPr>
          <w:rFonts w:cs="Times New Roman"/>
          <w:noProof/>
          <w:szCs w:val="24"/>
        </w:rPr>
        <w:t>of ________________,</w:t>
      </w:r>
      <w:r w:rsidRPr="00C25092">
        <w:rPr>
          <w:rFonts w:cs="Times New Roman"/>
          <w:szCs w:val="24"/>
        </w:rPr>
        <w:t xml:space="preserve"> 20</w:t>
      </w:r>
      <w:r>
        <w:rPr>
          <w:rFonts w:cs="Times New Roman"/>
          <w:szCs w:val="24"/>
        </w:rPr>
        <w:t>____</w:t>
      </w:r>
      <w:r w:rsidRPr="00C25092">
        <w:rPr>
          <w:rFonts w:cs="Times New Roman"/>
          <w:szCs w:val="24"/>
        </w:rPr>
        <w:t>, personally appeared before me</w:t>
      </w:r>
      <w:r>
        <w:rPr>
          <w:rFonts w:cs="Times New Roman"/>
          <w:szCs w:val="24"/>
        </w:rPr>
        <w:t>, _____________________________</w:t>
      </w:r>
      <w:r w:rsidRPr="00C25092">
        <w:rPr>
          <w:rFonts w:cs="Times New Roman"/>
          <w:szCs w:val="24"/>
        </w:rPr>
        <w:t xml:space="preserve">, </w:t>
      </w:r>
      <w:r>
        <w:rPr>
          <w:rFonts w:cs="Times New Roman"/>
          <w:szCs w:val="24"/>
        </w:rPr>
        <w:t xml:space="preserve">the </w:t>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rPr>
        <w:t xml:space="preserve"> of </w:t>
      </w:r>
      <w:r w:rsidRPr="00C25092">
        <w:rPr>
          <w:rFonts w:cs="Times New Roman"/>
          <w:szCs w:val="24"/>
        </w:rPr>
        <w:t xml:space="preserve">Developer, the signer of the foregoing instrument, who duly acknowledged to me that </w:t>
      </w:r>
      <w:r>
        <w:rPr>
          <w:rFonts w:cs="Times New Roman"/>
          <w:szCs w:val="24"/>
        </w:rPr>
        <w:t>t</w:t>
      </w:r>
      <w:r w:rsidRPr="00C25092">
        <w:rPr>
          <w:rFonts w:cs="Times New Roman"/>
          <w:szCs w:val="24"/>
        </w:rPr>
        <w:t>he</w:t>
      </w:r>
      <w:r>
        <w:rPr>
          <w:rFonts w:cs="Times New Roman"/>
          <w:szCs w:val="24"/>
        </w:rPr>
        <w:t>y</w:t>
      </w:r>
      <w:r w:rsidRPr="00C25092">
        <w:rPr>
          <w:rFonts w:cs="Times New Roman"/>
          <w:szCs w:val="24"/>
        </w:rPr>
        <w:t xml:space="preserve"> executed the same.</w:t>
      </w:r>
    </w:p>
    <w:p w14:paraId="39569C3A" w14:textId="77777777" w:rsidR="00BA40B5" w:rsidRDefault="00BA40B5" w:rsidP="00BA40B5">
      <w:pPr>
        <w:keepNext/>
        <w:contextualSpacing/>
        <w:rPr>
          <w:rFonts w:cs="Times New Roman"/>
          <w:szCs w:val="24"/>
        </w:rPr>
      </w:pPr>
    </w:p>
    <w:p w14:paraId="4AB438A2" w14:textId="77777777" w:rsidR="00BA40B5" w:rsidRPr="00C25092" w:rsidRDefault="00BA40B5" w:rsidP="00BA40B5">
      <w:pPr>
        <w:keepNext/>
        <w:contextualSpacing/>
        <w:rPr>
          <w:rFonts w:cs="Times New Roman"/>
          <w:szCs w:val="24"/>
        </w:rPr>
      </w:pPr>
    </w:p>
    <w:p w14:paraId="7EED7757" w14:textId="77777777" w:rsidR="00BA40B5" w:rsidRDefault="00BA40B5" w:rsidP="00BA40B5">
      <w:pPr>
        <w:tabs>
          <w:tab w:val="left" w:pos="5040"/>
        </w:tabs>
        <w:spacing w:after="0"/>
        <w:jc w:val="both"/>
      </w:pPr>
      <w:r>
        <w:tab/>
      </w:r>
      <w:r>
        <w:rPr>
          <w:u w:val="single"/>
        </w:rPr>
        <w:tab/>
      </w:r>
      <w:r>
        <w:rPr>
          <w:u w:val="single"/>
        </w:rPr>
        <w:tab/>
      </w:r>
      <w:r>
        <w:rPr>
          <w:u w:val="single"/>
        </w:rPr>
        <w:tab/>
      </w:r>
      <w:r>
        <w:rPr>
          <w:u w:val="single"/>
        </w:rPr>
        <w:tab/>
      </w:r>
      <w:r>
        <w:rPr>
          <w:u w:val="single"/>
        </w:rPr>
        <w:tab/>
      </w:r>
    </w:p>
    <w:p w14:paraId="7708324C" w14:textId="6778C103" w:rsidR="00BA40B5" w:rsidRDefault="00BA40B5" w:rsidP="00BA40B5">
      <w:pPr>
        <w:tabs>
          <w:tab w:val="left" w:pos="5040"/>
        </w:tabs>
        <w:jc w:val="both"/>
      </w:pPr>
      <w:r>
        <w:tab/>
        <w:t>NOTARY PUBLIC</w:t>
      </w:r>
    </w:p>
    <w:p w14:paraId="3F355BEC" w14:textId="77777777" w:rsidR="007F13B4" w:rsidRDefault="007F13B4" w:rsidP="00BA40B5">
      <w:pPr>
        <w:tabs>
          <w:tab w:val="left" w:pos="5040"/>
        </w:tabs>
        <w:jc w:val="both"/>
      </w:pPr>
    </w:p>
    <w:p w14:paraId="0CC4D403" w14:textId="77777777" w:rsidR="007F13B4" w:rsidRDefault="007F13B4" w:rsidP="00BA40B5">
      <w:pPr>
        <w:tabs>
          <w:tab w:val="left" w:pos="5040"/>
        </w:tabs>
        <w:jc w:val="both"/>
      </w:pPr>
    </w:p>
    <w:p w14:paraId="218D2109" w14:textId="77777777" w:rsidR="007F13B4" w:rsidRDefault="007F13B4" w:rsidP="00BA40B5">
      <w:pPr>
        <w:tabs>
          <w:tab w:val="left" w:pos="5040"/>
        </w:tabs>
        <w:jc w:val="both"/>
      </w:pPr>
    </w:p>
    <w:p w14:paraId="570CCAC8" w14:textId="77777777" w:rsidR="007F13B4" w:rsidRDefault="007F13B4" w:rsidP="00BA40B5">
      <w:pPr>
        <w:tabs>
          <w:tab w:val="left" w:pos="5040"/>
        </w:tabs>
        <w:jc w:val="both"/>
      </w:pPr>
    </w:p>
    <w:p w14:paraId="55C47546" w14:textId="77777777" w:rsidR="007F13B4" w:rsidRDefault="007F13B4" w:rsidP="00BA40B5">
      <w:pPr>
        <w:tabs>
          <w:tab w:val="left" w:pos="5040"/>
        </w:tabs>
        <w:jc w:val="both"/>
      </w:pPr>
    </w:p>
    <w:p w14:paraId="023DB5BA" w14:textId="77777777" w:rsidR="007F13B4" w:rsidRDefault="007F13B4" w:rsidP="00BA40B5">
      <w:pPr>
        <w:tabs>
          <w:tab w:val="left" w:pos="5040"/>
        </w:tabs>
        <w:jc w:val="both"/>
      </w:pPr>
    </w:p>
    <w:p w14:paraId="1C548A03" w14:textId="77777777" w:rsidR="007F13B4" w:rsidRDefault="007F13B4" w:rsidP="00BA40B5">
      <w:pPr>
        <w:tabs>
          <w:tab w:val="left" w:pos="5040"/>
        </w:tabs>
        <w:jc w:val="both"/>
      </w:pPr>
    </w:p>
    <w:p w14:paraId="0D50B9C9" w14:textId="66C21A5A" w:rsidR="007F13B4" w:rsidRPr="00AD2074" w:rsidRDefault="007F13B4" w:rsidP="007F13B4">
      <w:pPr>
        <w:tabs>
          <w:tab w:val="left" w:pos="5040"/>
        </w:tabs>
        <w:jc w:val="center"/>
        <w:rPr>
          <w:b/>
          <w:bCs/>
        </w:rPr>
      </w:pPr>
      <w:r w:rsidRPr="00AD2074">
        <w:rPr>
          <w:b/>
          <w:bCs/>
        </w:rPr>
        <w:t>EXHIBIT A – DEVELOPMENT PLANS</w:t>
      </w:r>
    </w:p>
    <w:p w14:paraId="70A92DC1" w14:textId="77777777" w:rsidR="007F13B4" w:rsidRDefault="007F13B4" w:rsidP="007F13B4">
      <w:pPr>
        <w:tabs>
          <w:tab w:val="left" w:pos="5040"/>
        </w:tabs>
        <w:jc w:val="center"/>
      </w:pPr>
    </w:p>
    <w:p w14:paraId="1D2B8E3D" w14:textId="77777777" w:rsidR="007F13B4" w:rsidRDefault="007F13B4" w:rsidP="007F13B4">
      <w:pPr>
        <w:tabs>
          <w:tab w:val="left" w:pos="5040"/>
        </w:tabs>
        <w:jc w:val="center"/>
      </w:pPr>
    </w:p>
    <w:p w14:paraId="30A51C49" w14:textId="77777777" w:rsidR="007F13B4" w:rsidRDefault="007F13B4" w:rsidP="007F13B4">
      <w:pPr>
        <w:tabs>
          <w:tab w:val="left" w:pos="5040"/>
        </w:tabs>
        <w:jc w:val="center"/>
      </w:pPr>
    </w:p>
    <w:p w14:paraId="1F47D3E3" w14:textId="77777777" w:rsidR="007F13B4" w:rsidRDefault="007F13B4" w:rsidP="007F13B4">
      <w:pPr>
        <w:tabs>
          <w:tab w:val="left" w:pos="5040"/>
        </w:tabs>
        <w:jc w:val="center"/>
      </w:pPr>
    </w:p>
    <w:p w14:paraId="6ED805B3" w14:textId="77777777" w:rsidR="007F13B4" w:rsidRDefault="007F13B4" w:rsidP="007F13B4">
      <w:pPr>
        <w:tabs>
          <w:tab w:val="left" w:pos="5040"/>
        </w:tabs>
        <w:jc w:val="center"/>
      </w:pPr>
    </w:p>
    <w:p w14:paraId="610F3642" w14:textId="77777777" w:rsidR="007F13B4" w:rsidRDefault="007F13B4" w:rsidP="007F13B4">
      <w:pPr>
        <w:tabs>
          <w:tab w:val="left" w:pos="5040"/>
        </w:tabs>
        <w:jc w:val="center"/>
      </w:pPr>
    </w:p>
    <w:p w14:paraId="0DD600E2" w14:textId="77777777" w:rsidR="007F13B4" w:rsidRDefault="007F13B4" w:rsidP="007F13B4">
      <w:pPr>
        <w:tabs>
          <w:tab w:val="left" w:pos="5040"/>
        </w:tabs>
        <w:jc w:val="center"/>
      </w:pPr>
    </w:p>
    <w:p w14:paraId="41293A76" w14:textId="77777777" w:rsidR="007F13B4" w:rsidRDefault="007F13B4" w:rsidP="007F13B4">
      <w:pPr>
        <w:tabs>
          <w:tab w:val="left" w:pos="5040"/>
        </w:tabs>
        <w:jc w:val="center"/>
      </w:pPr>
    </w:p>
    <w:p w14:paraId="5CF33FAD" w14:textId="77777777" w:rsidR="007F13B4" w:rsidRDefault="007F13B4" w:rsidP="007F13B4">
      <w:pPr>
        <w:tabs>
          <w:tab w:val="left" w:pos="5040"/>
        </w:tabs>
        <w:jc w:val="center"/>
      </w:pPr>
    </w:p>
    <w:p w14:paraId="4A65BF04" w14:textId="77777777" w:rsidR="007F13B4" w:rsidRDefault="007F13B4" w:rsidP="007F13B4">
      <w:pPr>
        <w:tabs>
          <w:tab w:val="left" w:pos="5040"/>
        </w:tabs>
        <w:jc w:val="center"/>
      </w:pPr>
    </w:p>
    <w:p w14:paraId="76CA8EBA" w14:textId="77777777" w:rsidR="007F13B4" w:rsidRDefault="007F13B4" w:rsidP="007F13B4">
      <w:pPr>
        <w:tabs>
          <w:tab w:val="left" w:pos="5040"/>
        </w:tabs>
        <w:jc w:val="center"/>
      </w:pPr>
    </w:p>
    <w:p w14:paraId="4911A04D" w14:textId="77777777" w:rsidR="007F13B4" w:rsidRDefault="007F13B4" w:rsidP="007F13B4">
      <w:pPr>
        <w:tabs>
          <w:tab w:val="left" w:pos="5040"/>
        </w:tabs>
        <w:jc w:val="center"/>
      </w:pPr>
    </w:p>
    <w:p w14:paraId="54432DA3" w14:textId="77777777" w:rsidR="007F13B4" w:rsidRDefault="007F13B4" w:rsidP="007F13B4">
      <w:pPr>
        <w:tabs>
          <w:tab w:val="left" w:pos="5040"/>
        </w:tabs>
        <w:jc w:val="center"/>
      </w:pPr>
    </w:p>
    <w:p w14:paraId="57094901" w14:textId="77777777" w:rsidR="007F13B4" w:rsidRDefault="007F13B4" w:rsidP="007F13B4">
      <w:pPr>
        <w:tabs>
          <w:tab w:val="left" w:pos="5040"/>
        </w:tabs>
        <w:jc w:val="center"/>
      </w:pPr>
    </w:p>
    <w:p w14:paraId="04B510CD" w14:textId="77777777" w:rsidR="007F13B4" w:rsidRDefault="007F13B4" w:rsidP="007F13B4">
      <w:pPr>
        <w:tabs>
          <w:tab w:val="left" w:pos="5040"/>
        </w:tabs>
        <w:jc w:val="center"/>
      </w:pPr>
    </w:p>
    <w:p w14:paraId="38F2A08C" w14:textId="77777777" w:rsidR="007F13B4" w:rsidRDefault="007F13B4" w:rsidP="007F13B4">
      <w:pPr>
        <w:tabs>
          <w:tab w:val="left" w:pos="5040"/>
        </w:tabs>
        <w:jc w:val="center"/>
      </w:pPr>
    </w:p>
    <w:p w14:paraId="321EED7C" w14:textId="77777777" w:rsidR="007F13B4" w:rsidRDefault="007F13B4" w:rsidP="007F13B4">
      <w:pPr>
        <w:tabs>
          <w:tab w:val="left" w:pos="5040"/>
        </w:tabs>
        <w:jc w:val="center"/>
      </w:pPr>
    </w:p>
    <w:p w14:paraId="21F84399" w14:textId="77777777" w:rsidR="007F13B4" w:rsidRDefault="007F13B4" w:rsidP="007F13B4">
      <w:pPr>
        <w:tabs>
          <w:tab w:val="left" w:pos="5040"/>
        </w:tabs>
        <w:jc w:val="center"/>
      </w:pPr>
    </w:p>
    <w:p w14:paraId="3375472F" w14:textId="77777777" w:rsidR="007F13B4" w:rsidRDefault="007F13B4" w:rsidP="007F13B4">
      <w:pPr>
        <w:tabs>
          <w:tab w:val="left" w:pos="5040"/>
        </w:tabs>
        <w:jc w:val="center"/>
      </w:pPr>
    </w:p>
    <w:p w14:paraId="572C7EEF" w14:textId="77777777" w:rsidR="007F13B4" w:rsidRDefault="007F13B4" w:rsidP="007F13B4">
      <w:pPr>
        <w:tabs>
          <w:tab w:val="left" w:pos="5040"/>
        </w:tabs>
        <w:jc w:val="center"/>
      </w:pPr>
    </w:p>
    <w:p w14:paraId="09C330C4" w14:textId="77777777" w:rsidR="007F13B4" w:rsidRDefault="007F13B4" w:rsidP="007F13B4">
      <w:pPr>
        <w:tabs>
          <w:tab w:val="left" w:pos="5040"/>
        </w:tabs>
        <w:jc w:val="center"/>
      </w:pPr>
    </w:p>
    <w:p w14:paraId="4D5058EF" w14:textId="77777777" w:rsidR="007F13B4" w:rsidRDefault="007F13B4" w:rsidP="007F13B4">
      <w:pPr>
        <w:tabs>
          <w:tab w:val="left" w:pos="5040"/>
        </w:tabs>
        <w:jc w:val="center"/>
      </w:pPr>
    </w:p>
    <w:p w14:paraId="1045423D" w14:textId="77777777" w:rsidR="007F13B4" w:rsidRDefault="007F13B4" w:rsidP="007F13B4">
      <w:pPr>
        <w:tabs>
          <w:tab w:val="left" w:pos="5040"/>
        </w:tabs>
        <w:jc w:val="center"/>
      </w:pPr>
    </w:p>
    <w:p w14:paraId="2E6BA99F" w14:textId="77777777" w:rsidR="007F13B4" w:rsidRDefault="007F13B4" w:rsidP="007F13B4">
      <w:pPr>
        <w:tabs>
          <w:tab w:val="left" w:pos="5040"/>
        </w:tabs>
        <w:jc w:val="center"/>
      </w:pPr>
    </w:p>
    <w:p w14:paraId="61495852" w14:textId="28B18E30" w:rsidR="007F13B4" w:rsidRDefault="007F13B4" w:rsidP="00AD2074">
      <w:pPr>
        <w:tabs>
          <w:tab w:val="left" w:pos="5040"/>
        </w:tabs>
        <w:jc w:val="center"/>
        <w:rPr>
          <w:b/>
          <w:bCs/>
        </w:rPr>
      </w:pPr>
      <w:r w:rsidRPr="00AD2074">
        <w:rPr>
          <w:b/>
          <w:bCs/>
        </w:rPr>
        <w:t>EXHIBIT B – IMPACT FEE AND CONSTRUCTION FEES</w:t>
      </w:r>
    </w:p>
    <w:p w14:paraId="714C107D" w14:textId="77777777" w:rsidR="00AD2074" w:rsidRDefault="00AD2074" w:rsidP="00AD2074">
      <w:pPr>
        <w:tabs>
          <w:tab w:val="left" w:pos="5040"/>
        </w:tabs>
        <w:jc w:val="center"/>
        <w:rPr>
          <w:b/>
          <w:bCs/>
        </w:rPr>
      </w:pPr>
    </w:p>
    <w:p w14:paraId="33FF2583" w14:textId="5E4ED07B" w:rsidR="00AD2074" w:rsidRDefault="00AD2074">
      <w:pPr>
        <w:spacing w:after="200" w:line="276" w:lineRule="auto"/>
        <w:rPr>
          <w:b/>
          <w:bCs/>
        </w:rPr>
      </w:pPr>
      <w:r>
        <w:rPr>
          <w:b/>
          <w:bCs/>
        </w:rPr>
        <w:br w:type="page"/>
      </w:r>
    </w:p>
    <w:p w14:paraId="10A0D9E0" w14:textId="409EFB27" w:rsidR="00AD2074" w:rsidRPr="00AD2074" w:rsidRDefault="00AD2074" w:rsidP="00AD2074">
      <w:pPr>
        <w:tabs>
          <w:tab w:val="left" w:pos="5040"/>
        </w:tabs>
        <w:jc w:val="center"/>
        <w:rPr>
          <w:b/>
          <w:bCs/>
        </w:rPr>
      </w:pPr>
      <w:r w:rsidRPr="00AD2074">
        <w:rPr>
          <w:b/>
          <w:bCs/>
        </w:rPr>
        <w:lastRenderedPageBreak/>
        <w:t xml:space="preserve">EXHIBIT </w:t>
      </w:r>
      <w:r>
        <w:rPr>
          <w:b/>
          <w:bCs/>
        </w:rPr>
        <w:t>C</w:t>
      </w:r>
      <w:r w:rsidRPr="00AD2074">
        <w:rPr>
          <w:b/>
          <w:bCs/>
        </w:rPr>
        <w:t xml:space="preserve"> – </w:t>
      </w:r>
      <w:r>
        <w:rPr>
          <w:b/>
          <w:bCs/>
        </w:rPr>
        <w:t>LEGAL DESCRIPTIONS OF PROPERTY</w:t>
      </w:r>
    </w:p>
    <w:sectPr w:rsidR="00AD2074" w:rsidRPr="00AD20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6617" w14:textId="77777777" w:rsidR="00201ADE" w:rsidRDefault="00201ADE" w:rsidP="0082451D">
      <w:pPr>
        <w:spacing w:after="0"/>
      </w:pPr>
      <w:r>
        <w:separator/>
      </w:r>
    </w:p>
  </w:endnote>
  <w:endnote w:type="continuationSeparator" w:id="0">
    <w:p w14:paraId="565B87BB" w14:textId="77777777" w:rsidR="00201ADE" w:rsidRDefault="00201ADE" w:rsidP="00824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56751"/>
      <w:docPartObj>
        <w:docPartGallery w:val="Page Numbers (Bottom of Page)"/>
        <w:docPartUnique/>
      </w:docPartObj>
    </w:sdtPr>
    <w:sdtEndPr/>
    <w:sdtContent>
      <w:sdt>
        <w:sdtPr>
          <w:id w:val="-1669238322"/>
          <w:docPartObj>
            <w:docPartGallery w:val="Page Numbers (Top of Page)"/>
            <w:docPartUnique/>
          </w:docPartObj>
        </w:sdtPr>
        <w:sdtEndPr/>
        <w:sdtContent>
          <w:p w14:paraId="34756114" w14:textId="77777777" w:rsidR="00CC57BA" w:rsidRDefault="00CC57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47FF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47FFB">
              <w:rPr>
                <w:b/>
                <w:bCs/>
                <w:noProof/>
              </w:rPr>
              <w:t>8</w:t>
            </w:r>
            <w:r>
              <w:rPr>
                <w:b/>
                <w:bCs/>
                <w:szCs w:val="24"/>
              </w:rPr>
              <w:fldChar w:fldCharType="end"/>
            </w:r>
          </w:p>
        </w:sdtContent>
      </w:sdt>
    </w:sdtContent>
  </w:sdt>
  <w:p w14:paraId="161A16DB" w14:textId="77777777" w:rsidR="00CC57BA" w:rsidRDefault="00CC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A916" w14:textId="77777777" w:rsidR="00201ADE" w:rsidRDefault="00201ADE" w:rsidP="0082451D">
      <w:pPr>
        <w:spacing w:after="0"/>
      </w:pPr>
      <w:r>
        <w:separator/>
      </w:r>
    </w:p>
  </w:footnote>
  <w:footnote w:type="continuationSeparator" w:id="0">
    <w:p w14:paraId="1EBC7452" w14:textId="77777777" w:rsidR="00201ADE" w:rsidRDefault="00201ADE" w:rsidP="008245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6642"/>
    <w:multiLevelType w:val="hybridMultilevel"/>
    <w:tmpl w:val="EBC8DE26"/>
    <w:lvl w:ilvl="0" w:tplc="056094DE">
      <w:start w:val="1"/>
      <w:numFmt w:val="decimal"/>
      <w:pStyle w:val="Heading4"/>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3F38"/>
    <w:multiLevelType w:val="hybridMultilevel"/>
    <w:tmpl w:val="37AC3B94"/>
    <w:lvl w:ilvl="0" w:tplc="F1CCCE66">
      <w:start w:val="1"/>
      <w:numFmt w:val="upperRoman"/>
      <w:pStyle w:val="Heading2"/>
      <w:lvlText w:val="%1."/>
      <w:lvlJc w:val="righ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D05BB"/>
    <w:multiLevelType w:val="hybridMultilevel"/>
    <w:tmpl w:val="89C84E64"/>
    <w:lvl w:ilvl="0" w:tplc="195C4330">
      <w:start w:val="1"/>
      <w:numFmt w:val="decimal"/>
      <w:lvlText w:val="%1."/>
      <w:lvlJc w:val="left"/>
      <w:pPr>
        <w:ind w:left="720" w:hanging="360"/>
      </w:pPr>
      <w:rPr>
        <w:b w:val="0"/>
      </w:rPr>
    </w:lvl>
    <w:lvl w:ilvl="1" w:tplc="F066FED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34B8C"/>
    <w:multiLevelType w:val="hybridMultilevel"/>
    <w:tmpl w:val="0E226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D0098"/>
    <w:multiLevelType w:val="hybridMultilevel"/>
    <w:tmpl w:val="E69A52EC"/>
    <w:lvl w:ilvl="0" w:tplc="7FDC9F2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296697">
    <w:abstractNumId w:val="1"/>
  </w:num>
  <w:num w:numId="2" w16cid:durableId="512453294">
    <w:abstractNumId w:val="4"/>
  </w:num>
  <w:num w:numId="3" w16cid:durableId="610012014">
    <w:abstractNumId w:val="0"/>
  </w:num>
  <w:num w:numId="4" w16cid:durableId="1663239736">
    <w:abstractNumId w:val="1"/>
  </w:num>
  <w:num w:numId="5" w16cid:durableId="1877043386">
    <w:abstractNumId w:val="4"/>
  </w:num>
  <w:num w:numId="6" w16cid:durableId="1322931014">
    <w:abstractNumId w:val="0"/>
  </w:num>
  <w:num w:numId="7" w16cid:durableId="1226136887">
    <w:abstractNumId w:val="3"/>
  </w:num>
  <w:num w:numId="8" w16cid:durableId="18613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2D"/>
    <w:rsid w:val="00047FFB"/>
    <w:rsid w:val="000523B7"/>
    <w:rsid w:val="000637E1"/>
    <w:rsid w:val="000B0B53"/>
    <w:rsid w:val="00124613"/>
    <w:rsid w:val="00133604"/>
    <w:rsid w:val="00162ECF"/>
    <w:rsid w:val="00175EA8"/>
    <w:rsid w:val="001C7AE9"/>
    <w:rsid w:val="00201ADE"/>
    <w:rsid w:val="00243688"/>
    <w:rsid w:val="00282144"/>
    <w:rsid w:val="0030777F"/>
    <w:rsid w:val="003A2168"/>
    <w:rsid w:val="003D7826"/>
    <w:rsid w:val="003F7C44"/>
    <w:rsid w:val="00412C52"/>
    <w:rsid w:val="00453944"/>
    <w:rsid w:val="004A2ACB"/>
    <w:rsid w:val="004B798A"/>
    <w:rsid w:val="004F4FA9"/>
    <w:rsid w:val="005241A9"/>
    <w:rsid w:val="00536B08"/>
    <w:rsid w:val="00537AEB"/>
    <w:rsid w:val="00552DD6"/>
    <w:rsid w:val="00553157"/>
    <w:rsid w:val="00557A2A"/>
    <w:rsid w:val="00586FB4"/>
    <w:rsid w:val="005D5BC7"/>
    <w:rsid w:val="006263B5"/>
    <w:rsid w:val="00656738"/>
    <w:rsid w:val="00657DCD"/>
    <w:rsid w:val="00747F9F"/>
    <w:rsid w:val="007517F4"/>
    <w:rsid w:val="0077122D"/>
    <w:rsid w:val="00775098"/>
    <w:rsid w:val="007F13B4"/>
    <w:rsid w:val="0082451D"/>
    <w:rsid w:val="00860843"/>
    <w:rsid w:val="008649E3"/>
    <w:rsid w:val="00877131"/>
    <w:rsid w:val="008C7501"/>
    <w:rsid w:val="008F4EDF"/>
    <w:rsid w:val="008F7404"/>
    <w:rsid w:val="00907242"/>
    <w:rsid w:val="00910B2E"/>
    <w:rsid w:val="009259C2"/>
    <w:rsid w:val="00950903"/>
    <w:rsid w:val="00986565"/>
    <w:rsid w:val="009906B2"/>
    <w:rsid w:val="009C2BE9"/>
    <w:rsid w:val="00A74269"/>
    <w:rsid w:val="00A76263"/>
    <w:rsid w:val="00AA147A"/>
    <w:rsid w:val="00AD2074"/>
    <w:rsid w:val="00AD52E9"/>
    <w:rsid w:val="00AF0563"/>
    <w:rsid w:val="00B515C8"/>
    <w:rsid w:val="00B52A39"/>
    <w:rsid w:val="00BA40B5"/>
    <w:rsid w:val="00CC57BA"/>
    <w:rsid w:val="00D430AE"/>
    <w:rsid w:val="00D9084A"/>
    <w:rsid w:val="00DB370F"/>
    <w:rsid w:val="00DE4A60"/>
    <w:rsid w:val="00DF227A"/>
    <w:rsid w:val="00E043BF"/>
    <w:rsid w:val="00E71F33"/>
    <w:rsid w:val="00E8478B"/>
    <w:rsid w:val="00EF4B78"/>
    <w:rsid w:val="00F93534"/>
    <w:rsid w:val="00FC5CBD"/>
    <w:rsid w:val="00FE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B86F"/>
  <w15:docId w15:val="{1F5627F0-4417-4881-B829-8757C3C2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52"/>
    <w:pPr>
      <w:spacing w:after="240" w:line="240" w:lineRule="auto"/>
    </w:pPr>
    <w:rPr>
      <w:rFonts w:ascii="Times New Roman" w:hAnsi="Times New Roman"/>
      <w:sz w:val="24"/>
    </w:rPr>
  </w:style>
  <w:style w:type="paragraph" w:styleId="Heading1">
    <w:name w:val="heading 1"/>
    <w:basedOn w:val="Normal"/>
    <w:next w:val="Normal"/>
    <w:link w:val="Heading1Char"/>
    <w:qFormat/>
    <w:rsid w:val="00F93534"/>
    <w:pPr>
      <w:keepNext/>
      <w:autoSpaceDE w:val="0"/>
      <w:autoSpaceDN w:val="0"/>
      <w:adjustRightInd w:val="0"/>
      <w:spacing w:after="0" w:line="480" w:lineRule="auto"/>
      <w:jc w:val="center"/>
      <w:outlineLvl w:val="0"/>
    </w:pPr>
    <w:rPr>
      <w:rFonts w:eastAsia="Times New Roman" w:cs="Times New Roman"/>
      <w:b/>
      <w:smallCaps/>
      <w:szCs w:val="24"/>
      <w:lang w:val="en-CA"/>
    </w:rPr>
  </w:style>
  <w:style w:type="paragraph" w:styleId="Heading2">
    <w:name w:val="heading 2"/>
    <w:basedOn w:val="Normal"/>
    <w:next w:val="Normal"/>
    <w:link w:val="Heading2Char"/>
    <w:unhideWhenUsed/>
    <w:qFormat/>
    <w:rsid w:val="00F93534"/>
    <w:pPr>
      <w:keepNext/>
      <w:numPr>
        <w:numId w:val="4"/>
      </w:numPr>
      <w:autoSpaceDE w:val="0"/>
      <w:autoSpaceDN w:val="0"/>
      <w:adjustRightInd w:val="0"/>
      <w:jc w:val="center"/>
      <w:outlineLvl w:val="1"/>
    </w:pPr>
    <w:rPr>
      <w:rFonts w:eastAsia="Times New Roman" w:cs="Times New Roman"/>
      <w:szCs w:val="24"/>
    </w:rPr>
  </w:style>
  <w:style w:type="paragraph" w:styleId="Heading3">
    <w:name w:val="heading 3"/>
    <w:basedOn w:val="Normal"/>
    <w:next w:val="Normal"/>
    <w:link w:val="Heading3Char"/>
    <w:unhideWhenUsed/>
    <w:qFormat/>
    <w:rsid w:val="00F93534"/>
    <w:pPr>
      <w:keepNext/>
      <w:numPr>
        <w:numId w:val="5"/>
      </w:numPr>
      <w:autoSpaceDE w:val="0"/>
      <w:autoSpaceDN w:val="0"/>
      <w:adjustRightInd w:val="0"/>
      <w:jc w:val="center"/>
      <w:outlineLvl w:val="2"/>
    </w:pPr>
    <w:rPr>
      <w:rFonts w:eastAsia="Times New Roman" w:cs="Times New Roman"/>
      <w:i/>
      <w:szCs w:val="24"/>
    </w:rPr>
  </w:style>
  <w:style w:type="paragraph" w:styleId="Heading4">
    <w:name w:val="heading 4"/>
    <w:basedOn w:val="Normal"/>
    <w:next w:val="Normal"/>
    <w:link w:val="Heading4Char"/>
    <w:unhideWhenUsed/>
    <w:qFormat/>
    <w:rsid w:val="00F93534"/>
    <w:pPr>
      <w:numPr>
        <w:numId w:val="6"/>
      </w:numPr>
      <w:autoSpaceDE w:val="0"/>
      <w:autoSpaceDN w:val="0"/>
      <w:adjustRightInd w:val="0"/>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rFonts w:eastAsia="Times New Roman" w:cs="Times New Roman"/>
      <w:szCs w:val="20"/>
    </w:rPr>
  </w:style>
  <w:style w:type="character" w:customStyle="1" w:styleId="FootnoteTextChar">
    <w:name w:val="Footnote Text Char"/>
    <w:link w:val="FootnoteText"/>
    <w:rsid w:val="00412C52"/>
    <w:rPr>
      <w:rFonts w:ascii="Times New Roman" w:eastAsia="Times New Roman" w:hAnsi="Times New Roman" w:cs="Times New Roman"/>
      <w:sz w:val="24"/>
      <w:szCs w:val="20"/>
    </w:rPr>
  </w:style>
  <w:style w:type="character" w:customStyle="1" w:styleId="Heading1Char">
    <w:name w:val="Heading 1 Char"/>
    <w:link w:val="Heading1"/>
    <w:rsid w:val="00F93534"/>
    <w:rPr>
      <w:rFonts w:ascii="Times New Roman" w:eastAsia="Times New Roman" w:hAnsi="Times New Roman" w:cs="Times New Roman"/>
      <w:b/>
      <w:smallCaps/>
      <w:sz w:val="24"/>
      <w:szCs w:val="24"/>
      <w:lang w:val="en-CA"/>
    </w:rPr>
  </w:style>
  <w:style w:type="character" w:customStyle="1" w:styleId="Heading2Char">
    <w:name w:val="Heading 2 Char"/>
    <w:link w:val="Heading2"/>
    <w:rsid w:val="00F93534"/>
    <w:rPr>
      <w:rFonts w:ascii="Times New Roman" w:eastAsia="Times New Roman" w:hAnsi="Times New Roman" w:cs="Times New Roman"/>
      <w:sz w:val="24"/>
      <w:szCs w:val="24"/>
    </w:rPr>
  </w:style>
  <w:style w:type="character" w:customStyle="1" w:styleId="Heading3Char">
    <w:name w:val="Heading 3 Char"/>
    <w:link w:val="Heading3"/>
    <w:rsid w:val="00F93534"/>
    <w:rPr>
      <w:rFonts w:ascii="Times New Roman" w:eastAsia="Times New Roman" w:hAnsi="Times New Roman" w:cs="Times New Roman"/>
      <w:i/>
      <w:sz w:val="24"/>
      <w:szCs w:val="24"/>
    </w:rPr>
  </w:style>
  <w:style w:type="character" w:customStyle="1" w:styleId="Heading4Char">
    <w:name w:val="Heading 4 Char"/>
    <w:link w:val="Heading4"/>
    <w:rsid w:val="00F93534"/>
    <w:rPr>
      <w:rFonts w:ascii="Times New Roman" w:eastAsia="Times New Roman" w:hAnsi="Times New Roman" w:cs="Times New Roman"/>
      <w:sz w:val="24"/>
      <w:szCs w:val="24"/>
    </w:rPr>
  </w:style>
  <w:style w:type="paragraph" w:styleId="ListParagraph">
    <w:name w:val="List Paragraph"/>
    <w:basedOn w:val="Normal"/>
    <w:uiPriority w:val="34"/>
    <w:qFormat/>
    <w:rsid w:val="0077122D"/>
    <w:pPr>
      <w:ind w:left="720"/>
      <w:contextualSpacing/>
    </w:pPr>
  </w:style>
  <w:style w:type="paragraph" w:styleId="Header">
    <w:name w:val="header"/>
    <w:basedOn w:val="Normal"/>
    <w:link w:val="HeaderChar"/>
    <w:uiPriority w:val="99"/>
    <w:unhideWhenUsed/>
    <w:rsid w:val="0082451D"/>
    <w:pPr>
      <w:tabs>
        <w:tab w:val="center" w:pos="4680"/>
        <w:tab w:val="right" w:pos="9360"/>
      </w:tabs>
      <w:spacing w:after="0"/>
    </w:pPr>
  </w:style>
  <w:style w:type="character" w:customStyle="1" w:styleId="HeaderChar">
    <w:name w:val="Header Char"/>
    <w:basedOn w:val="DefaultParagraphFont"/>
    <w:link w:val="Header"/>
    <w:uiPriority w:val="99"/>
    <w:rsid w:val="0082451D"/>
    <w:rPr>
      <w:rFonts w:ascii="Times New Roman" w:hAnsi="Times New Roman"/>
      <w:sz w:val="24"/>
    </w:rPr>
  </w:style>
  <w:style w:type="paragraph" w:styleId="Footer">
    <w:name w:val="footer"/>
    <w:basedOn w:val="Normal"/>
    <w:link w:val="FooterChar"/>
    <w:uiPriority w:val="99"/>
    <w:unhideWhenUsed/>
    <w:rsid w:val="0082451D"/>
    <w:pPr>
      <w:tabs>
        <w:tab w:val="center" w:pos="4680"/>
        <w:tab w:val="right" w:pos="9360"/>
      </w:tabs>
      <w:spacing w:after="0"/>
    </w:pPr>
  </w:style>
  <w:style w:type="character" w:customStyle="1" w:styleId="FooterChar">
    <w:name w:val="Footer Char"/>
    <w:basedOn w:val="DefaultParagraphFont"/>
    <w:link w:val="Footer"/>
    <w:uiPriority w:val="99"/>
    <w:rsid w:val="0082451D"/>
    <w:rPr>
      <w:rFonts w:ascii="Times New Roman" w:hAnsi="Times New Roman"/>
      <w:sz w:val="24"/>
    </w:rPr>
  </w:style>
  <w:style w:type="character" w:styleId="CommentReference">
    <w:name w:val="annotation reference"/>
    <w:basedOn w:val="DefaultParagraphFont"/>
    <w:uiPriority w:val="99"/>
    <w:semiHidden/>
    <w:unhideWhenUsed/>
    <w:rsid w:val="00AD52E9"/>
    <w:rPr>
      <w:sz w:val="16"/>
      <w:szCs w:val="16"/>
    </w:rPr>
  </w:style>
  <w:style w:type="paragraph" w:styleId="CommentText">
    <w:name w:val="annotation text"/>
    <w:basedOn w:val="Normal"/>
    <w:link w:val="CommentTextChar"/>
    <w:uiPriority w:val="99"/>
    <w:semiHidden/>
    <w:unhideWhenUsed/>
    <w:rsid w:val="00AD52E9"/>
    <w:rPr>
      <w:sz w:val="20"/>
      <w:szCs w:val="20"/>
    </w:rPr>
  </w:style>
  <w:style w:type="character" w:customStyle="1" w:styleId="CommentTextChar">
    <w:name w:val="Comment Text Char"/>
    <w:basedOn w:val="DefaultParagraphFont"/>
    <w:link w:val="CommentText"/>
    <w:uiPriority w:val="99"/>
    <w:semiHidden/>
    <w:rsid w:val="00AD5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52E9"/>
    <w:rPr>
      <w:b/>
      <w:bCs/>
    </w:rPr>
  </w:style>
  <w:style w:type="character" w:customStyle="1" w:styleId="CommentSubjectChar">
    <w:name w:val="Comment Subject Char"/>
    <w:basedOn w:val="CommentTextChar"/>
    <w:link w:val="CommentSubject"/>
    <w:uiPriority w:val="99"/>
    <w:semiHidden/>
    <w:rsid w:val="00AD52E9"/>
    <w:rPr>
      <w:rFonts w:ascii="Times New Roman" w:hAnsi="Times New Roman"/>
      <w:b/>
      <w:bCs/>
      <w:sz w:val="20"/>
      <w:szCs w:val="20"/>
    </w:rPr>
  </w:style>
  <w:style w:type="paragraph" w:styleId="BalloonText">
    <w:name w:val="Balloon Text"/>
    <w:basedOn w:val="Normal"/>
    <w:link w:val="BalloonTextChar"/>
    <w:uiPriority w:val="99"/>
    <w:semiHidden/>
    <w:unhideWhenUsed/>
    <w:rsid w:val="00AD5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2E9"/>
    <w:rPr>
      <w:rFonts w:ascii="Tahoma" w:hAnsi="Tahoma" w:cs="Tahoma"/>
      <w:sz w:val="16"/>
      <w:szCs w:val="16"/>
    </w:rPr>
  </w:style>
  <w:style w:type="table" w:styleId="TableGrid">
    <w:name w:val="Table Grid"/>
    <w:basedOn w:val="TableNormal"/>
    <w:uiPriority w:val="59"/>
    <w:rsid w:val="00BA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61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FAEE-513B-4397-9EB1-A872731C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Patterson</dc:creator>
  <cp:lastModifiedBy>Marcus Allton</cp:lastModifiedBy>
  <cp:revision>2</cp:revision>
  <dcterms:created xsi:type="dcterms:W3CDTF">2024-01-24T21:59:00Z</dcterms:created>
  <dcterms:modified xsi:type="dcterms:W3CDTF">2024-01-24T21:59:00Z</dcterms:modified>
</cp:coreProperties>
</file>