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Default Extension="jpeg" ContentType="image/jpeg"/>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79"/>
        <w:ind w:left="0" w:right="155" w:firstLine="0"/>
        <w:jc w:val="right"/>
        <w:rPr>
          <w:b/>
          <w:sz w:val="23"/>
        </w:rPr>
      </w:pPr>
      <w:bookmarkStart w:name="2023-1236" w:id="1"/>
      <w:bookmarkEnd w:id="1"/>
      <w:r>
        <w:rPr/>
      </w:r>
      <w:r>
        <w:rPr>
          <w:b/>
          <w:sz w:val="23"/>
        </w:rPr>
        <w:t>Utah County Community</w:t>
      </w:r>
      <w:r>
        <w:rPr>
          <w:b/>
          <w:spacing w:val="3"/>
          <w:sz w:val="23"/>
        </w:rPr>
        <w:t> </w:t>
      </w:r>
      <w:r>
        <w:rPr>
          <w:b/>
          <w:sz w:val="23"/>
        </w:rPr>
        <w:t>Reinvestment</w:t>
      </w:r>
    </w:p>
    <w:p>
      <w:pPr>
        <w:spacing w:before="0"/>
        <w:ind w:left="0" w:right="153" w:firstLine="0"/>
        <w:jc w:val="right"/>
        <w:rPr>
          <w:b/>
          <w:sz w:val="23"/>
        </w:rPr>
      </w:pPr>
      <w:r>
        <w:rPr>
          <w:b/>
          <w:sz w:val="23"/>
        </w:rPr>
        <w:t>Agency Notice 2023 -</w:t>
      </w:r>
      <w:r>
        <w:rPr>
          <w:b/>
          <w:spacing w:val="-3"/>
          <w:sz w:val="23"/>
        </w:rPr>
        <w:t> </w:t>
      </w:r>
      <w:r>
        <w:rPr>
          <w:b/>
          <w:sz w:val="23"/>
        </w:rPr>
        <w:t>1236</w:t>
      </w:r>
    </w:p>
    <w:p>
      <w:pPr>
        <w:pStyle w:val="BodyText"/>
        <w:spacing w:before="1"/>
        <w:rPr>
          <w:b/>
          <w:sz w:val="23"/>
        </w:rPr>
      </w:pPr>
    </w:p>
    <w:p>
      <w:pPr>
        <w:spacing w:before="0"/>
        <w:ind w:left="2682" w:right="2304" w:firstLine="0"/>
        <w:jc w:val="center"/>
        <w:rPr>
          <w:b/>
          <w:sz w:val="23"/>
        </w:rPr>
      </w:pPr>
      <w:r>
        <w:rPr>
          <w:b/>
          <w:sz w:val="23"/>
        </w:rPr>
        <w:t>NOTICE OF PUBLIC HEARING</w:t>
      </w:r>
    </w:p>
    <w:p>
      <w:pPr>
        <w:pStyle w:val="BodyText"/>
        <w:spacing w:before="10"/>
        <w:rPr>
          <w:b/>
          <w:sz w:val="22"/>
        </w:rPr>
      </w:pPr>
    </w:p>
    <w:p>
      <w:pPr>
        <w:spacing w:before="0"/>
        <w:ind w:left="540" w:right="153" w:firstLine="719"/>
        <w:jc w:val="both"/>
        <w:rPr>
          <w:sz w:val="23"/>
        </w:rPr>
      </w:pPr>
      <w:r>
        <w:rPr>
          <w:sz w:val="23"/>
        </w:rPr>
        <w:t>In accordance with the Limited Purpose Local Government Entities—Community Reinvestment Act, Utah Code, Title 17C (“Community Reinvestment Act”), the Utah County Community</w:t>
      </w:r>
      <w:r>
        <w:rPr>
          <w:spacing w:val="-12"/>
          <w:sz w:val="23"/>
        </w:rPr>
        <w:t> </w:t>
      </w:r>
      <w:r>
        <w:rPr>
          <w:sz w:val="23"/>
        </w:rPr>
        <w:t>Reinvestment</w:t>
      </w:r>
      <w:r>
        <w:rPr>
          <w:spacing w:val="-10"/>
          <w:sz w:val="23"/>
        </w:rPr>
        <w:t> </w:t>
      </w:r>
      <w:r>
        <w:rPr>
          <w:sz w:val="23"/>
        </w:rPr>
        <w:t>Agency</w:t>
      </w:r>
      <w:r>
        <w:rPr>
          <w:spacing w:val="-8"/>
          <w:sz w:val="23"/>
        </w:rPr>
        <w:t> </w:t>
      </w:r>
      <w:r>
        <w:rPr>
          <w:sz w:val="23"/>
        </w:rPr>
        <w:t>will</w:t>
      </w:r>
      <w:r>
        <w:rPr>
          <w:spacing w:val="-8"/>
          <w:sz w:val="23"/>
        </w:rPr>
        <w:t> </w:t>
      </w:r>
      <w:r>
        <w:rPr>
          <w:sz w:val="23"/>
        </w:rPr>
        <w:t>hold</w:t>
      </w:r>
      <w:r>
        <w:rPr>
          <w:spacing w:val="-11"/>
          <w:sz w:val="23"/>
        </w:rPr>
        <w:t> </w:t>
      </w:r>
      <w:r>
        <w:rPr>
          <w:sz w:val="23"/>
        </w:rPr>
        <w:t>a</w:t>
      </w:r>
      <w:r>
        <w:rPr>
          <w:spacing w:val="-9"/>
          <w:sz w:val="23"/>
        </w:rPr>
        <w:t> </w:t>
      </w:r>
      <w:r>
        <w:rPr>
          <w:sz w:val="23"/>
        </w:rPr>
        <w:t>public</w:t>
      </w:r>
      <w:r>
        <w:rPr>
          <w:spacing w:val="-12"/>
          <w:sz w:val="23"/>
        </w:rPr>
        <w:t> </w:t>
      </w:r>
      <w:r>
        <w:rPr>
          <w:sz w:val="23"/>
        </w:rPr>
        <w:t>hearing</w:t>
      </w:r>
      <w:r>
        <w:rPr>
          <w:spacing w:val="-9"/>
          <w:sz w:val="23"/>
        </w:rPr>
        <w:t> </w:t>
      </w:r>
      <w:r>
        <w:rPr>
          <w:sz w:val="23"/>
        </w:rPr>
        <w:t>on</w:t>
      </w:r>
      <w:r>
        <w:rPr>
          <w:spacing w:val="-9"/>
          <w:sz w:val="23"/>
        </w:rPr>
        <w:t> </w:t>
      </w:r>
      <w:r>
        <w:rPr>
          <w:sz w:val="23"/>
        </w:rPr>
        <w:t>Wednesday,</w:t>
      </w:r>
      <w:r>
        <w:rPr>
          <w:spacing w:val="-9"/>
          <w:sz w:val="23"/>
        </w:rPr>
        <w:t> </w:t>
      </w:r>
      <w:r>
        <w:rPr>
          <w:sz w:val="23"/>
        </w:rPr>
        <w:t>January</w:t>
      </w:r>
      <w:r>
        <w:rPr>
          <w:spacing w:val="-8"/>
          <w:sz w:val="23"/>
        </w:rPr>
        <w:t> </w:t>
      </w:r>
      <w:r>
        <w:rPr>
          <w:sz w:val="23"/>
        </w:rPr>
        <w:t>17,</w:t>
      </w:r>
      <w:r>
        <w:rPr>
          <w:spacing w:val="-12"/>
          <w:sz w:val="23"/>
        </w:rPr>
        <w:t> </w:t>
      </w:r>
      <w:r>
        <w:rPr>
          <w:sz w:val="23"/>
        </w:rPr>
        <w:t>2024,</w:t>
      </w:r>
      <w:r>
        <w:rPr>
          <w:spacing w:val="-11"/>
          <w:sz w:val="23"/>
        </w:rPr>
        <w:t> </w:t>
      </w:r>
      <w:r>
        <w:rPr>
          <w:sz w:val="23"/>
        </w:rPr>
        <w:t>at</w:t>
      </w:r>
      <w:r>
        <w:rPr>
          <w:spacing w:val="-10"/>
          <w:sz w:val="23"/>
        </w:rPr>
        <w:t> </w:t>
      </w:r>
      <w:r>
        <w:rPr>
          <w:sz w:val="23"/>
        </w:rPr>
        <w:t>2:00 PM at the Utah County Administration Building, 100 East Center Street, Room 1400, Provo, Utah, to consider</w:t>
      </w:r>
      <w:r>
        <w:rPr>
          <w:spacing w:val="-17"/>
          <w:sz w:val="23"/>
        </w:rPr>
        <w:t> </w:t>
      </w:r>
      <w:r>
        <w:rPr>
          <w:sz w:val="23"/>
        </w:rPr>
        <w:t>the</w:t>
      </w:r>
      <w:r>
        <w:rPr>
          <w:spacing w:val="-11"/>
          <w:sz w:val="23"/>
        </w:rPr>
        <w:t> </w:t>
      </w:r>
      <w:r>
        <w:rPr>
          <w:sz w:val="23"/>
        </w:rPr>
        <w:t>adoption</w:t>
      </w:r>
      <w:r>
        <w:rPr>
          <w:spacing w:val="-14"/>
          <w:sz w:val="23"/>
        </w:rPr>
        <w:t> </w:t>
      </w:r>
      <w:r>
        <w:rPr>
          <w:sz w:val="23"/>
        </w:rPr>
        <w:t>of</w:t>
      </w:r>
      <w:r>
        <w:rPr>
          <w:spacing w:val="-13"/>
          <w:sz w:val="23"/>
        </w:rPr>
        <w:t> </w:t>
      </w:r>
      <w:r>
        <w:rPr>
          <w:sz w:val="23"/>
        </w:rPr>
        <w:t>the</w:t>
      </w:r>
      <w:r>
        <w:rPr>
          <w:spacing w:val="-14"/>
          <w:sz w:val="23"/>
        </w:rPr>
        <w:t> </w:t>
      </w:r>
      <w:r>
        <w:rPr>
          <w:sz w:val="23"/>
        </w:rPr>
        <w:t>official</w:t>
      </w:r>
      <w:r>
        <w:rPr>
          <w:spacing w:val="-13"/>
          <w:sz w:val="23"/>
        </w:rPr>
        <w:t> </w:t>
      </w:r>
      <w:r>
        <w:rPr>
          <w:sz w:val="23"/>
        </w:rPr>
        <w:t>project</w:t>
      </w:r>
      <w:r>
        <w:rPr>
          <w:spacing w:val="-16"/>
          <w:sz w:val="23"/>
        </w:rPr>
        <w:t> </w:t>
      </w:r>
      <w:r>
        <w:rPr>
          <w:sz w:val="23"/>
        </w:rPr>
        <w:t>area</w:t>
      </w:r>
      <w:r>
        <w:rPr>
          <w:spacing w:val="-13"/>
          <w:sz w:val="23"/>
        </w:rPr>
        <w:t> </w:t>
      </w:r>
      <w:r>
        <w:rPr>
          <w:sz w:val="23"/>
        </w:rPr>
        <w:t>budget</w:t>
      </w:r>
      <w:r>
        <w:rPr>
          <w:spacing w:val="-14"/>
          <w:sz w:val="23"/>
        </w:rPr>
        <w:t> </w:t>
      </w:r>
      <w:r>
        <w:rPr>
          <w:sz w:val="23"/>
        </w:rPr>
        <w:t>for</w:t>
      </w:r>
      <w:r>
        <w:rPr>
          <w:spacing w:val="-13"/>
          <w:sz w:val="23"/>
        </w:rPr>
        <w:t> </w:t>
      </w:r>
      <w:r>
        <w:rPr>
          <w:sz w:val="23"/>
        </w:rPr>
        <w:t>the</w:t>
      </w:r>
      <w:r>
        <w:rPr>
          <w:spacing w:val="-9"/>
          <w:sz w:val="23"/>
        </w:rPr>
        <w:t> </w:t>
      </w:r>
      <w:r>
        <w:rPr>
          <w:sz w:val="23"/>
        </w:rPr>
        <w:t>Community</w:t>
      </w:r>
      <w:r>
        <w:rPr>
          <w:spacing w:val="-13"/>
          <w:sz w:val="23"/>
        </w:rPr>
        <w:t> </w:t>
      </w:r>
      <w:r>
        <w:rPr>
          <w:sz w:val="23"/>
        </w:rPr>
        <w:t>Reinvestment</w:t>
      </w:r>
      <w:r>
        <w:rPr>
          <w:spacing w:val="-14"/>
          <w:sz w:val="23"/>
        </w:rPr>
        <w:t> </w:t>
      </w:r>
      <w:r>
        <w:rPr>
          <w:sz w:val="23"/>
        </w:rPr>
        <w:t>Project</w:t>
      </w:r>
      <w:r>
        <w:rPr>
          <w:spacing w:val="-13"/>
          <w:sz w:val="23"/>
        </w:rPr>
        <w:t> </w:t>
      </w:r>
      <w:r>
        <w:rPr>
          <w:sz w:val="23"/>
        </w:rPr>
        <w:t>Area.</w:t>
      </w:r>
    </w:p>
    <w:p>
      <w:pPr>
        <w:pStyle w:val="BodyText"/>
        <w:rPr>
          <w:sz w:val="23"/>
        </w:rPr>
      </w:pPr>
    </w:p>
    <w:p>
      <w:pPr>
        <w:spacing w:before="0"/>
        <w:ind w:left="540" w:right="153" w:firstLine="719"/>
        <w:jc w:val="both"/>
        <w:rPr>
          <w:sz w:val="23"/>
        </w:rPr>
      </w:pPr>
      <w:r>
        <w:rPr>
          <w:sz w:val="23"/>
        </w:rPr>
        <w:t>The</w:t>
      </w:r>
      <w:r>
        <w:rPr>
          <w:spacing w:val="-14"/>
          <w:sz w:val="23"/>
        </w:rPr>
        <w:t> </w:t>
      </w:r>
      <w:r>
        <w:rPr>
          <w:sz w:val="23"/>
        </w:rPr>
        <w:t>Utah</w:t>
      </w:r>
      <w:r>
        <w:rPr>
          <w:spacing w:val="-14"/>
          <w:sz w:val="23"/>
        </w:rPr>
        <w:t> </w:t>
      </w:r>
      <w:r>
        <w:rPr>
          <w:sz w:val="23"/>
        </w:rPr>
        <w:t>County</w:t>
      </w:r>
      <w:r>
        <w:rPr>
          <w:spacing w:val="-14"/>
          <w:sz w:val="23"/>
        </w:rPr>
        <w:t> </w:t>
      </w:r>
      <w:r>
        <w:rPr>
          <w:sz w:val="23"/>
        </w:rPr>
        <w:t>Community</w:t>
      </w:r>
      <w:r>
        <w:rPr>
          <w:spacing w:val="-14"/>
          <w:sz w:val="23"/>
        </w:rPr>
        <w:t> </w:t>
      </w:r>
      <w:r>
        <w:rPr>
          <w:sz w:val="23"/>
        </w:rPr>
        <w:t>Reinvestment</w:t>
      </w:r>
      <w:r>
        <w:rPr>
          <w:spacing w:val="-14"/>
          <w:sz w:val="23"/>
        </w:rPr>
        <w:t> </w:t>
      </w:r>
      <w:r>
        <w:rPr>
          <w:sz w:val="23"/>
        </w:rPr>
        <w:t>Agency</w:t>
      </w:r>
      <w:r>
        <w:rPr>
          <w:spacing w:val="-13"/>
          <w:sz w:val="23"/>
        </w:rPr>
        <w:t> </w:t>
      </w:r>
      <w:r>
        <w:rPr>
          <w:sz w:val="23"/>
        </w:rPr>
        <w:t>has</w:t>
      </w:r>
      <w:r>
        <w:rPr>
          <w:spacing w:val="-15"/>
          <w:sz w:val="23"/>
        </w:rPr>
        <w:t> </w:t>
      </w:r>
      <w:r>
        <w:rPr>
          <w:sz w:val="23"/>
        </w:rPr>
        <w:t>requested</w:t>
      </w:r>
      <w:r>
        <w:rPr>
          <w:spacing w:val="-13"/>
          <w:sz w:val="23"/>
        </w:rPr>
        <w:t> </w:t>
      </w:r>
      <w:r>
        <w:rPr>
          <w:sz w:val="23"/>
        </w:rPr>
        <w:t>approximately</w:t>
      </w:r>
      <w:r>
        <w:rPr>
          <w:spacing w:val="-13"/>
          <w:sz w:val="23"/>
        </w:rPr>
        <w:t> </w:t>
      </w:r>
      <w:r>
        <w:rPr>
          <w:sz w:val="23"/>
        </w:rPr>
        <w:t>$61,452,000 in property tax revenues that will be generated by development within the Community Reinvestment Project</w:t>
      </w:r>
      <w:r>
        <w:rPr>
          <w:spacing w:val="-15"/>
          <w:sz w:val="23"/>
        </w:rPr>
        <w:t> </w:t>
      </w:r>
      <w:r>
        <w:rPr>
          <w:sz w:val="23"/>
        </w:rPr>
        <w:t>Area</w:t>
      </w:r>
      <w:r>
        <w:rPr>
          <w:spacing w:val="-15"/>
          <w:sz w:val="23"/>
        </w:rPr>
        <w:t> </w:t>
      </w:r>
      <w:r>
        <w:rPr>
          <w:sz w:val="23"/>
        </w:rPr>
        <w:t>to</w:t>
      </w:r>
      <w:r>
        <w:rPr>
          <w:spacing w:val="-14"/>
          <w:sz w:val="23"/>
        </w:rPr>
        <w:t> </w:t>
      </w:r>
      <w:r>
        <w:rPr>
          <w:sz w:val="23"/>
        </w:rPr>
        <w:t>fund</w:t>
      </w:r>
      <w:r>
        <w:rPr>
          <w:spacing w:val="-14"/>
          <w:sz w:val="23"/>
        </w:rPr>
        <w:t> </w:t>
      </w:r>
      <w:r>
        <w:rPr>
          <w:sz w:val="23"/>
        </w:rPr>
        <w:t>a</w:t>
      </w:r>
      <w:r>
        <w:rPr>
          <w:spacing w:val="-16"/>
          <w:sz w:val="23"/>
        </w:rPr>
        <w:t> </w:t>
      </w:r>
      <w:r>
        <w:rPr>
          <w:sz w:val="23"/>
        </w:rPr>
        <w:t>portion</w:t>
      </w:r>
      <w:r>
        <w:rPr>
          <w:spacing w:val="-14"/>
          <w:sz w:val="23"/>
        </w:rPr>
        <w:t> </w:t>
      </w:r>
      <w:r>
        <w:rPr>
          <w:sz w:val="23"/>
        </w:rPr>
        <w:t>of</w:t>
      </w:r>
      <w:r>
        <w:rPr>
          <w:spacing w:val="-17"/>
          <w:sz w:val="23"/>
        </w:rPr>
        <w:t> </w:t>
      </w:r>
      <w:r>
        <w:rPr>
          <w:sz w:val="23"/>
        </w:rPr>
        <w:t>project</w:t>
      </w:r>
      <w:r>
        <w:rPr>
          <w:spacing w:val="-14"/>
          <w:sz w:val="23"/>
        </w:rPr>
        <w:t> </w:t>
      </w:r>
      <w:r>
        <w:rPr>
          <w:sz w:val="23"/>
        </w:rPr>
        <w:t>costs</w:t>
      </w:r>
      <w:r>
        <w:rPr>
          <w:spacing w:val="-15"/>
          <w:sz w:val="23"/>
        </w:rPr>
        <w:t> </w:t>
      </w:r>
      <w:r>
        <w:rPr>
          <w:sz w:val="23"/>
        </w:rPr>
        <w:t>within</w:t>
      </w:r>
      <w:r>
        <w:rPr>
          <w:spacing w:val="-17"/>
          <w:sz w:val="23"/>
        </w:rPr>
        <w:t> </w:t>
      </w:r>
      <w:r>
        <w:rPr>
          <w:sz w:val="23"/>
        </w:rPr>
        <w:t>the</w:t>
      </w:r>
      <w:r>
        <w:rPr>
          <w:spacing w:val="-10"/>
          <w:sz w:val="23"/>
        </w:rPr>
        <w:t> </w:t>
      </w:r>
      <w:r>
        <w:rPr>
          <w:sz w:val="23"/>
        </w:rPr>
        <w:t>Community</w:t>
      </w:r>
      <w:r>
        <w:rPr>
          <w:spacing w:val="-17"/>
          <w:sz w:val="23"/>
        </w:rPr>
        <w:t> </w:t>
      </w:r>
      <w:r>
        <w:rPr>
          <w:sz w:val="23"/>
        </w:rPr>
        <w:t>Reinvestment</w:t>
      </w:r>
      <w:r>
        <w:rPr>
          <w:spacing w:val="-14"/>
          <w:sz w:val="23"/>
        </w:rPr>
        <w:t> </w:t>
      </w:r>
      <w:r>
        <w:rPr>
          <w:sz w:val="23"/>
        </w:rPr>
        <w:t>Project</w:t>
      </w:r>
      <w:r>
        <w:rPr>
          <w:spacing w:val="-14"/>
          <w:sz w:val="23"/>
        </w:rPr>
        <w:t> </w:t>
      </w:r>
      <w:r>
        <w:rPr>
          <w:sz w:val="23"/>
        </w:rPr>
        <w:t>Area.</w:t>
      </w:r>
      <w:r>
        <w:rPr>
          <w:spacing w:val="-17"/>
          <w:sz w:val="23"/>
        </w:rPr>
        <w:t> </w:t>
      </w:r>
      <w:r>
        <w:rPr>
          <w:sz w:val="23"/>
        </w:rPr>
        <w:t>These property tax revenues will be used for the</w:t>
      </w:r>
      <w:r>
        <w:rPr>
          <w:spacing w:val="-10"/>
          <w:sz w:val="23"/>
        </w:rPr>
        <w:t> </w:t>
      </w:r>
      <w:r>
        <w:rPr>
          <w:sz w:val="23"/>
        </w:rPr>
        <w:t>following:</w:t>
      </w:r>
    </w:p>
    <w:p>
      <w:pPr>
        <w:pStyle w:val="BodyText"/>
        <w:rPr>
          <w:sz w:val="23"/>
        </w:rPr>
      </w:pPr>
    </w:p>
    <w:p>
      <w:pPr>
        <w:spacing w:before="1"/>
        <w:ind w:left="1260" w:right="881" w:firstLine="0"/>
        <w:jc w:val="both"/>
        <w:rPr>
          <w:sz w:val="23"/>
        </w:rPr>
      </w:pPr>
      <w:r>
        <w:rPr>
          <w:sz w:val="23"/>
        </w:rPr>
        <w:t>Prior to distribution of any project area funds to the Agency pursuant to this Budget, Utah County may retain up to $50,000 per year to cover the County’s costs administrative costs relating to this budget and project area.</w:t>
      </w:r>
    </w:p>
    <w:p>
      <w:pPr>
        <w:pStyle w:val="BodyText"/>
        <w:rPr>
          <w:sz w:val="23"/>
        </w:rPr>
      </w:pPr>
    </w:p>
    <w:p>
      <w:pPr>
        <w:spacing w:line="259" w:lineRule="auto" w:before="0"/>
        <w:ind w:left="1260" w:right="1275" w:firstLine="0"/>
        <w:jc w:val="left"/>
        <w:rPr>
          <w:sz w:val="23"/>
        </w:rPr>
      </w:pPr>
      <w:r>
        <w:rPr>
          <w:sz w:val="23"/>
        </w:rPr>
        <w:t>Of the amount remaining after the $50,000 is retained (projected at $61,402,000), sixty percent (60%) (projected at $36,841,200) shall be used for project area development as follows:</w:t>
      </w:r>
    </w:p>
    <w:p>
      <w:pPr>
        <w:pStyle w:val="ListParagraph"/>
        <w:numPr>
          <w:ilvl w:val="0"/>
          <w:numId w:val="1"/>
        </w:numPr>
        <w:tabs>
          <w:tab w:pos="2295" w:val="left" w:leader="none"/>
        </w:tabs>
        <w:spacing w:line="240" w:lineRule="auto" w:before="158" w:after="0"/>
        <w:ind w:left="1980" w:right="1769" w:firstLine="0"/>
        <w:jc w:val="left"/>
        <w:rPr>
          <w:sz w:val="23"/>
        </w:rPr>
      </w:pPr>
      <w:r>
        <w:rPr>
          <w:sz w:val="23"/>
        </w:rPr>
        <w:t>promoting, creating, or retaining public or private jobs within</w:t>
      </w:r>
      <w:r>
        <w:rPr>
          <w:spacing w:val="-23"/>
          <w:sz w:val="23"/>
        </w:rPr>
        <w:t> </w:t>
      </w:r>
      <w:r>
        <w:rPr>
          <w:sz w:val="23"/>
        </w:rPr>
        <w:t>the state or a</w:t>
      </w:r>
      <w:r>
        <w:rPr>
          <w:spacing w:val="-3"/>
          <w:sz w:val="23"/>
        </w:rPr>
        <w:t> </w:t>
      </w:r>
      <w:r>
        <w:rPr>
          <w:sz w:val="23"/>
        </w:rPr>
        <w:t>community;</w:t>
      </w:r>
    </w:p>
    <w:p>
      <w:pPr>
        <w:pStyle w:val="ListParagraph"/>
        <w:numPr>
          <w:ilvl w:val="0"/>
          <w:numId w:val="1"/>
        </w:numPr>
        <w:tabs>
          <w:tab w:pos="2307" w:val="left" w:leader="none"/>
        </w:tabs>
        <w:spacing w:line="240" w:lineRule="auto" w:before="2" w:after="0"/>
        <w:ind w:left="1980" w:right="2282" w:firstLine="0"/>
        <w:jc w:val="left"/>
        <w:rPr>
          <w:sz w:val="23"/>
        </w:rPr>
      </w:pPr>
      <w:r>
        <w:rPr>
          <w:sz w:val="23"/>
        </w:rPr>
        <w:t>providing office, manufacturing, warehousing, distribution, parking, or other facilities or</w:t>
      </w:r>
      <w:r>
        <w:rPr>
          <w:spacing w:val="-9"/>
          <w:sz w:val="23"/>
        </w:rPr>
        <w:t> </w:t>
      </w:r>
      <w:r>
        <w:rPr>
          <w:sz w:val="23"/>
        </w:rPr>
        <w:t>improvements;</w:t>
      </w:r>
    </w:p>
    <w:p>
      <w:pPr>
        <w:pStyle w:val="ListParagraph"/>
        <w:numPr>
          <w:ilvl w:val="0"/>
          <w:numId w:val="1"/>
        </w:numPr>
        <w:tabs>
          <w:tab w:pos="2295" w:val="left" w:leader="none"/>
        </w:tabs>
        <w:spacing w:line="240" w:lineRule="auto" w:before="0" w:after="0"/>
        <w:ind w:left="1980" w:right="2535" w:firstLine="0"/>
        <w:jc w:val="left"/>
        <w:rPr>
          <w:sz w:val="23"/>
        </w:rPr>
      </w:pPr>
      <w:r>
        <w:rPr>
          <w:sz w:val="23"/>
        </w:rPr>
        <w:t>planning, designing, demolishing, clearing,</w:t>
      </w:r>
      <w:r>
        <w:rPr>
          <w:spacing w:val="-20"/>
          <w:sz w:val="23"/>
        </w:rPr>
        <w:t> </w:t>
      </w:r>
      <w:r>
        <w:rPr>
          <w:sz w:val="23"/>
        </w:rPr>
        <w:t>constructing, rehabilitating, or remediating environmental</w:t>
      </w:r>
      <w:r>
        <w:rPr>
          <w:spacing w:val="-5"/>
          <w:sz w:val="23"/>
        </w:rPr>
        <w:t> </w:t>
      </w:r>
      <w:r>
        <w:rPr>
          <w:sz w:val="23"/>
        </w:rPr>
        <w:t>issues;</w:t>
      </w:r>
    </w:p>
    <w:p>
      <w:pPr>
        <w:pStyle w:val="ListParagraph"/>
        <w:numPr>
          <w:ilvl w:val="0"/>
          <w:numId w:val="1"/>
        </w:numPr>
        <w:tabs>
          <w:tab w:pos="2307" w:val="left" w:leader="none"/>
        </w:tabs>
        <w:spacing w:line="240" w:lineRule="auto" w:before="1" w:after="0"/>
        <w:ind w:left="1980" w:right="2136" w:firstLine="0"/>
        <w:jc w:val="left"/>
        <w:rPr>
          <w:sz w:val="23"/>
        </w:rPr>
      </w:pPr>
      <w:r>
        <w:rPr>
          <w:sz w:val="23"/>
        </w:rPr>
        <w:t>providing residential, commercial, industrial, public, or</w:t>
      </w:r>
      <w:r>
        <w:rPr>
          <w:spacing w:val="-24"/>
          <w:sz w:val="23"/>
        </w:rPr>
        <w:t> </w:t>
      </w:r>
      <w:r>
        <w:rPr>
          <w:sz w:val="23"/>
        </w:rPr>
        <w:t>other structures or spaces, including recreational and other facilities incidental or appurtenant to the structures or</w:t>
      </w:r>
      <w:r>
        <w:rPr>
          <w:spacing w:val="-9"/>
          <w:sz w:val="23"/>
        </w:rPr>
        <w:t> </w:t>
      </w:r>
      <w:r>
        <w:rPr>
          <w:sz w:val="23"/>
        </w:rPr>
        <w:t>spaces;</w:t>
      </w:r>
    </w:p>
    <w:p>
      <w:pPr>
        <w:pStyle w:val="ListParagraph"/>
        <w:numPr>
          <w:ilvl w:val="0"/>
          <w:numId w:val="1"/>
        </w:numPr>
        <w:tabs>
          <w:tab w:pos="2295" w:val="left" w:leader="none"/>
        </w:tabs>
        <w:spacing w:line="240" w:lineRule="auto" w:before="0" w:after="0"/>
        <w:ind w:left="1980" w:right="1725" w:firstLine="0"/>
        <w:jc w:val="left"/>
        <w:rPr>
          <w:sz w:val="23"/>
        </w:rPr>
      </w:pPr>
      <w:r>
        <w:rPr>
          <w:sz w:val="23"/>
        </w:rPr>
        <w:t>altering, improving, modernizing, demolishing, reconstructing,</w:t>
      </w:r>
      <w:r>
        <w:rPr>
          <w:spacing w:val="-22"/>
          <w:sz w:val="23"/>
        </w:rPr>
        <w:t> </w:t>
      </w:r>
      <w:r>
        <w:rPr>
          <w:sz w:val="23"/>
        </w:rPr>
        <w:t>or rehabilitating existing</w:t>
      </w:r>
      <w:r>
        <w:rPr>
          <w:spacing w:val="-4"/>
          <w:sz w:val="23"/>
        </w:rPr>
        <w:t> </w:t>
      </w:r>
      <w:r>
        <w:rPr>
          <w:sz w:val="23"/>
        </w:rPr>
        <w:t>structures;</w:t>
      </w:r>
    </w:p>
    <w:p>
      <w:pPr>
        <w:pStyle w:val="ListParagraph"/>
        <w:numPr>
          <w:ilvl w:val="0"/>
          <w:numId w:val="1"/>
        </w:numPr>
        <w:tabs>
          <w:tab w:pos="2269" w:val="left" w:leader="none"/>
        </w:tabs>
        <w:spacing w:line="240" w:lineRule="auto" w:before="0" w:after="0"/>
        <w:ind w:left="1980" w:right="1733" w:firstLine="0"/>
        <w:jc w:val="left"/>
        <w:rPr>
          <w:sz w:val="23"/>
        </w:rPr>
      </w:pPr>
      <w:r>
        <w:rPr>
          <w:sz w:val="23"/>
        </w:rPr>
        <w:t>providing open space, including streets or other public grounds or space around</w:t>
      </w:r>
      <w:r>
        <w:rPr>
          <w:spacing w:val="-3"/>
          <w:sz w:val="23"/>
        </w:rPr>
        <w:t> </w:t>
      </w:r>
      <w:r>
        <w:rPr>
          <w:sz w:val="23"/>
        </w:rPr>
        <w:t>buildings;</w:t>
      </w:r>
    </w:p>
    <w:p>
      <w:pPr>
        <w:pStyle w:val="ListParagraph"/>
        <w:numPr>
          <w:ilvl w:val="0"/>
          <w:numId w:val="1"/>
        </w:numPr>
        <w:tabs>
          <w:tab w:pos="2307" w:val="left" w:leader="none"/>
        </w:tabs>
        <w:spacing w:line="240" w:lineRule="auto" w:before="0" w:after="0"/>
        <w:ind w:left="1980" w:right="1695" w:firstLine="0"/>
        <w:jc w:val="left"/>
        <w:rPr>
          <w:sz w:val="23"/>
        </w:rPr>
      </w:pPr>
      <w:r>
        <w:rPr>
          <w:sz w:val="23"/>
        </w:rPr>
        <w:t>providing public or private buildings, infrastructure, structures, or improvements;</w:t>
      </w:r>
    </w:p>
    <w:p>
      <w:pPr>
        <w:pStyle w:val="ListParagraph"/>
        <w:numPr>
          <w:ilvl w:val="0"/>
          <w:numId w:val="1"/>
        </w:numPr>
        <w:tabs>
          <w:tab w:pos="2307" w:val="left" w:leader="none"/>
        </w:tabs>
        <w:spacing w:line="264" w:lineRule="exact" w:before="0" w:after="0"/>
        <w:ind w:left="2306" w:right="0" w:hanging="327"/>
        <w:jc w:val="left"/>
        <w:rPr>
          <w:sz w:val="23"/>
        </w:rPr>
      </w:pPr>
      <w:r>
        <w:rPr>
          <w:sz w:val="23"/>
        </w:rPr>
        <w:t>relocating a</w:t>
      </w:r>
      <w:r>
        <w:rPr>
          <w:spacing w:val="-4"/>
          <w:sz w:val="23"/>
        </w:rPr>
        <w:t> </w:t>
      </w:r>
      <w:r>
        <w:rPr>
          <w:sz w:val="23"/>
        </w:rPr>
        <w:t>business;</w:t>
      </w:r>
    </w:p>
    <w:p>
      <w:pPr>
        <w:pStyle w:val="ListParagraph"/>
        <w:numPr>
          <w:ilvl w:val="0"/>
          <w:numId w:val="1"/>
        </w:numPr>
        <w:tabs>
          <w:tab w:pos="2257" w:val="left" w:leader="none"/>
        </w:tabs>
        <w:spacing w:line="240" w:lineRule="auto" w:before="1" w:after="0"/>
        <w:ind w:left="1980" w:right="2351" w:firstLine="0"/>
        <w:jc w:val="left"/>
        <w:rPr>
          <w:sz w:val="23"/>
        </w:rPr>
      </w:pPr>
      <w:r>
        <w:rPr>
          <w:sz w:val="23"/>
        </w:rPr>
        <w:t>improving public or private recreation areas or other</w:t>
      </w:r>
      <w:r>
        <w:rPr>
          <w:spacing w:val="-21"/>
          <w:sz w:val="23"/>
        </w:rPr>
        <w:t> </w:t>
      </w:r>
      <w:r>
        <w:rPr>
          <w:sz w:val="23"/>
        </w:rPr>
        <w:t>public grounds;</w:t>
      </w:r>
    </w:p>
    <w:p>
      <w:pPr>
        <w:pStyle w:val="ListParagraph"/>
        <w:numPr>
          <w:ilvl w:val="0"/>
          <w:numId w:val="1"/>
        </w:numPr>
        <w:tabs>
          <w:tab w:pos="2257" w:val="left" w:leader="none"/>
        </w:tabs>
        <w:spacing w:line="240" w:lineRule="auto" w:before="0" w:after="0"/>
        <w:ind w:left="1980" w:right="2633" w:firstLine="0"/>
        <w:jc w:val="left"/>
        <w:rPr>
          <w:sz w:val="23"/>
        </w:rPr>
      </w:pPr>
      <w:r>
        <w:rPr>
          <w:sz w:val="23"/>
        </w:rPr>
        <w:t>eliminating a development impediment or the cause of</w:t>
      </w:r>
      <w:r>
        <w:rPr>
          <w:spacing w:val="-25"/>
          <w:sz w:val="23"/>
        </w:rPr>
        <w:t> </w:t>
      </w:r>
      <w:r>
        <w:rPr>
          <w:sz w:val="23"/>
        </w:rPr>
        <w:t>a development</w:t>
      </w:r>
      <w:r>
        <w:rPr>
          <w:spacing w:val="-1"/>
          <w:sz w:val="23"/>
        </w:rPr>
        <w:t> </w:t>
      </w:r>
      <w:r>
        <w:rPr>
          <w:sz w:val="23"/>
        </w:rPr>
        <w:t>impediment;</w:t>
      </w:r>
    </w:p>
    <w:p>
      <w:pPr>
        <w:pStyle w:val="ListParagraph"/>
        <w:numPr>
          <w:ilvl w:val="0"/>
          <w:numId w:val="1"/>
        </w:numPr>
        <w:tabs>
          <w:tab w:pos="2307" w:val="left" w:leader="none"/>
        </w:tabs>
        <w:spacing w:line="240" w:lineRule="auto" w:before="0" w:after="0"/>
        <w:ind w:left="1980" w:right="1909" w:firstLine="0"/>
        <w:jc w:val="left"/>
        <w:rPr>
          <w:sz w:val="23"/>
        </w:rPr>
      </w:pPr>
      <w:r>
        <w:rPr>
          <w:sz w:val="23"/>
        </w:rPr>
        <w:t>redevelopment as defined under the law in effect before May</w:t>
      </w:r>
      <w:r>
        <w:rPr>
          <w:spacing w:val="-23"/>
          <w:sz w:val="23"/>
        </w:rPr>
        <w:t> </w:t>
      </w:r>
      <w:r>
        <w:rPr>
          <w:sz w:val="23"/>
        </w:rPr>
        <w:t>1, 2006; or</w:t>
      </w:r>
    </w:p>
    <w:p>
      <w:pPr>
        <w:pStyle w:val="ListParagraph"/>
        <w:numPr>
          <w:ilvl w:val="0"/>
          <w:numId w:val="1"/>
        </w:numPr>
        <w:tabs>
          <w:tab w:pos="2257" w:val="left" w:leader="none"/>
        </w:tabs>
        <w:spacing w:line="240" w:lineRule="auto" w:before="0" w:after="0"/>
        <w:ind w:left="1980" w:right="1628" w:firstLine="0"/>
        <w:jc w:val="left"/>
        <w:rPr>
          <w:sz w:val="23"/>
        </w:rPr>
      </w:pPr>
      <w:r>
        <w:rPr>
          <w:sz w:val="23"/>
        </w:rPr>
        <w:t>any activity described in Subsections (47)(a) through (k) outside</w:t>
      </w:r>
      <w:r>
        <w:rPr>
          <w:spacing w:val="-22"/>
          <w:sz w:val="23"/>
        </w:rPr>
        <w:t> </w:t>
      </w:r>
      <w:r>
        <w:rPr>
          <w:sz w:val="23"/>
        </w:rPr>
        <w:t>of a project area that the board determines to be a benefit to the project area. (Utah Code §</w:t>
      </w:r>
      <w:r>
        <w:rPr>
          <w:spacing w:val="-1"/>
          <w:sz w:val="23"/>
        </w:rPr>
        <w:t> </w:t>
      </w:r>
      <w:r>
        <w:rPr>
          <w:sz w:val="23"/>
        </w:rPr>
        <w:t>17C-1-102(48)).</w:t>
      </w:r>
    </w:p>
    <w:p>
      <w:pPr>
        <w:spacing w:after="0" w:line="240" w:lineRule="auto"/>
        <w:jc w:val="left"/>
        <w:rPr>
          <w:sz w:val="23"/>
        </w:rPr>
        <w:sectPr>
          <w:footerReference w:type="default" r:id="rId5"/>
          <w:type w:val="continuous"/>
          <w:pgSz w:w="12240" w:h="15840"/>
          <w:pgMar w:footer="785" w:top="1360" w:bottom="980" w:left="900" w:right="1280"/>
          <w:pgNumType w:start="1"/>
        </w:sectPr>
      </w:pPr>
    </w:p>
    <w:p>
      <w:pPr>
        <w:spacing w:line="261" w:lineRule="auto" w:before="79"/>
        <w:ind w:left="1260" w:right="1275" w:firstLine="0"/>
        <w:jc w:val="left"/>
        <w:rPr>
          <w:sz w:val="23"/>
        </w:rPr>
      </w:pPr>
      <w:r>
        <w:rPr>
          <w:sz w:val="23"/>
        </w:rPr>
        <w:t>Of the amount remaining after the $50,000 is retained (projected at $61,402,000), forty percent (40%) (projected at $24,560,800) shall be used as follows:</w:t>
      </w:r>
    </w:p>
    <w:p>
      <w:pPr>
        <w:spacing w:line="403" w:lineRule="auto" w:before="158"/>
        <w:ind w:left="1980" w:right="1787" w:firstLine="0"/>
        <w:jc w:val="left"/>
        <w:rPr>
          <w:sz w:val="23"/>
        </w:rPr>
      </w:pPr>
      <w:r>
        <w:rPr>
          <w:sz w:val="23"/>
        </w:rPr>
        <w:t>For housing as required by Utah Code section 17C-1-412 – 20.85%. To Alpine School District – 70.96%</w:t>
      </w:r>
    </w:p>
    <w:p>
      <w:pPr>
        <w:spacing w:before="2"/>
        <w:ind w:left="1980" w:right="0" w:firstLine="0"/>
        <w:jc w:val="left"/>
        <w:rPr>
          <w:sz w:val="23"/>
        </w:rPr>
      </w:pPr>
      <w:r>
        <w:rPr>
          <w:sz w:val="23"/>
        </w:rPr>
        <w:t>To Utah County- 8.19%</w:t>
      </w:r>
    </w:p>
    <w:p>
      <w:pPr>
        <w:spacing w:before="177"/>
        <w:ind w:left="540" w:right="156" w:firstLine="719"/>
        <w:jc w:val="both"/>
        <w:rPr>
          <w:sz w:val="23"/>
        </w:rPr>
      </w:pPr>
      <w:r>
        <w:rPr>
          <w:sz w:val="23"/>
        </w:rPr>
        <w:t>These</w:t>
      </w:r>
      <w:r>
        <w:rPr>
          <w:spacing w:val="-16"/>
          <w:sz w:val="23"/>
        </w:rPr>
        <w:t> </w:t>
      </w:r>
      <w:r>
        <w:rPr>
          <w:sz w:val="23"/>
        </w:rPr>
        <w:t>property</w:t>
      </w:r>
      <w:r>
        <w:rPr>
          <w:spacing w:val="-17"/>
          <w:sz w:val="23"/>
        </w:rPr>
        <w:t> </w:t>
      </w:r>
      <w:r>
        <w:rPr>
          <w:sz w:val="23"/>
        </w:rPr>
        <w:t>taxes</w:t>
      </w:r>
      <w:r>
        <w:rPr>
          <w:spacing w:val="-15"/>
          <w:sz w:val="23"/>
        </w:rPr>
        <w:t> </w:t>
      </w:r>
      <w:r>
        <w:rPr>
          <w:sz w:val="23"/>
        </w:rPr>
        <w:t>will</w:t>
      </w:r>
      <w:r>
        <w:rPr>
          <w:spacing w:val="-14"/>
          <w:sz w:val="23"/>
        </w:rPr>
        <w:t> </w:t>
      </w:r>
      <w:r>
        <w:rPr>
          <w:sz w:val="23"/>
        </w:rPr>
        <w:t>be</w:t>
      </w:r>
      <w:r>
        <w:rPr>
          <w:spacing w:val="-14"/>
          <w:sz w:val="23"/>
        </w:rPr>
        <w:t> </w:t>
      </w:r>
      <w:r>
        <w:rPr>
          <w:sz w:val="23"/>
        </w:rPr>
        <w:t>taxes</w:t>
      </w:r>
      <w:r>
        <w:rPr>
          <w:spacing w:val="-17"/>
          <w:sz w:val="23"/>
        </w:rPr>
        <w:t> </w:t>
      </w:r>
      <w:r>
        <w:rPr>
          <w:sz w:val="23"/>
        </w:rPr>
        <w:t>levied</w:t>
      </w:r>
      <w:r>
        <w:rPr>
          <w:spacing w:val="-17"/>
          <w:sz w:val="23"/>
        </w:rPr>
        <w:t> </w:t>
      </w:r>
      <w:r>
        <w:rPr>
          <w:sz w:val="23"/>
        </w:rPr>
        <w:t>by</w:t>
      </w:r>
      <w:r>
        <w:rPr>
          <w:spacing w:val="-17"/>
          <w:sz w:val="23"/>
        </w:rPr>
        <w:t> </w:t>
      </w:r>
      <w:r>
        <w:rPr>
          <w:sz w:val="23"/>
        </w:rPr>
        <w:t>the</w:t>
      </w:r>
      <w:r>
        <w:rPr>
          <w:spacing w:val="-16"/>
          <w:sz w:val="23"/>
        </w:rPr>
        <w:t> </w:t>
      </w:r>
      <w:r>
        <w:rPr>
          <w:sz w:val="23"/>
        </w:rPr>
        <w:t>following</w:t>
      </w:r>
      <w:r>
        <w:rPr>
          <w:spacing w:val="-14"/>
          <w:sz w:val="23"/>
        </w:rPr>
        <w:t> </w:t>
      </w:r>
      <w:r>
        <w:rPr>
          <w:sz w:val="23"/>
        </w:rPr>
        <w:t>governmental</w:t>
      </w:r>
      <w:r>
        <w:rPr>
          <w:spacing w:val="-10"/>
          <w:sz w:val="23"/>
        </w:rPr>
        <w:t> </w:t>
      </w:r>
      <w:r>
        <w:rPr>
          <w:sz w:val="23"/>
        </w:rPr>
        <w:t>entities,</w:t>
      </w:r>
      <w:r>
        <w:rPr>
          <w:spacing w:val="-14"/>
          <w:sz w:val="23"/>
        </w:rPr>
        <w:t> </w:t>
      </w:r>
      <w:r>
        <w:rPr>
          <w:sz w:val="23"/>
        </w:rPr>
        <w:t>and,</w:t>
      </w:r>
      <w:r>
        <w:rPr>
          <w:spacing w:val="-16"/>
          <w:sz w:val="23"/>
        </w:rPr>
        <w:t> </w:t>
      </w:r>
      <w:r>
        <w:rPr>
          <w:sz w:val="23"/>
        </w:rPr>
        <w:t>assuming current tax rates, the taxes paid to the agency for this project area from each taxing entity will be as follows:</w:t>
      </w:r>
    </w:p>
    <w:p>
      <w:pPr>
        <w:pStyle w:val="BodyText"/>
        <w:rPr>
          <w:sz w:val="23"/>
        </w:rPr>
      </w:pPr>
    </w:p>
    <w:p>
      <w:pPr>
        <w:spacing w:before="0"/>
        <w:ind w:left="1260" w:right="0" w:firstLine="0"/>
        <w:jc w:val="left"/>
        <w:rPr>
          <w:sz w:val="23"/>
        </w:rPr>
      </w:pPr>
      <w:r>
        <w:rPr>
          <w:sz w:val="23"/>
        </w:rPr>
        <w:t>Utah County: $6,362,000 (projected)</w:t>
      </w:r>
    </w:p>
    <w:p>
      <w:pPr>
        <w:pStyle w:val="BodyText"/>
        <w:rPr>
          <w:sz w:val="23"/>
        </w:rPr>
      </w:pPr>
    </w:p>
    <w:p>
      <w:pPr>
        <w:spacing w:before="0"/>
        <w:ind w:left="1260" w:right="0" w:firstLine="0"/>
        <w:jc w:val="left"/>
        <w:rPr>
          <w:sz w:val="23"/>
        </w:rPr>
      </w:pPr>
      <w:r>
        <w:rPr>
          <w:sz w:val="23"/>
        </w:rPr>
        <w:t>Alpine School District: $55,090,000 (projected)</w:t>
      </w:r>
    </w:p>
    <w:p>
      <w:pPr>
        <w:pStyle w:val="BodyText"/>
        <w:spacing w:before="1"/>
        <w:rPr>
          <w:sz w:val="23"/>
        </w:rPr>
      </w:pPr>
    </w:p>
    <w:p>
      <w:pPr>
        <w:spacing w:before="0"/>
        <w:ind w:left="540" w:right="164" w:firstLine="719"/>
        <w:jc w:val="both"/>
        <w:rPr>
          <w:sz w:val="23"/>
        </w:rPr>
      </w:pPr>
      <w:r>
        <w:rPr>
          <w:sz w:val="23"/>
        </w:rPr>
        <w:t>All of the property taxes to be paid to the agency for the development in the project area are taxes that will be generated only if the project area is developed.</w:t>
      </w:r>
    </w:p>
    <w:p>
      <w:pPr>
        <w:pStyle w:val="BodyText"/>
        <w:spacing w:before="10"/>
        <w:rPr>
          <w:sz w:val="22"/>
        </w:rPr>
      </w:pPr>
    </w:p>
    <w:p>
      <w:pPr>
        <w:spacing w:before="0"/>
        <w:ind w:left="540" w:right="154" w:firstLine="719"/>
        <w:jc w:val="both"/>
        <w:rPr>
          <w:sz w:val="23"/>
        </w:rPr>
      </w:pPr>
      <w:r>
        <w:rPr>
          <w:sz w:val="23"/>
        </w:rPr>
        <w:t>All concerned citizens are invited to attend the project area budget hearing scheduled for Wednesday, January 17, 2024, at 2:00 PM at the Utah County Administration Building, 100 East Center Street, Room 1400, Provo, Utah. A copy of the Community Reinvestment Project Area</w:t>
      </w:r>
      <w:r>
        <w:rPr>
          <w:spacing w:val="-38"/>
          <w:sz w:val="23"/>
        </w:rPr>
        <w:t> </w:t>
      </w:r>
      <w:r>
        <w:rPr>
          <w:sz w:val="23"/>
        </w:rPr>
        <w:t>budget is available at the offices of the Utah County Administration Building, 100 East Center Street, Room 1400, Provo, Utah.</w:t>
      </w:r>
    </w:p>
    <w:p>
      <w:pPr>
        <w:pStyle w:val="BodyText"/>
        <w:spacing w:before="2"/>
        <w:rPr>
          <w:sz w:val="23"/>
        </w:rPr>
      </w:pPr>
    </w:p>
    <w:p>
      <w:pPr>
        <w:spacing w:before="0"/>
        <w:ind w:left="1260" w:right="0" w:firstLine="0"/>
        <w:jc w:val="left"/>
        <w:rPr>
          <w:sz w:val="23"/>
        </w:rPr>
      </w:pPr>
      <w:r>
        <w:rPr>
          <w:sz w:val="23"/>
        </w:rPr>
        <w:t>DATED this 13th day of December 2023.</w:t>
      </w:r>
    </w:p>
    <w:p>
      <w:pPr>
        <w:pStyle w:val="BodyText"/>
        <w:rPr>
          <w:sz w:val="23"/>
        </w:rPr>
      </w:pPr>
    </w:p>
    <w:p>
      <w:pPr>
        <w:spacing w:before="0"/>
        <w:ind w:left="4141" w:right="1057" w:firstLine="720"/>
        <w:jc w:val="left"/>
        <w:rPr>
          <w:sz w:val="23"/>
        </w:rPr>
      </w:pPr>
      <w:r>
        <w:rPr/>
        <w:pict>
          <v:group style="position:absolute;margin-left:288.049988pt;margin-top:22.743921pt;width:252.05pt;height:43.45pt;mso-position-horizontal-relative:page;mso-position-vertical-relative:paragraph;z-index:-252111872" coordorigin="5761,455" coordsize="5041,869">
            <v:line style="position:absolute" from="5761,1039" to="10802,1039" stroked="true" strokeweight=".6pt" strokecolor="#000000">
              <v:stroke dashstyle="solid"/>
            </v:line>
            <v:shape style="position:absolute;left:6642;top:454;width:3115;height:719" type="#_x0000_t75" stroked="false">
              <v:imagedata r:id="rId6" o:title=""/>
            </v:shape>
            <v:shape style="position:absolute;left:5761;top:454;width:5041;height:869" type="#_x0000_t202" filled="false" stroked="false">
              <v:textbox inset="0,0,0,0">
                <w:txbxContent>
                  <w:p>
                    <w:pPr>
                      <w:spacing w:line="240" w:lineRule="auto" w:before="0"/>
                      <w:rPr>
                        <w:sz w:val="26"/>
                      </w:rPr>
                    </w:pPr>
                  </w:p>
                  <w:p>
                    <w:pPr>
                      <w:spacing w:line="240" w:lineRule="auto" w:before="5"/>
                      <w:rPr>
                        <w:sz w:val="26"/>
                      </w:rPr>
                    </w:pPr>
                  </w:p>
                  <w:p>
                    <w:pPr>
                      <w:spacing w:before="0"/>
                      <w:ind w:left="0" w:right="0" w:firstLine="0"/>
                      <w:jc w:val="left"/>
                      <w:rPr>
                        <w:sz w:val="23"/>
                      </w:rPr>
                    </w:pPr>
                    <w:r>
                      <w:rPr>
                        <w:sz w:val="23"/>
                      </w:rPr>
                      <w:t>AMELIA POWERS GARDNER, Chair</w:t>
                    </w:r>
                  </w:p>
                </w:txbxContent>
              </v:textbox>
              <w10:wrap type="none"/>
            </v:shape>
            <w10:wrap type="none"/>
          </v:group>
        </w:pict>
      </w:r>
      <w:r>
        <w:rPr>
          <w:sz w:val="23"/>
        </w:rPr>
        <w:t>BOARD OF COUNTY COMMISSIONERS UTAH COUNTY, UTAH</w:t>
      </w:r>
    </w:p>
    <w:p>
      <w:pPr>
        <w:pStyle w:val="BodyText"/>
        <w:rPr>
          <w:sz w:val="20"/>
        </w:rPr>
      </w:pPr>
    </w:p>
    <w:p>
      <w:pPr>
        <w:pStyle w:val="BodyText"/>
        <w:rPr>
          <w:sz w:val="20"/>
        </w:rPr>
      </w:pPr>
    </w:p>
    <w:p>
      <w:pPr>
        <w:pStyle w:val="BodyText"/>
        <w:rPr>
          <w:sz w:val="20"/>
        </w:rPr>
      </w:pPr>
    </w:p>
    <w:p>
      <w:pPr>
        <w:pStyle w:val="BodyText"/>
      </w:pPr>
    </w:p>
    <w:p>
      <w:pPr>
        <w:spacing w:after="0"/>
        <w:sectPr>
          <w:pgSz w:w="12240" w:h="15840"/>
          <w:pgMar w:header="0" w:footer="785" w:top="1360" w:bottom="980" w:left="900" w:right="1280"/>
        </w:sectPr>
      </w:pPr>
    </w:p>
    <w:p>
      <w:pPr>
        <w:spacing w:line="264" w:lineRule="exact" w:before="91"/>
        <w:ind w:left="540" w:right="0" w:firstLine="0"/>
        <w:jc w:val="left"/>
        <w:rPr>
          <w:sz w:val="23"/>
        </w:rPr>
      </w:pPr>
      <w:r>
        <w:rPr/>
        <w:drawing>
          <wp:anchor distT="0" distB="0" distL="0" distR="0" allowOverlap="1" layoutInCell="1" locked="0" behindDoc="1" simplePos="0" relativeHeight="251206656">
            <wp:simplePos x="0" y="0"/>
            <wp:positionH relativeFrom="page">
              <wp:posOffset>2120392</wp:posOffset>
            </wp:positionH>
            <wp:positionV relativeFrom="paragraph">
              <wp:posOffset>-45004</wp:posOffset>
            </wp:positionV>
            <wp:extent cx="1474470" cy="1371600"/>
            <wp:effectExtent l="0" t="0" r="0" b="0"/>
            <wp:wrapNone/>
            <wp:docPr id="1" name="image2.png"/>
            <wp:cNvGraphicFramePr>
              <a:graphicFrameLocks noChangeAspect="1"/>
            </wp:cNvGraphicFramePr>
            <a:graphic>
              <a:graphicData uri="http://schemas.openxmlformats.org/drawingml/2006/picture">
                <pic:pic>
                  <pic:nvPicPr>
                    <pic:cNvPr id="2" name="image2.png"/>
                    <pic:cNvPicPr/>
                  </pic:nvPicPr>
                  <pic:blipFill>
                    <a:blip r:embed="rId7" cstate="print"/>
                    <a:stretch>
                      <a:fillRect/>
                    </a:stretch>
                  </pic:blipFill>
                  <pic:spPr>
                    <a:xfrm>
                      <a:off x="0" y="0"/>
                      <a:ext cx="1474470" cy="1371600"/>
                    </a:xfrm>
                    <a:prstGeom prst="rect">
                      <a:avLst/>
                    </a:prstGeom>
                  </pic:spPr>
                </pic:pic>
              </a:graphicData>
            </a:graphic>
          </wp:anchor>
        </w:drawing>
      </w:r>
      <w:r>
        <w:rPr>
          <w:sz w:val="23"/>
        </w:rPr>
        <w:t>ATTEST:</w:t>
      </w:r>
    </w:p>
    <w:p>
      <w:pPr>
        <w:spacing w:line="264" w:lineRule="exact" w:before="0"/>
        <w:ind w:left="540" w:right="0" w:firstLine="0"/>
        <w:jc w:val="left"/>
        <w:rPr>
          <w:sz w:val="23"/>
        </w:rPr>
      </w:pPr>
      <w:r>
        <w:rPr>
          <w:sz w:val="23"/>
        </w:rPr>
        <w:t>AARON R. DAVIDSON</w:t>
      </w:r>
    </w:p>
    <w:p>
      <w:pPr>
        <w:spacing w:before="2"/>
        <w:ind w:left="540" w:right="0" w:firstLine="0"/>
        <w:jc w:val="left"/>
        <w:rPr>
          <w:sz w:val="23"/>
        </w:rPr>
      </w:pPr>
      <w:r>
        <w:rPr/>
        <w:drawing>
          <wp:anchor distT="0" distB="0" distL="0" distR="0" allowOverlap="1" layoutInCell="1" locked="0" behindDoc="1" simplePos="0" relativeHeight="251207680">
            <wp:simplePos x="0" y="0"/>
            <wp:positionH relativeFrom="page">
              <wp:posOffset>1145539</wp:posOffset>
            </wp:positionH>
            <wp:positionV relativeFrom="paragraph">
              <wp:posOffset>305357</wp:posOffset>
            </wp:positionV>
            <wp:extent cx="926591" cy="456468"/>
            <wp:effectExtent l="0" t="0" r="0" b="0"/>
            <wp:wrapNone/>
            <wp:docPr id="3" name="image3.png"/>
            <wp:cNvGraphicFramePr>
              <a:graphicFrameLocks noChangeAspect="1"/>
            </wp:cNvGraphicFramePr>
            <a:graphic>
              <a:graphicData uri="http://schemas.openxmlformats.org/drawingml/2006/picture">
                <pic:pic>
                  <pic:nvPicPr>
                    <pic:cNvPr id="4" name="image3.png"/>
                    <pic:cNvPicPr/>
                  </pic:nvPicPr>
                  <pic:blipFill>
                    <a:blip r:embed="rId8" cstate="print"/>
                    <a:stretch>
                      <a:fillRect/>
                    </a:stretch>
                  </pic:blipFill>
                  <pic:spPr>
                    <a:xfrm>
                      <a:off x="0" y="0"/>
                      <a:ext cx="926591" cy="456468"/>
                    </a:xfrm>
                    <a:prstGeom prst="rect">
                      <a:avLst/>
                    </a:prstGeom>
                  </pic:spPr>
                </pic:pic>
              </a:graphicData>
            </a:graphic>
          </wp:anchor>
        </w:drawing>
      </w:r>
      <w:r>
        <w:rPr>
          <w:sz w:val="23"/>
        </w:rPr>
        <w:t>Utah County Clerk</w:t>
      </w:r>
    </w:p>
    <w:p>
      <w:pPr>
        <w:pStyle w:val="BodyText"/>
        <w:rPr>
          <w:sz w:val="26"/>
        </w:rPr>
      </w:pPr>
    </w:p>
    <w:p>
      <w:pPr>
        <w:tabs>
          <w:tab w:pos="4193" w:val="left" w:leader="none"/>
        </w:tabs>
        <w:spacing w:before="229"/>
        <w:ind w:left="1260" w:right="39" w:hanging="720"/>
        <w:jc w:val="left"/>
        <w:rPr>
          <w:sz w:val="23"/>
        </w:rPr>
      </w:pPr>
      <w:r>
        <w:rPr>
          <w:sz w:val="23"/>
        </w:rPr>
        <w:t>By:</w:t>
      </w:r>
      <w:r>
        <w:rPr>
          <w:sz w:val="23"/>
          <w:u w:val="single"/>
        </w:rPr>
        <w:tab/>
        <w:tab/>
      </w:r>
      <w:r>
        <w:rPr>
          <w:sz w:val="23"/>
        </w:rPr>
        <w:t> Deputy</w:t>
      </w:r>
    </w:p>
    <w:p>
      <w:pPr>
        <w:spacing w:before="91"/>
        <w:ind w:left="540" w:right="725" w:firstLine="0"/>
        <w:jc w:val="left"/>
        <w:rPr>
          <w:sz w:val="23"/>
        </w:rPr>
      </w:pPr>
      <w:r>
        <w:rPr/>
        <w:br w:type="column"/>
      </w:r>
      <w:r>
        <w:rPr>
          <w:sz w:val="23"/>
        </w:rPr>
        <w:t>APPROVED AS TO FORM AND LEGALITY: JEFFREY S. GRAY</w:t>
      </w:r>
    </w:p>
    <w:p>
      <w:pPr>
        <w:spacing w:before="2"/>
        <w:ind w:left="540" w:right="0" w:firstLine="0"/>
        <w:jc w:val="left"/>
        <w:rPr>
          <w:sz w:val="23"/>
        </w:rPr>
      </w:pPr>
      <w:r>
        <w:rPr/>
        <w:drawing>
          <wp:anchor distT="0" distB="0" distL="0" distR="0" allowOverlap="1" layoutInCell="1" locked="0" behindDoc="1" simplePos="0" relativeHeight="251205632">
            <wp:simplePos x="0" y="0"/>
            <wp:positionH relativeFrom="page">
              <wp:posOffset>4486147</wp:posOffset>
            </wp:positionH>
            <wp:positionV relativeFrom="paragraph">
              <wp:posOffset>305357</wp:posOffset>
            </wp:positionV>
            <wp:extent cx="934394" cy="456468"/>
            <wp:effectExtent l="0" t="0" r="0" b="0"/>
            <wp:wrapNone/>
            <wp:docPr id="5" name="image4.png"/>
            <wp:cNvGraphicFramePr>
              <a:graphicFrameLocks noChangeAspect="1"/>
            </wp:cNvGraphicFramePr>
            <a:graphic>
              <a:graphicData uri="http://schemas.openxmlformats.org/drawingml/2006/picture">
                <pic:pic>
                  <pic:nvPicPr>
                    <pic:cNvPr id="6" name="image4.png"/>
                    <pic:cNvPicPr/>
                  </pic:nvPicPr>
                  <pic:blipFill>
                    <a:blip r:embed="rId9" cstate="print"/>
                    <a:stretch>
                      <a:fillRect/>
                    </a:stretch>
                  </pic:blipFill>
                  <pic:spPr>
                    <a:xfrm>
                      <a:off x="0" y="0"/>
                      <a:ext cx="934394" cy="456468"/>
                    </a:xfrm>
                    <a:prstGeom prst="rect">
                      <a:avLst/>
                    </a:prstGeom>
                  </pic:spPr>
                </pic:pic>
              </a:graphicData>
            </a:graphic>
          </wp:anchor>
        </w:drawing>
      </w:r>
      <w:r>
        <w:rPr>
          <w:sz w:val="23"/>
        </w:rPr>
        <w:t>Utah County Attorney</w:t>
      </w:r>
    </w:p>
    <w:p>
      <w:pPr>
        <w:pStyle w:val="BodyText"/>
        <w:rPr>
          <w:sz w:val="26"/>
        </w:rPr>
      </w:pPr>
    </w:p>
    <w:p>
      <w:pPr>
        <w:tabs>
          <w:tab w:pos="5633" w:val="left" w:leader="none"/>
        </w:tabs>
        <w:spacing w:before="228"/>
        <w:ind w:left="1260" w:right="103" w:hanging="720"/>
        <w:jc w:val="left"/>
        <w:rPr>
          <w:sz w:val="23"/>
        </w:rPr>
      </w:pPr>
      <w:r>
        <w:rPr>
          <w:sz w:val="23"/>
        </w:rPr>
        <w:t>By:</w:t>
      </w:r>
      <w:r>
        <w:rPr>
          <w:sz w:val="23"/>
          <w:u w:val="single"/>
        </w:rPr>
        <w:tab/>
        <w:tab/>
      </w:r>
      <w:r>
        <w:rPr>
          <w:sz w:val="23"/>
        </w:rPr>
        <w:t> Deputy Utah County Attorney</w:t>
      </w:r>
    </w:p>
    <w:p>
      <w:pPr>
        <w:spacing w:after="0"/>
        <w:jc w:val="left"/>
        <w:rPr>
          <w:sz w:val="23"/>
        </w:rPr>
        <w:sectPr>
          <w:type w:val="continuous"/>
          <w:pgSz w:w="12240" w:h="15840"/>
          <w:pgMar w:top="1360" w:bottom="980" w:left="900" w:right="1280"/>
          <w:cols w:num="2" w:equalWidth="0">
            <w:col w:w="4234" w:space="87"/>
            <w:col w:w="5739"/>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7"/>
        </w:rPr>
      </w:pPr>
    </w:p>
    <w:p>
      <w:pPr>
        <w:spacing w:before="91"/>
        <w:ind w:left="540" w:right="0" w:firstLine="0"/>
        <w:jc w:val="left"/>
        <w:rPr>
          <w:sz w:val="20"/>
        </w:rPr>
      </w:pPr>
      <w:r>
        <w:rPr>
          <w:b/>
          <w:sz w:val="20"/>
          <w:u w:val="single"/>
        </w:rPr>
        <w:t>To be published as a Class A Notice, as follows</w:t>
      </w:r>
      <w:r>
        <w:rPr>
          <w:sz w:val="20"/>
        </w:rPr>
        <w:t>:</w:t>
      </w:r>
    </w:p>
    <w:p>
      <w:pPr>
        <w:pStyle w:val="ListParagraph"/>
        <w:numPr>
          <w:ilvl w:val="0"/>
          <w:numId w:val="2"/>
        </w:numPr>
        <w:tabs>
          <w:tab w:pos="1260" w:val="left" w:leader="none"/>
          <w:tab w:pos="1261" w:val="left" w:leader="none"/>
        </w:tabs>
        <w:spacing w:line="240" w:lineRule="auto" w:before="0" w:after="0"/>
        <w:ind w:left="1260" w:right="0" w:hanging="361"/>
        <w:jc w:val="left"/>
        <w:rPr>
          <w:sz w:val="20"/>
        </w:rPr>
      </w:pPr>
      <w:r>
        <w:rPr>
          <w:sz w:val="20"/>
        </w:rPr>
        <w:t>Publish the public notice on the Utah Public Notice</w:t>
      </w:r>
      <w:r>
        <w:rPr>
          <w:spacing w:val="-3"/>
          <w:sz w:val="20"/>
        </w:rPr>
        <w:t> </w:t>
      </w:r>
      <w:r>
        <w:rPr>
          <w:sz w:val="20"/>
        </w:rPr>
        <w:t>Website.</w:t>
      </w:r>
    </w:p>
    <w:p>
      <w:pPr>
        <w:pStyle w:val="ListParagraph"/>
        <w:numPr>
          <w:ilvl w:val="0"/>
          <w:numId w:val="2"/>
        </w:numPr>
        <w:tabs>
          <w:tab w:pos="1260" w:val="left" w:leader="none"/>
          <w:tab w:pos="1261" w:val="left" w:leader="none"/>
        </w:tabs>
        <w:spacing w:line="240" w:lineRule="auto" w:before="1" w:after="0"/>
        <w:ind w:left="1260" w:right="0" w:hanging="361"/>
        <w:jc w:val="left"/>
        <w:rPr>
          <w:sz w:val="20"/>
        </w:rPr>
      </w:pPr>
      <w:r>
        <w:rPr>
          <w:sz w:val="20"/>
        </w:rPr>
        <w:t>Publish the public notice on the public body’s official</w:t>
      </w:r>
      <w:r>
        <w:rPr>
          <w:spacing w:val="-5"/>
          <w:sz w:val="20"/>
        </w:rPr>
        <w:t> </w:t>
      </w:r>
      <w:r>
        <w:rPr>
          <w:sz w:val="20"/>
        </w:rPr>
        <w:t>website.</w:t>
      </w:r>
    </w:p>
    <w:p>
      <w:pPr>
        <w:pStyle w:val="ListParagraph"/>
        <w:numPr>
          <w:ilvl w:val="0"/>
          <w:numId w:val="2"/>
        </w:numPr>
        <w:tabs>
          <w:tab w:pos="1260" w:val="left" w:leader="none"/>
          <w:tab w:pos="1261" w:val="left" w:leader="none"/>
        </w:tabs>
        <w:spacing w:line="240" w:lineRule="auto" w:before="0" w:after="0"/>
        <w:ind w:left="1260" w:right="262" w:hanging="360"/>
        <w:jc w:val="left"/>
        <w:rPr>
          <w:sz w:val="20"/>
        </w:rPr>
      </w:pPr>
      <w:r>
        <w:rPr>
          <w:sz w:val="20"/>
        </w:rPr>
        <w:t>Post the notice in a public location within the county that is reasonably likely to be seen by residents of</w:t>
      </w:r>
      <w:r>
        <w:rPr>
          <w:spacing w:val="-27"/>
          <w:sz w:val="20"/>
        </w:rPr>
        <w:t> </w:t>
      </w:r>
      <w:r>
        <w:rPr>
          <w:sz w:val="20"/>
        </w:rPr>
        <w:t>the county.</w:t>
      </w:r>
    </w:p>
    <w:p>
      <w:pPr>
        <w:spacing w:after="0" w:line="240" w:lineRule="auto"/>
        <w:jc w:val="left"/>
        <w:rPr>
          <w:sz w:val="20"/>
        </w:rPr>
        <w:sectPr>
          <w:type w:val="continuous"/>
          <w:pgSz w:w="12240" w:h="15840"/>
          <w:pgMar w:top="1360" w:bottom="980" w:left="900" w:right="1280"/>
        </w:sectPr>
      </w:pPr>
    </w:p>
    <w:p>
      <w:pPr>
        <w:pStyle w:val="Heading1"/>
        <w:spacing w:before="82"/>
        <w:ind w:left="4628"/>
      </w:pPr>
      <w:bookmarkStart w:name="4c - Budget" w:id="2"/>
      <w:bookmarkEnd w:id="2"/>
      <w:r>
        <w:rPr>
          <w:b w:val="0"/>
        </w:rPr>
      </w:r>
      <w:r>
        <w:rPr/>
        <w:t>UTAH COUNTY COMMUNITY REINVESTMENT PROJECT AREA BUDGET</w:t>
      </w:r>
    </w:p>
    <w:p>
      <w:pPr>
        <w:pStyle w:val="BodyText"/>
        <w:rPr>
          <w:b/>
          <w:sz w:val="30"/>
        </w:rPr>
      </w:pPr>
    </w:p>
    <w:p>
      <w:pPr>
        <w:pStyle w:val="Heading2"/>
        <w:spacing w:before="205"/>
      </w:pPr>
      <w:r>
        <w:rPr/>
        <w:t>Section 1:</w:t>
      </w:r>
      <w:r>
        <w:rPr>
          <w:spacing w:val="-6"/>
        </w:rPr>
        <w:t> </w:t>
      </w:r>
      <w:r>
        <w:rPr/>
        <w:t>Introduction</w:t>
      </w:r>
    </w:p>
    <w:p>
      <w:pPr>
        <w:pStyle w:val="BodyText"/>
        <w:rPr>
          <w:b/>
        </w:rPr>
      </w:pPr>
    </w:p>
    <w:p>
      <w:pPr>
        <w:pStyle w:val="BodyText"/>
        <w:ind w:left="540" w:right="264"/>
      </w:pPr>
      <w:r>
        <w:rPr/>
        <w:t>Per Utah Code § 17C-5-302(2), the Utah County Community Reinvestment Agency (the “Agency”) is required to prepare a project area budget (“Budget”) for the Utah County Reinvestment Project Area (the “Project Area”). This Budget is based on projected</w:t>
      </w:r>
      <w:r>
        <w:rPr>
          <w:spacing w:val="-21"/>
        </w:rPr>
        <w:t> </w:t>
      </w:r>
      <w:r>
        <w:rPr/>
        <w:t>development within the Project Area, which includes a proposed new renewable energy facility. As development takes time to occur, the Budget takes into account the anticipated timing of the development. The purpose of this Budget is to set forth the Agency’s good-faith projections about the impact of development within the Project Area on the Agency and the benefits to the individual taxing entities. This budget will be presented for approval from the Utah County Redevelopment</w:t>
      </w:r>
      <w:r>
        <w:rPr>
          <w:spacing w:val="-1"/>
        </w:rPr>
        <w:t> </w:t>
      </w:r>
      <w:r>
        <w:rPr/>
        <w:t>Agency.</w:t>
      </w:r>
    </w:p>
    <w:p>
      <w:pPr>
        <w:pStyle w:val="BodyText"/>
        <w:spacing w:before="1"/>
      </w:pPr>
    </w:p>
    <w:p>
      <w:pPr>
        <w:pStyle w:val="BodyText"/>
        <w:ind w:left="540" w:right="276"/>
      </w:pPr>
      <w:r>
        <w:rPr/>
        <w:t>This budget meets the requirements of the Utah Limited Purpose Local Government Entities – Community Reinvestment Agency Act (the “Act”). This Budget is prepared in good faith as a current reasonable estimate of the economic impact of projected development within the Project Area. Fundamental economic changes and other circumstances may influence the actual</w:t>
      </w:r>
      <w:r>
        <w:rPr>
          <w:spacing w:val="-14"/>
        </w:rPr>
        <w:t> </w:t>
      </w:r>
      <w:r>
        <w:rPr/>
        <w:t>impact. With these assumptions, the information contained within this Budget represents the reasonable expectations of the Agency. The Agency makes no guarantee that the projections contained in this Budget for the Project Area accurately reflect the future development within the Project Area. Further, the Agency specifically reserves all powers granted to it under the Act, as amended; this Budget shall not be interpreted to limit or restrict the powers of the agency as granted by the Act. The actual amount of tax increment received by the Agency shall be governed by this</w:t>
      </w:r>
      <w:r>
        <w:rPr>
          <w:spacing w:val="-1"/>
        </w:rPr>
        <w:t> </w:t>
      </w:r>
      <w:r>
        <w:rPr/>
        <w:t>Budget.</w:t>
      </w:r>
    </w:p>
    <w:p>
      <w:pPr>
        <w:pStyle w:val="BodyText"/>
      </w:pPr>
    </w:p>
    <w:p>
      <w:pPr>
        <w:pStyle w:val="Heading2"/>
        <w:spacing w:before="1"/>
      </w:pPr>
      <w:r>
        <w:rPr/>
        <w:t>Section 2: Project</w:t>
      </w:r>
      <w:r>
        <w:rPr>
          <w:spacing w:val="-8"/>
        </w:rPr>
        <w:t> </w:t>
      </w:r>
      <w:r>
        <w:rPr/>
        <w:t>Area</w:t>
      </w:r>
    </w:p>
    <w:p>
      <w:pPr>
        <w:pStyle w:val="BodyText"/>
        <w:rPr>
          <w:b/>
        </w:rPr>
      </w:pPr>
    </w:p>
    <w:p>
      <w:pPr>
        <w:pStyle w:val="BodyText"/>
        <w:ind w:left="540"/>
      </w:pPr>
      <w:r>
        <w:rPr/>
        <w:t>The Project Area is being created contemporaneously with the adoption and approval of this Budget. It encompasses approximately 5,000 acres and is shown on the map in Exhibit A.</w:t>
      </w:r>
    </w:p>
    <w:p>
      <w:pPr>
        <w:pStyle w:val="BodyText"/>
      </w:pPr>
    </w:p>
    <w:p>
      <w:pPr>
        <w:pStyle w:val="Heading2"/>
      </w:pPr>
      <w:r>
        <w:rPr/>
        <w:t>Section 3: Base Taxable Value</w:t>
      </w:r>
    </w:p>
    <w:p>
      <w:pPr>
        <w:pStyle w:val="BodyText"/>
        <w:rPr>
          <w:b/>
        </w:rPr>
      </w:pPr>
    </w:p>
    <w:p>
      <w:pPr>
        <w:pStyle w:val="BodyText"/>
        <w:ind w:left="540" w:right="569"/>
      </w:pPr>
      <w:r>
        <w:rPr/>
        <w:t>The base value for the Original Area is the total assessed value of property within the Project Area for the 2023 tax year, which is estimated to be $15,110,900.</w:t>
      </w:r>
    </w:p>
    <w:p>
      <w:pPr>
        <w:pStyle w:val="BodyText"/>
      </w:pPr>
    </w:p>
    <w:p>
      <w:pPr>
        <w:pStyle w:val="Heading2"/>
        <w:spacing w:before="1"/>
      </w:pPr>
      <w:r>
        <w:rPr/>
        <w:t>Section 4: Each Project Area Funds Collection Period</w:t>
      </w:r>
    </w:p>
    <w:p>
      <w:pPr>
        <w:pStyle w:val="BodyText"/>
        <w:spacing w:before="11"/>
        <w:rPr>
          <w:b/>
          <w:sz w:val="23"/>
        </w:rPr>
      </w:pPr>
    </w:p>
    <w:p>
      <w:pPr>
        <w:pStyle w:val="BodyText"/>
        <w:ind w:left="540" w:right="202"/>
      </w:pPr>
      <w:r>
        <w:rPr/>
        <w:t>The project area funds collection period under this Budget begins on January 1, 2024 and ends on December 31, 2038 (the “Project Area Funds Collection Period”). In other words, the Agency shall receive project area funds generated by development within the Project Area for all periods up to and including 2038. No action by the Agency shall be required to begin (or “trigger”) collecting tax increment from this Project Area pursuant to this Budget.</w:t>
      </w:r>
    </w:p>
    <w:p>
      <w:pPr>
        <w:spacing w:after="0"/>
        <w:sectPr>
          <w:footerReference w:type="default" r:id="rId10"/>
          <w:pgSz w:w="12240" w:h="15840"/>
          <w:pgMar w:footer="834" w:header="0" w:top="1500" w:bottom="1020" w:left="900" w:right="1280"/>
          <w:pgNumType w:start="1"/>
        </w:sectPr>
      </w:pPr>
    </w:p>
    <w:p>
      <w:pPr>
        <w:pStyle w:val="Heading2"/>
        <w:spacing w:before="79"/>
      </w:pPr>
      <w:r>
        <w:rPr/>
        <w:t>Section 5: Project Area Funds to be Paid to the Agency</w:t>
      </w:r>
    </w:p>
    <w:p>
      <w:pPr>
        <w:pStyle w:val="BodyText"/>
        <w:rPr>
          <w:b/>
        </w:rPr>
      </w:pPr>
    </w:p>
    <w:p>
      <w:pPr>
        <w:pStyle w:val="BodyText"/>
        <w:ind w:left="540" w:right="526"/>
      </w:pPr>
      <w:r>
        <w:rPr/>
        <w:t>The Agency shall receive one hundred percent (100%) of the tax increment generated by the Project Area during the Project Area Funds Collection Period, subject to the terms set forth below:</w:t>
      </w:r>
    </w:p>
    <w:p>
      <w:pPr>
        <w:pStyle w:val="BodyText"/>
      </w:pPr>
    </w:p>
    <w:p>
      <w:pPr>
        <w:pStyle w:val="ListParagraph"/>
        <w:numPr>
          <w:ilvl w:val="1"/>
          <w:numId w:val="2"/>
        </w:numPr>
        <w:tabs>
          <w:tab w:pos="1621" w:val="left" w:leader="none"/>
        </w:tabs>
        <w:spacing w:line="240" w:lineRule="auto" w:before="0" w:after="0"/>
        <w:ind w:left="1620" w:right="496" w:hanging="360"/>
        <w:jc w:val="left"/>
        <w:rPr>
          <w:sz w:val="24"/>
        </w:rPr>
      </w:pPr>
      <w:r>
        <w:rPr>
          <w:sz w:val="24"/>
        </w:rPr>
        <w:t>The base value for purposes of calculating tax increment generated by the</w:t>
      </w:r>
      <w:r>
        <w:rPr>
          <w:spacing w:val="-12"/>
          <w:sz w:val="24"/>
        </w:rPr>
        <w:t> </w:t>
      </w:r>
      <w:r>
        <w:rPr>
          <w:sz w:val="24"/>
        </w:rPr>
        <w:t>Original Area shall be the 2023 assessed value, as described in Section 3,</w:t>
      </w:r>
      <w:r>
        <w:rPr>
          <w:spacing w:val="-5"/>
          <w:sz w:val="24"/>
        </w:rPr>
        <w:t> </w:t>
      </w:r>
      <w:r>
        <w:rPr>
          <w:sz w:val="24"/>
        </w:rPr>
        <w:t>above.</w:t>
      </w:r>
    </w:p>
    <w:p>
      <w:pPr>
        <w:pStyle w:val="BodyText"/>
      </w:pPr>
    </w:p>
    <w:p>
      <w:pPr>
        <w:pStyle w:val="ListParagraph"/>
        <w:numPr>
          <w:ilvl w:val="1"/>
          <w:numId w:val="2"/>
        </w:numPr>
        <w:tabs>
          <w:tab w:pos="1621" w:val="left" w:leader="none"/>
        </w:tabs>
        <w:spacing w:line="240" w:lineRule="auto" w:before="0" w:after="0"/>
        <w:ind w:left="1620" w:right="340" w:hanging="360"/>
        <w:jc w:val="left"/>
        <w:rPr>
          <w:sz w:val="24"/>
        </w:rPr>
      </w:pPr>
      <w:r>
        <w:rPr>
          <w:sz w:val="24"/>
        </w:rPr>
        <w:t>Of the project area funds received by the Agency pursuant to this Budget, sixty percent (60%) shall be used for project area development (as defined in the Act)</w:t>
      </w:r>
      <w:r>
        <w:rPr>
          <w:spacing w:val="-17"/>
          <w:sz w:val="24"/>
        </w:rPr>
        <w:t> </w:t>
      </w:r>
      <w:r>
        <w:rPr>
          <w:sz w:val="24"/>
        </w:rPr>
        <w:t>and the remaining forty percent (40%) shall be used as described in Section 6,</w:t>
      </w:r>
      <w:r>
        <w:rPr>
          <w:spacing w:val="-5"/>
          <w:sz w:val="24"/>
        </w:rPr>
        <w:t> </w:t>
      </w:r>
      <w:r>
        <w:rPr>
          <w:sz w:val="24"/>
        </w:rPr>
        <w:t>below.</w:t>
      </w:r>
    </w:p>
    <w:p>
      <w:pPr>
        <w:pStyle w:val="BodyText"/>
      </w:pPr>
    </w:p>
    <w:p>
      <w:pPr>
        <w:pStyle w:val="ListParagraph"/>
        <w:numPr>
          <w:ilvl w:val="1"/>
          <w:numId w:val="2"/>
        </w:numPr>
        <w:tabs>
          <w:tab w:pos="1621" w:val="left" w:leader="none"/>
        </w:tabs>
        <w:spacing w:line="240" w:lineRule="auto" w:before="1" w:after="0"/>
        <w:ind w:left="1620" w:right="791" w:hanging="360"/>
        <w:jc w:val="left"/>
        <w:rPr>
          <w:sz w:val="24"/>
        </w:rPr>
      </w:pPr>
      <w:r>
        <w:rPr>
          <w:sz w:val="24"/>
        </w:rPr>
        <w:t>The Agency shall not make allocations to Agency administrative costs from the project area funds received by the Agency pursuant to this</w:t>
      </w:r>
      <w:r>
        <w:rPr>
          <w:spacing w:val="-2"/>
          <w:sz w:val="24"/>
        </w:rPr>
        <w:t> </w:t>
      </w:r>
      <w:r>
        <w:rPr>
          <w:sz w:val="24"/>
        </w:rPr>
        <w:t>Budget.</w:t>
      </w:r>
    </w:p>
    <w:p>
      <w:pPr>
        <w:pStyle w:val="BodyText"/>
      </w:pPr>
    </w:p>
    <w:p>
      <w:pPr>
        <w:pStyle w:val="ListParagraph"/>
        <w:numPr>
          <w:ilvl w:val="0"/>
          <w:numId w:val="3"/>
        </w:numPr>
        <w:tabs>
          <w:tab w:pos="1621" w:val="left" w:leader="none"/>
        </w:tabs>
        <w:spacing w:line="240" w:lineRule="auto" w:before="0" w:after="0"/>
        <w:ind w:left="1620" w:right="340" w:hanging="360"/>
        <w:jc w:val="left"/>
        <w:rPr>
          <w:sz w:val="24"/>
        </w:rPr>
      </w:pPr>
      <w:r>
        <w:rPr>
          <w:sz w:val="24"/>
        </w:rPr>
        <w:t>Prior to distribution of any project area funds to the Agency pursuant to this</w:t>
      </w:r>
      <w:r>
        <w:rPr>
          <w:spacing w:val="-13"/>
          <w:sz w:val="24"/>
        </w:rPr>
        <w:t> </w:t>
      </w:r>
      <w:r>
        <w:rPr>
          <w:sz w:val="24"/>
        </w:rPr>
        <w:t>Budget, Utah County may retain up to $50,000 per year to cover the County’s costs administrative costs relating to this Budget and the Project</w:t>
      </w:r>
      <w:r>
        <w:rPr>
          <w:spacing w:val="-3"/>
          <w:sz w:val="24"/>
        </w:rPr>
        <w:t> </w:t>
      </w:r>
      <w:r>
        <w:rPr>
          <w:sz w:val="24"/>
        </w:rPr>
        <w:t>Area.</w:t>
      </w:r>
    </w:p>
    <w:p>
      <w:pPr>
        <w:pStyle w:val="BodyText"/>
      </w:pPr>
    </w:p>
    <w:p>
      <w:pPr>
        <w:pStyle w:val="ListParagraph"/>
        <w:numPr>
          <w:ilvl w:val="0"/>
          <w:numId w:val="3"/>
        </w:numPr>
        <w:tabs>
          <w:tab w:pos="1621" w:val="left" w:leader="none"/>
        </w:tabs>
        <w:spacing w:line="240" w:lineRule="auto" w:before="0" w:after="0"/>
        <w:ind w:left="1620" w:right="0" w:hanging="361"/>
        <w:jc w:val="left"/>
        <w:rPr>
          <w:sz w:val="24"/>
        </w:rPr>
      </w:pPr>
      <w:r>
        <w:rPr>
          <w:sz w:val="24"/>
        </w:rPr>
        <w:t>This Budget does not set a maximum amount that the Agency is allowed to</w:t>
      </w:r>
      <w:r>
        <w:rPr>
          <w:spacing w:val="-6"/>
          <w:sz w:val="24"/>
        </w:rPr>
        <w:t> </w:t>
      </w:r>
      <w:r>
        <w:rPr>
          <w:sz w:val="24"/>
        </w:rPr>
        <w:t>receive.</w:t>
      </w:r>
    </w:p>
    <w:p>
      <w:pPr>
        <w:pStyle w:val="BodyText"/>
      </w:pPr>
    </w:p>
    <w:p>
      <w:pPr>
        <w:pStyle w:val="Heading2"/>
        <w:ind w:right="1275"/>
      </w:pPr>
      <w:r>
        <w:rPr/>
        <w:t>Section 6: The Projected Amount of Tax Increment to be Paid to Other Taxing Entities</w:t>
      </w:r>
    </w:p>
    <w:p>
      <w:pPr>
        <w:pStyle w:val="BodyText"/>
        <w:rPr>
          <w:b/>
        </w:rPr>
      </w:pPr>
    </w:p>
    <w:p>
      <w:pPr>
        <w:pStyle w:val="BodyText"/>
        <w:ind w:left="540" w:right="443"/>
      </w:pPr>
      <w:r>
        <w:rPr/>
        <w:t>Of the forty percent that the Agency retains (as described in Section 5, #3, above), the Agency shall distribute said project area funds on an annual basis as follows:</w:t>
      </w:r>
    </w:p>
    <w:p>
      <w:pPr>
        <w:pStyle w:val="BodyText"/>
        <w:spacing w:before="1"/>
      </w:pPr>
    </w:p>
    <w:p>
      <w:pPr>
        <w:pStyle w:val="BodyText"/>
        <w:ind w:left="1260" w:right="2234"/>
      </w:pPr>
      <w:r>
        <w:rPr/>
        <w:t>For housing as required by Utah Code section 17C-1-412 – 20.85%. To Alpine School District – 70.96%</w:t>
      </w:r>
    </w:p>
    <w:p>
      <w:pPr>
        <w:pStyle w:val="BodyText"/>
        <w:ind w:left="1260"/>
      </w:pPr>
      <w:r>
        <w:rPr/>
        <w:t>To Utah County- 8.19%</w:t>
      </w:r>
    </w:p>
    <w:p>
      <w:pPr>
        <w:pStyle w:val="BodyText"/>
      </w:pPr>
    </w:p>
    <w:p>
      <w:pPr>
        <w:pStyle w:val="BodyText"/>
        <w:ind w:left="540"/>
      </w:pPr>
      <w:r>
        <w:rPr/>
        <w:t>To illustrate, if the Agency receives $5,000,000 in project area funds for a given year,</w:t>
      </w:r>
    </w:p>
    <w:p>
      <w:pPr>
        <w:pStyle w:val="BodyText"/>
        <w:ind w:left="540" w:right="196"/>
      </w:pPr>
      <w:r>
        <w:rPr/>
        <w:t>$3,000,000 (or 60%) shall be used for project area development and $2,000,000 shall be retained by the Agency. Of that $2,000,000, the Agency shall use $417,008 for housing purposes as outlined in Utah Code section 17C-1-412 , shall pay $1,419,115 Alpine School District (70.96%), and pay $163,878 to Utah County.</w:t>
      </w:r>
    </w:p>
    <w:p>
      <w:pPr>
        <w:pStyle w:val="BodyText"/>
      </w:pPr>
    </w:p>
    <w:p>
      <w:pPr>
        <w:pStyle w:val="Heading2"/>
        <w:ind w:right="1841"/>
      </w:pPr>
      <w:r>
        <w:rPr/>
        <w:t>Section 7: Projected Amount of Tax Increment to be Generated Within the Project Area</w:t>
      </w:r>
    </w:p>
    <w:p>
      <w:pPr>
        <w:pStyle w:val="BodyText"/>
        <w:spacing w:before="1"/>
        <w:rPr>
          <w:b/>
        </w:rPr>
      </w:pPr>
    </w:p>
    <w:p>
      <w:pPr>
        <w:pStyle w:val="BodyText"/>
        <w:ind w:left="540" w:right="163"/>
      </w:pPr>
      <w:r>
        <w:rPr/>
        <w:t>It is currently estimated that over a 15-year period, the tax increment to be generated by new and existing development within the Project Area will be approximately $30,590,000. These projections are based on estimated taxable value of real and personal property in the Project Area of $790,411,000.00. The Agency’s detailed financial projections are shown on the spreadsheet attached hereto as Exhibit B. Note that these financial projections are the Agency’s estimates</w:t>
      </w:r>
    </w:p>
    <w:p>
      <w:pPr>
        <w:spacing w:after="0"/>
        <w:sectPr>
          <w:pgSz w:w="12240" w:h="15840"/>
          <w:pgMar w:header="0" w:footer="834" w:top="1180" w:bottom="1020" w:left="900" w:right="1280"/>
        </w:sectPr>
      </w:pPr>
    </w:p>
    <w:p>
      <w:pPr>
        <w:pStyle w:val="BodyText"/>
        <w:spacing w:before="79"/>
        <w:ind w:left="540" w:right="462"/>
      </w:pPr>
      <w:r>
        <w:rPr/>
        <w:t>based on currently-available information and do not constitute guarantees of tax revenue generation or limits on the Agency’s authorization to receive tax increment under this Budget.</w:t>
      </w:r>
    </w:p>
    <w:p>
      <w:pPr>
        <w:pStyle w:val="BodyText"/>
      </w:pPr>
    </w:p>
    <w:p>
      <w:pPr>
        <w:pStyle w:val="Heading2"/>
        <w:ind w:right="680"/>
      </w:pPr>
      <w:r>
        <w:rPr/>
        <w:t>Section 8: If the Area From Which Tax Increment is Collected is Less Than the Entire Community Reinvestment Project Area</w:t>
      </w:r>
    </w:p>
    <w:p>
      <w:pPr>
        <w:pStyle w:val="BodyText"/>
        <w:rPr>
          <w:b/>
        </w:rPr>
      </w:pPr>
    </w:p>
    <w:p>
      <w:pPr>
        <w:pStyle w:val="BodyText"/>
        <w:ind w:left="540"/>
      </w:pPr>
      <w:r>
        <w:rPr/>
        <w:t>The Agency is hereby authorized to collect tax increment from the entirety of the Project Area.</w:t>
      </w:r>
    </w:p>
    <w:p>
      <w:pPr>
        <w:pStyle w:val="BodyText"/>
      </w:pPr>
    </w:p>
    <w:p>
      <w:pPr>
        <w:pStyle w:val="Heading2"/>
        <w:ind w:right="167"/>
      </w:pPr>
      <w:r>
        <w:rPr/>
        <w:t>Section 9: The Percentage and Maximum Cumulative Dollar Amount of Tax Increment the Agency is Authorized to Receive From the Community Reinvestment Project Area</w:t>
      </w:r>
    </w:p>
    <w:p>
      <w:pPr>
        <w:pStyle w:val="BodyText"/>
        <w:rPr>
          <w:b/>
        </w:rPr>
      </w:pPr>
    </w:p>
    <w:p>
      <w:pPr>
        <w:pStyle w:val="BodyText"/>
        <w:ind w:left="540"/>
      </w:pPr>
      <w:r>
        <w:rPr/>
        <w:t>As noted above, the Agency is authorized to receive 100 percent of the tax increment generated within the Project Area for the entirety of the Project Area Funds Collection Period. The total amount to be collected by the Agency is not subject to dollar limits.</w:t>
      </w:r>
    </w:p>
    <w:p>
      <w:pPr>
        <w:pStyle w:val="BodyText"/>
        <w:spacing w:before="1"/>
      </w:pPr>
    </w:p>
    <w:p>
      <w:pPr>
        <w:pStyle w:val="Heading2"/>
      </w:pPr>
      <w:r>
        <w:rPr/>
        <w:t>Section 10: Sales and Use Tax Revenue</w:t>
      </w:r>
    </w:p>
    <w:p>
      <w:pPr>
        <w:pStyle w:val="BodyText"/>
        <w:rPr>
          <w:b/>
        </w:rPr>
      </w:pPr>
    </w:p>
    <w:p>
      <w:pPr>
        <w:pStyle w:val="BodyText"/>
        <w:ind w:left="540" w:right="848"/>
      </w:pPr>
      <w:r>
        <w:rPr/>
        <w:t>The Agency does not anticipate that development within the Project Area will generate a significant amount of sales or use tax revenues. This Budget does not allow the Agency to receive any portion of sales and use taxes generated within the Project Area.</w:t>
      </w:r>
    </w:p>
    <w:p>
      <w:pPr>
        <w:pStyle w:val="BodyText"/>
      </w:pPr>
    </w:p>
    <w:p>
      <w:pPr>
        <w:pStyle w:val="Heading2"/>
        <w:ind w:right="834"/>
      </w:pPr>
      <w:r>
        <w:rPr/>
        <w:t>Section 11: The Amount of Project Area Funds the Agency will use to Implement the Reinvestment Project Area Plan</w:t>
      </w:r>
    </w:p>
    <w:p>
      <w:pPr>
        <w:pStyle w:val="BodyText"/>
        <w:rPr>
          <w:b/>
        </w:rPr>
      </w:pPr>
    </w:p>
    <w:p>
      <w:pPr>
        <w:pStyle w:val="BodyText"/>
        <w:ind w:left="540" w:right="202"/>
      </w:pPr>
      <w:r>
        <w:rPr/>
        <w:t>The Agency anticipates using all tax increment received by the Agency to implement the Project Area Plan and to encourage development within the Project Area. The Agency currently anticipates using that full amount for infrastructure needed to allow for development within the Project Area and business incentive. The anticipated infrastructure costs are shown below.</w:t>
      </w:r>
    </w:p>
    <w:p>
      <w:pPr>
        <w:pStyle w:val="BodyText"/>
        <w:spacing w:before="1"/>
      </w:pPr>
    </w:p>
    <w:p>
      <w:pPr>
        <w:pStyle w:val="Heading2"/>
      </w:pPr>
      <w:r>
        <w:rPr/>
        <w:t>Improvements Needed to Implement the CRA Plan</w:t>
      </w:r>
    </w:p>
    <w:tbl>
      <w:tblPr>
        <w:tblW w:w="0" w:type="auto"/>
        <w:jc w:val="left"/>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76"/>
        <w:gridCol w:w="4676"/>
      </w:tblGrid>
      <w:tr>
        <w:trPr>
          <w:trHeight w:val="275" w:hRule="atLeast"/>
        </w:trPr>
        <w:tc>
          <w:tcPr>
            <w:tcW w:w="4676" w:type="dxa"/>
          </w:tcPr>
          <w:p>
            <w:pPr>
              <w:pStyle w:val="TableParagraph"/>
              <w:spacing w:line="256" w:lineRule="exact"/>
              <w:ind w:left="107"/>
              <w:rPr>
                <w:rFonts w:ascii="Times New Roman"/>
                <w:sz w:val="24"/>
              </w:rPr>
            </w:pPr>
            <w:r>
              <w:rPr>
                <w:rFonts w:ascii="Times New Roman"/>
                <w:sz w:val="24"/>
              </w:rPr>
              <w:t>Road, water, sewer, curb, gutter and sidewalk</w:t>
            </w:r>
          </w:p>
        </w:tc>
        <w:tc>
          <w:tcPr>
            <w:tcW w:w="4676" w:type="dxa"/>
          </w:tcPr>
          <w:p>
            <w:pPr>
              <w:pStyle w:val="TableParagraph"/>
              <w:spacing w:line="256" w:lineRule="exact"/>
              <w:ind w:left="107"/>
              <w:rPr>
                <w:rFonts w:ascii="Times New Roman"/>
                <w:sz w:val="24"/>
              </w:rPr>
            </w:pPr>
            <w:r>
              <w:rPr>
                <w:rFonts w:ascii="Times New Roman"/>
                <w:sz w:val="24"/>
              </w:rPr>
              <w:t>$0</w:t>
            </w:r>
          </w:p>
        </w:tc>
      </w:tr>
      <w:tr>
        <w:trPr>
          <w:trHeight w:val="275" w:hRule="atLeast"/>
        </w:trPr>
        <w:tc>
          <w:tcPr>
            <w:tcW w:w="4676" w:type="dxa"/>
          </w:tcPr>
          <w:p>
            <w:pPr>
              <w:pStyle w:val="TableParagraph"/>
              <w:spacing w:line="256" w:lineRule="exact"/>
              <w:ind w:left="107"/>
              <w:rPr>
                <w:rFonts w:ascii="Times New Roman"/>
                <w:sz w:val="24"/>
              </w:rPr>
            </w:pPr>
            <w:r>
              <w:rPr>
                <w:rFonts w:ascii="Times New Roman"/>
                <w:sz w:val="24"/>
              </w:rPr>
              <w:t>Acquisition of property</w:t>
            </w:r>
          </w:p>
        </w:tc>
        <w:tc>
          <w:tcPr>
            <w:tcW w:w="4676" w:type="dxa"/>
          </w:tcPr>
          <w:p>
            <w:pPr>
              <w:pStyle w:val="TableParagraph"/>
              <w:spacing w:line="256" w:lineRule="exact"/>
              <w:ind w:left="107"/>
              <w:rPr>
                <w:rFonts w:ascii="Times New Roman"/>
                <w:sz w:val="24"/>
              </w:rPr>
            </w:pPr>
            <w:r>
              <w:rPr>
                <w:rFonts w:ascii="Times New Roman"/>
                <w:sz w:val="24"/>
              </w:rPr>
              <w:t>$0</w:t>
            </w:r>
          </w:p>
        </w:tc>
      </w:tr>
      <w:tr>
        <w:trPr>
          <w:trHeight w:val="275" w:hRule="atLeast"/>
        </w:trPr>
        <w:tc>
          <w:tcPr>
            <w:tcW w:w="4676" w:type="dxa"/>
          </w:tcPr>
          <w:p>
            <w:pPr>
              <w:pStyle w:val="TableParagraph"/>
              <w:spacing w:line="256" w:lineRule="exact"/>
              <w:ind w:left="107"/>
              <w:rPr>
                <w:rFonts w:ascii="Times New Roman"/>
                <w:sz w:val="24"/>
              </w:rPr>
            </w:pPr>
            <w:r>
              <w:rPr>
                <w:rFonts w:ascii="Times New Roman"/>
                <w:sz w:val="24"/>
              </w:rPr>
              <w:t>Incentive</w:t>
            </w:r>
          </w:p>
        </w:tc>
        <w:tc>
          <w:tcPr>
            <w:tcW w:w="4676" w:type="dxa"/>
          </w:tcPr>
          <w:p>
            <w:pPr>
              <w:pStyle w:val="TableParagraph"/>
              <w:spacing w:line="256" w:lineRule="exact"/>
              <w:ind w:left="107"/>
              <w:rPr>
                <w:rFonts w:ascii="Times New Roman"/>
                <w:sz w:val="24"/>
              </w:rPr>
            </w:pPr>
            <w:r>
              <w:rPr>
                <w:rFonts w:ascii="Times New Roman"/>
                <w:sz w:val="24"/>
              </w:rPr>
              <w:t>$0</w:t>
            </w:r>
          </w:p>
        </w:tc>
      </w:tr>
      <w:tr>
        <w:trPr>
          <w:trHeight w:val="278" w:hRule="atLeast"/>
        </w:trPr>
        <w:tc>
          <w:tcPr>
            <w:tcW w:w="4676" w:type="dxa"/>
          </w:tcPr>
          <w:p>
            <w:pPr>
              <w:pStyle w:val="TableParagraph"/>
              <w:spacing w:line="258" w:lineRule="exact"/>
              <w:ind w:left="107"/>
              <w:rPr>
                <w:rFonts w:ascii="Times New Roman"/>
                <w:sz w:val="24"/>
              </w:rPr>
            </w:pPr>
            <w:r>
              <w:rPr>
                <w:rFonts w:ascii="Times New Roman"/>
                <w:sz w:val="24"/>
              </w:rPr>
              <w:t>Total Fund Uses</w:t>
            </w:r>
          </w:p>
        </w:tc>
        <w:tc>
          <w:tcPr>
            <w:tcW w:w="4676" w:type="dxa"/>
          </w:tcPr>
          <w:p>
            <w:pPr>
              <w:pStyle w:val="TableParagraph"/>
              <w:spacing w:line="258" w:lineRule="exact"/>
              <w:ind w:left="107"/>
              <w:rPr>
                <w:rFonts w:ascii="Times New Roman"/>
                <w:sz w:val="24"/>
              </w:rPr>
            </w:pPr>
            <w:r>
              <w:rPr>
                <w:rFonts w:ascii="Times New Roman"/>
                <w:sz w:val="24"/>
              </w:rPr>
              <w:t>$0</w:t>
            </w:r>
          </w:p>
        </w:tc>
      </w:tr>
    </w:tbl>
    <w:p>
      <w:pPr>
        <w:pStyle w:val="BodyText"/>
        <w:spacing w:before="8"/>
        <w:rPr>
          <w:b/>
          <w:sz w:val="23"/>
        </w:rPr>
      </w:pPr>
    </w:p>
    <w:p>
      <w:pPr>
        <w:spacing w:before="0"/>
        <w:ind w:left="540" w:right="0" w:firstLine="0"/>
        <w:jc w:val="left"/>
        <w:rPr>
          <w:b/>
          <w:sz w:val="24"/>
        </w:rPr>
      </w:pPr>
      <w:r>
        <w:rPr>
          <w:b/>
          <w:sz w:val="24"/>
        </w:rPr>
        <w:t>Section 12: Other</w:t>
      </w:r>
    </w:p>
    <w:p>
      <w:pPr>
        <w:pStyle w:val="BodyText"/>
        <w:rPr>
          <w:b/>
        </w:rPr>
      </w:pPr>
    </w:p>
    <w:p>
      <w:pPr>
        <w:pStyle w:val="BodyText"/>
        <w:ind w:left="540" w:right="375"/>
      </w:pPr>
      <w:r>
        <w:rPr/>
        <w:t>The Agency does not own and does not anticipate purchasing property within the Project Area. The distribution of Project Area Funds for this Project Area is governed by this Budget.</w:t>
      </w:r>
    </w:p>
    <w:p>
      <w:pPr>
        <w:pStyle w:val="BodyText"/>
        <w:spacing w:before="1"/>
        <w:ind w:left="540" w:right="475"/>
      </w:pPr>
      <w:r>
        <w:rPr/>
        <w:t>However, nothing in this Budget shall be interpreted to limit the Agency’s ability to enter into other agreements with any or all of the taxing entities as may be appropriate.</w:t>
      </w:r>
    </w:p>
    <w:p>
      <w:pPr>
        <w:spacing w:after="0"/>
        <w:sectPr>
          <w:pgSz w:w="12240" w:h="15840"/>
          <w:pgMar w:header="0" w:footer="834" w:top="1180" w:bottom="1020" w:left="900" w:right="1280"/>
        </w:sectPr>
      </w:pPr>
    </w:p>
    <w:p>
      <w:pPr>
        <w:pStyle w:val="Heading2"/>
        <w:spacing w:before="79"/>
        <w:ind w:left="2682" w:right="2302"/>
        <w:jc w:val="center"/>
      </w:pPr>
      <w:r>
        <w:rPr/>
        <w:t>Exhibit A – Project Area Map</w:t>
      </w:r>
    </w:p>
    <w:p>
      <w:pPr>
        <w:pStyle w:val="BodyText"/>
        <w:ind w:left="540"/>
        <w:rPr>
          <w:sz w:val="20"/>
        </w:rPr>
      </w:pPr>
      <w:r>
        <w:rPr>
          <w:sz w:val="20"/>
        </w:rPr>
        <w:drawing>
          <wp:inline distT="0" distB="0" distL="0" distR="0">
            <wp:extent cx="5900715" cy="4543425"/>
            <wp:effectExtent l="0" t="0" r="0" b="0"/>
            <wp:docPr id="7" name="image5.jpeg" descr="A map of a land with green squares  Description automatically generated"/>
            <wp:cNvGraphicFramePr>
              <a:graphicFrameLocks noChangeAspect="1"/>
            </wp:cNvGraphicFramePr>
            <a:graphic>
              <a:graphicData uri="http://schemas.openxmlformats.org/drawingml/2006/picture">
                <pic:pic>
                  <pic:nvPicPr>
                    <pic:cNvPr id="8" name="image5.jpeg"/>
                    <pic:cNvPicPr/>
                  </pic:nvPicPr>
                  <pic:blipFill>
                    <a:blip r:embed="rId11" cstate="print"/>
                    <a:stretch>
                      <a:fillRect/>
                    </a:stretch>
                  </pic:blipFill>
                  <pic:spPr>
                    <a:xfrm>
                      <a:off x="0" y="0"/>
                      <a:ext cx="5900715" cy="4543425"/>
                    </a:xfrm>
                    <a:prstGeom prst="rect">
                      <a:avLst/>
                    </a:prstGeom>
                  </pic:spPr>
                </pic:pic>
              </a:graphicData>
            </a:graphic>
          </wp:inline>
        </w:drawing>
      </w:r>
      <w:r>
        <w:rPr>
          <w:sz w:val="20"/>
        </w:rPr>
      </w:r>
    </w:p>
    <w:p>
      <w:pPr>
        <w:spacing w:after="0"/>
        <w:rPr>
          <w:sz w:val="20"/>
        </w:rPr>
        <w:sectPr>
          <w:pgSz w:w="12240" w:h="15840"/>
          <w:pgMar w:header="0" w:footer="834" w:top="1180" w:bottom="1020" w:left="900" w:right="1280"/>
        </w:sectPr>
      </w:pPr>
    </w:p>
    <w:p>
      <w:pPr>
        <w:spacing w:before="60"/>
        <w:ind w:left="2682" w:right="2305" w:firstLine="0"/>
        <w:jc w:val="center"/>
        <w:rPr>
          <w:b/>
          <w:sz w:val="28"/>
        </w:rPr>
      </w:pPr>
      <w:r>
        <w:rPr>
          <w:b/>
          <w:sz w:val="28"/>
        </w:rPr>
        <w:t>Exhibit B – Detailed Financial Projections</w:t>
      </w:r>
    </w:p>
    <w:p>
      <w:pPr>
        <w:spacing w:after="0"/>
        <w:jc w:val="center"/>
        <w:rPr>
          <w:sz w:val="28"/>
        </w:rPr>
        <w:sectPr>
          <w:pgSz w:w="12240" w:h="15840"/>
          <w:pgMar w:header="0" w:footer="834" w:top="1200" w:bottom="1020" w:left="900" w:right="1280"/>
        </w:sectPr>
      </w:pPr>
    </w:p>
    <w:p>
      <w:pPr>
        <w:spacing w:before="33"/>
        <w:ind w:left="1925" w:right="0" w:firstLine="0"/>
        <w:jc w:val="left"/>
        <w:rPr>
          <w:rFonts w:ascii="Calibri"/>
          <w:b/>
          <w:sz w:val="22"/>
        </w:rPr>
      </w:pPr>
      <w:r>
        <w:rPr/>
        <w:pict>
          <v:line style="position:absolute;mso-position-horizontal-relative:page;mso-position-vertical-relative:page;z-index:-252107776" from="50.880001pt,315.529999pt" to="347.590001pt,315.529999pt" stroked="true" strokeweight=".95999pt" strokecolor="#000000">
            <v:stroke dashstyle="solid"/>
            <w10:wrap type="none"/>
          </v:line>
        </w:pict>
      </w:r>
      <w:bookmarkStart w:name="Project Area" w:id="3"/>
      <w:bookmarkEnd w:id="3"/>
      <w:r>
        <w:rPr/>
      </w:r>
      <w:r>
        <w:rPr>
          <w:rFonts w:ascii="Calibri"/>
          <w:b/>
          <w:sz w:val="22"/>
        </w:rPr>
        <w:t>Utah County Project Area</w:t>
      </w:r>
    </w:p>
    <w:p>
      <w:pPr>
        <w:pStyle w:val="BodyText"/>
        <w:spacing w:before="2" w:after="1"/>
        <w:rPr>
          <w:rFonts w:ascii="Calibri"/>
          <w:b/>
          <w:sz w:val="29"/>
        </w:rPr>
      </w:pPr>
    </w:p>
    <w:tbl>
      <w:tblPr>
        <w:tblW w:w="0" w:type="auto"/>
        <w:jc w:val="left"/>
        <w:tblInd w:w="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52"/>
        <w:gridCol w:w="1968"/>
        <w:gridCol w:w="1095"/>
        <w:gridCol w:w="1621"/>
      </w:tblGrid>
      <w:tr>
        <w:trPr>
          <w:trHeight w:val="255" w:hRule="atLeast"/>
        </w:trPr>
        <w:tc>
          <w:tcPr>
            <w:tcW w:w="1252" w:type="dxa"/>
          </w:tcPr>
          <w:p>
            <w:pPr>
              <w:pStyle w:val="TableParagraph"/>
              <w:spacing w:line="225" w:lineRule="exact"/>
              <w:rPr>
                <w:b/>
                <w:sz w:val="22"/>
              </w:rPr>
            </w:pPr>
            <w:r>
              <w:rPr>
                <w:b/>
                <w:sz w:val="22"/>
              </w:rPr>
              <w:t>Parcel</w:t>
            </w:r>
          </w:p>
        </w:tc>
        <w:tc>
          <w:tcPr>
            <w:tcW w:w="1968" w:type="dxa"/>
          </w:tcPr>
          <w:p>
            <w:pPr>
              <w:pStyle w:val="TableParagraph"/>
              <w:spacing w:line="225" w:lineRule="exact"/>
              <w:ind w:left="77"/>
              <w:rPr>
                <w:b/>
                <w:sz w:val="22"/>
              </w:rPr>
            </w:pPr>
            <w:r>
              <w:rPr>
                <w:b/>
                <w:sz w:val="22"/>
              </w:rPr>
              <w:t>Owner</w:t>
            </w:r>
          </w:p>
        </w:tc>
        <w:tc>
          <w:tcPr>
            <w:tcW w:w="1095" w:type="dxa"/>
          </w:tcPr>
          <w:p>
            <w:pPr>
              <w:pStyle w:val="TableParagraph"/>
              <w:spacing w:line="225" w:lineRule="exact"/>
              <w:ind w:left="129"/>
              <w:rPr>
                <w:b/>
                <w:sz w:val="22"/>
              </w:rPr>
            </w:pPr>
            <w:r>
              <w:rPr>
                <w:b/>
                <w:sz w:val="22"/>
              </w:rPr>
              <w:t>Acres</w:t>
            </w:r>
          </w:p>
        </w:tc>
        <w:tc>
          <w:tcPr>
            <w:tcW w:w="1621" w:type="dxa"/>
          </w:tcPr>
          <w:p>
            <w:pPr>
              <w:pStyle w:val="TableParagraph"/>
              <w:spacing w:line="225" w:lineRule="exact"/>
              <w:ind w:left="37"/>
              <w:rPr>
                <w:b/>
                <w:sz w:val="22"/>
              </w:rPr>
            </w:pPr>
            <w:r>
              <w:rPr>
                <w:b/>
                <w:sz w:val="22"/>
              </w:rPr>
              <w:t>Value</w:t>
            </w:r>
          </w:p>
        </w:tc>
      </w:tr>
      <w:tr>
        <w:trPr>
          <w:trHeight w:val="290" w:hRule="atLeast"/>
        </w:trPr>
        <w:tc>
          <w:tcPr>
            <w:tcW w:w="1252" w:type="dxa"/>
          </w:tcPr>
          <w:p>
            <w:pPr>
              <w:pStyle w:val="TableParagraph"/>
              <w:rPr>
                <w:sz w:val="22"/>
              </w:rPr>
            </w:pPr>
            <w:r>
              <w:rPr>
                <w:sz w:val="22"/>
              </w:rPr>
              <w:t>60:044:0001</w:t>
            </w:r>
          </w:p>
        </w:tc>
        <w:tc>
          <w:tcPr>
            <w:tcW w:w="1968" w:type="dxa"/>
          </w:tcPr>
          <w:p>
            <w:pPr>
              <w:pStyle w:val="TableParagraph"/>
              <w:ind w:left="77"/>
              <w:rPr>
                <w:sz w:val="22"/>
              </w:rPr>
            </w:pPr>
            <w:r>
              <w:rPr>
                <w:sz w:val="22"/>
              </w:rPr>
              <w:t>Faraday Solar B LLC</w:t>
            </w:r>
          </w:p>
        </w:tc>
        <w:tc>
          <w:tcPr>
            <w:tcW w:w="1095" w:type="dxa"/>
          </w:tcPr>
          <w:p>
            <w:pPr>
              <w:pStyle w:val="TableParagraph"/>
              <w:ind w:left="716"/>
              <w:rPr>
                <w:sz w:val="22"/>
              </w:rPr>
            </w:pPr>
            <w:r>
              <w:rPr>
                <w:sz w:val="22"/>
              </w:rPr>
              <w:t>160</w:t>
            </w:r>
          </w:p>
        </w:tc>
        <w:tc>
          <w:tcPr>
            <w:tcW w:w="1621" w:type="dxa"/>
          </w:tcPr>
          <w:p>
            <w:pPr>
              <w:pStyle w:val="TableParagraph"/>
              <w:tabs>
                <w:tab w:pos="778" w:val="left" w:leader="none"/>
              </w:tabs>
              <w:ind w:left="104"/>
              <w:rPr>
                <w:sz w:val="22"/>
              </w:rPr>
            </w:pPr>
            <w:r>
              <w:rPr>
                <w:sz w:val="22"/>
              </w:rPr>
              <w:t>$</w:t>
              <w:tab/>
              <w:t>510,200</w:t>
            </w:r>
          </w:p>
        </w:tc>
      </w:tr>
      <w:tr>
        <w:trPr>
          <w:trHeight w:val="290" w:hRule="atLeast"/>
        </w:trPr>
        <w:tc>
          <w:tcPr>
            <w:tcW w:w="1252" w:type="dxa"/>
          </w:tcPr>
          <w:p>
            <w:pPr>
              <w:pStyle w:val="TableParagraph"/>
              <w:rPr>
                <w:sz w:val="22"/>
              </w:rPr>
            </w:pPr>
            <w:r>
              <w:rPr>
                <w:sz w:val="22"/>
              </w:rPr>
              <w:t>60:044:0002</w:t>
            </w:r>
          </w:p>
        </w:tc>
        <w:tc>
          <w:tcPr>
            <w:tcW w:w="1968" w:type="dxa"/>
          </w:tcPr>
          <w:p>
            <w:pPr>
              <w:pStyle w:val="TableParagraph"/>
              <w:ind w:left="77"/>
              <w:rPr>
                <w:sz w:val="22"/>
              </w:rPr>
            </w:pPr>
            <w:r>
              <w:rPr>
                <w:sz w:val="22"/>
              </w:rPr>
              <w:t>Faraday Solar B LLC</w:t>
            </w:r>
          </w:p>
        </w:tc>
        <w:tc>
          <w:tcPr>
            <w:tcW w:w="1095" w:type="dxa"/>
          </w:tcPr>
          <w:p>
            <w:pPr>
              <w:pStyle w:val="TableParagraph"/>
              <w:ind w:left="716"/>
              <w:rPr>
                <w:sz w:val="22"/>
              </w:rPr>
            </w:pPr>
            <w:r>
              <w:rPr>
                <w:sz w:val="22"/>
              </w:rPr>
              <w:t>320</w:t>
            </w:r>
          </w:p>
        </w:tc>
        <w:tc>
          <w:tcPr>
            <w:tcW w:w="1621" w:type="dxa"/>
          </w:tcPr>
          <w:p>
            <w:pPr>
              <w:pStyle w:val="TableParagraph"/>
              <w:tabs>
                <w:tab w:pos="610" w:val="left" w:leader="none"/>
              </w:tabs>
              <w:ind w:left="104"/>
              <w:rPr>
                <w:sz w:val="22"/>
              </w:rPr>
            </w:pPr>
            <w:r>
              <w:rPr>
                <w:sz w:val="22"/>
              </w:rPr>
              <w:t>$</w:t>
              <w:tab/>
              <w:t>1,020,400</w:t>
            </w:r>
          </w:p>
        </w:tc>
      </w:tr>
      <w:tr>
        <w:trPr>
          <w:trHeight w:val="290" w:hRule="atLeast"/>
        </w:trPr>
        <w:tc>
          <w:tcPr>
            <w:tcW w:w="1252" w:type="dxa"/>
          </w:tcPr>
          <w:p>
            <w:pPr>
              <w:pStyle w:val="TableParagraph"/>
              <w:rPr>
                <w:sz w:val="22"/>
              </w:rPr>
            </w:pPr>
            <w:r>
              <w:rPr>
                <w:sz w:val="22"/>
              </w:rPr>
              <w:t>60:044:0003</w:t>
            </w:r>
          </w:p>
        </w:tc>
        <w:tc>
          <w:tcPr>
            <w:tcW w:w="1968" w:type="dxa"/>
          </w:tcPr>
          <w:p>
            <w:pPr>
              <w:pStyle w:val="TableParagraph"/>
              <w:ind w:left="77"/>
              <w:rPr>
                <w:sz w:val="22"/>
              </w:rPr>
            </w:pPr>
            <w:r>
              <w:rPr>
                <w:sz w:val="22"/>
              </w:rPr>
              <w:t>Faraday Solar B LLC</w:t>
            </w:r>
          </w:p>
        </w:tc>
        <w:tc>
          <w:tcPr>
            <w:tcW w:w="1095" w:type="dxa"/>
          </w:tcPr>
          <w:p>
            <w:pPr>
              <w:pStyle w:val="TableParagraph"/>
              <w:ind w:left="716"/>
              <w:rPr>
                <w:sz w:val="22"/>
              </w:rPr>
            </w:pPr>
            <w:r>
              <w:rPr>
                <w:sz w:val="22"/>
              </w:rPr>
              <w:t>160</w:t>
            </w:r>
          </w:p>
        </w:tc>
        <w:tc>
          <w:tcPr>
            <w:tcW w:w="1621" w:type="dxa"/>
          </w:tcPr>
          <w:p>
            <w:pPr>
              <w:pStyle w:val="TableParagraph"/>
              <w:tabs>
                <w:tab w:pos="778" w:val="left" w:leader="none"/>
              </w:tabs>
              <w:ind w:left="104"/>
              <w:rPr>
                <w:sz w:val="22"/>
              </w:rPr>
            </w:pPr>
            <w:r>
              <w:rPr>
                <w:sz w:val="22"/>
              </w:rPr>
              <w:t>$</w:t>
              <w:tab/>
              <w:t>510,200</w:t>
            </w:r>
          </w:p>
        </w:tc>
      </w:tr>
      <w:tr>
        <w:trPr>
          <w:trHeight w:val="290" w:hRule="atLeast"/>
        </w:trPr>
        <w:tc>
          <w:tcPr>
            <w:tcW w:w="1252" w:type="dxa"/>
          </w:tcPr>
          <w:p>
            <w:pPr>
              <w:pStyle w:val="TableParagraph"/>
              <w:spacing w:line="260" w:lineRule="exact"/>
              <w:rPr>
                <w:sz w:val="22"/>
              </w:rPr>
            </w:pPr>
            <w:r>
              <w:rPr>
                <w:sz w:val="22"/>
              </w:rPr>
              <w:t>60:045:0001</w:t>
            </w:r>
          </w:p>
        </w:tc>
        <w:tc>
          <w:tcPr>
            <w:tcW w:w="1968" w:type="dxa"/>
          </w:tcPr>
          <w:p>
            <w:pPr>
              <w:pStyle w:val="TableParagraph"/>
              <w:spacing w:line="260" w:lineRule="exact"/>
              <w:ind w:left="77"/>
              <w:rPr>
                <w:sz w:val="22"/>
              </w:rPr>
            </w:pPr>
            <w:r>
              <w:rPr>
                <w:sz w:val="22"/>
              </w:rPr>
              <w:t>Millerberg Holdings</w:t>
            </w:r>
          </w:p>
        </w:tc>
        <w:tc>
          <w:tcPr>
            <w:tcW w:w="1095" w:type="dxa"/>
          </w:tcPr>
          <w:p>
            <w:pPr>
              <w:pStyle w:val="TableParagraph"/>
              <w:spacing w:line="260" w:lineRule="exact"/>
              <w:ind w:left="716"/>
              <w:rPr>
                <w:sz w:val="22"/>
              </w:rPr>
            </w:pPr>
            <w:r>
              <w:rPr>
                <w:sz w:val="22"/>
              </w:rPr>
              <w:t>560</w:t>
            </w:r>
          </w:p>
        </w:tc>
        <w:tc>
          <w:tcPr>
            <w:tcW w:w="1621" w:type="dxa"/>
          </w:tcPr>
          <w:p>
            <w:pPr>
              <w:pStyle w:val="TableParagraph"/>
              <w:tabs>
                <w:tab w:pos="610" w:val="left" w:leader="none"/>
              </w:tabs>
              <w:spacing w:line="260" w:lineRule="exact"/>
              <w:ind w:left="104"/>
              <w:rPr>
                <w:sz w:val="22"/>
              </w:rPr>
            </w:pPr>
            <w:r>
              <w:rPr>
                <w:sz w:val="22"/>
              </w:rPr>
              <w:t>$</w:t>
              <w:tab/>
              <w:t>1,785,800</w:t>
            </w:r>
          </w:p>
        </w:tc>
      </w:tr>
      <w:tr>
        <w:trPr>
          <w:trHeight w:val="290" w:hRule="atLeast"/>
        </w:trPr>
        <w:tc>
          <w:tcPr>
            <w:tcW w:w="1252" w:type="dxa"/>
          </w:tcPr>
          <w:p>
            <w:pPr>
              <w:pStyle w:val="TableParagraph"/>
              <w:rPr>
                <w:sz w:val="22"/>
              </w:rPr>
            </w:pPr>
            <w:r>
              <w:rPr>
                <w:sz w:val="22"/>
              </w:rPr>
              <w:t>60:053:0003</w:t>
            </w:r>
          </w:p>
        </w:tc>
        <w:tc>
          <w:tcPr>
            <w:tcW w:w="1968" w:type="dxa"/>
          </w:tcPr>
          <w:p>
            <w:pPr>
              <w:pStyle w:val="TableParagraph"/>
              <w:ind w:left="77"/>
              <w:rPr>
                <w:sz w:val="22"/>
              </w:rPr>
            </w:pPr>
            <w:r>
              <w:rPr>
                <w:sz w:val="22"/>
              </w:rPr>
              <w:t>Millerberg Holdings</w:t>
            </w:r>
          </w:p>
        </w:tc>
        <w:tc>
          <w:tcPr>
            <w:tcW w:w="1095" w:type="dxa"/>
          </w:tcPr>
          <w:p>
            <w:pPr>
              <w:pStyle w:val="TableParagraph"/>
              <w:ind w:left="716"/>
              <w:rPr>
                <w:sz w:val="22"/>
              </w:rPr>
            </w:pPr>
            <w:r>
              <w:rPr>
                <w:sz w:val="22"/>
              </w:rPr>
              <w:t>320</w:t>
            </w:r>
          </w:p>
        </w:tc>
        <w:tc>
          <w:tcPr>
            <w:tcW w:w="1621" w:type="dxa"/>
          </w:tcPr>
          <w:p>
            <w:pPr>
              <w:pStyle w:val="TableParagraph"/>
              <w:tabs>
                <w:tab w:pos="610" w:val="left" w:leader="none"/>
              </w:tabs>
              <w:ind w:left="104"/>
              <w:rPr>
                <w:sz w:val="22"/>
              </w:rPr>
            </w:pPr>
            <w:r>
              <w:rPr>
                <w:sz w:val="22"/>
              </w:rPr>
              <w:t>$</w:t>
              <w:tab/>
              <w:t>1,020,400</w:t>
            </w:r>
          </w:p>
        </w:tc>
      </w:tr>
      <w:tr>
        <w:trPr>
          <w:trHeight w:val="290" w:hRule="atLeast"/>
        </w:trPr>
        <w:tc>
          <w:tcPr>
            <w:tcW w:w="1252" w:type="dxa"/>
          </w:tcPr>
          <w:p>
            <w:pPr>
              <w:pStyle w:val="TableParagraph"/>
              <w:rPr>
                <w:sz w:val="22"/>
              </w:rPr>
            </w:pPr>
            <w:r>
              <w:rPr>
                <w:sz w:val="22"/>
              </w:rPr>
              <w:t>60:052:0001</w:t>
            </w:r>
          </w:p>
        </w:tc>
        <w:tc>
          <w:tcPr>
            <w:tcW w:w="1968" w:type="dxa"/>
          </w:tcPr>
          <w:p>
            <w:pPr>
              <w:pStyle w:val="TableParagraph"/>
              <w:ind w:left="77"/>
              <w:rPr>
                <w:sz w:val="22"/>
              </w:rPr>
            </w:pPr>
            <w:r>
              <w:rPr>
                <w:sz w:val="22"/>
              </w:rPr>
              <w:t>Millerberg Holdings</w:t>
            </w:r>
          </w:p>
        </w:tc>
        <w:tc>
          <w:tcPr>
            <w:tcW w:w="1095" w:type="dxa"/>
          </w:tcPr>
          <w:p>
            <w:pPr>
              <w:pStyle w:val="TableParagraph"/>
              <w:ind w:left="716"/>
              <w:rPr>
                <w:sz w:val="22"/>
              </w:rPr>
            </w:pPr>
            <w:r>
              <w:rPr>
                <w:sz w:val="22"/>
              </w:rPr>
              <w:t>560</w:t>
            </w:r>
          </w:p>
        </w:tc>
        <w:tc>
          <w:tcPr>
            <w:tcW w:w="1621" w:type="dxa"/>
          </w:tcPr>
          <w:p>
            <w:pPr>
              <w:pStyle w:val="TableParagraph"/>
              <w:tabs>
                <w:tab w:pos="610" w:val="left" w:leader="none"/>
              </w:tabs>
              <w:ind w:left="104"/>
              <w:rPr>
                <w:sz w:val="22"/>
              </w:rPr>
            </w:pPr>
            <w:r>
              <w:rPr>
                <w:sz w:val="22"/>
              </w:rPr>
              <w:t>$</w:t>
              <w:tab/>
              <w:t>1,785,800</w:t>
            </w:r>
          </w:p>
        </w:tc>
      </w:tr>
      <w:tr>
        <w:trPr>
          <w:trHeight w:val="290" w:hRule="atLeast"/>
        </w:trPr>
        <w:tc>
          <w:tcPr>
            <w:tcW w:w="1252" w:type="dxa"/>
          </w:tcPr>
          <w:p>
            <w:pPr>
              <w:pStyle w:val="TableParagraph"/>
              <w:rPr>
                <w:sz w:val="22"/>
              </w:rPr>
            </w:pPr>
            <w:r>
              <w:rPr>
                <w:sz w:val="22"/>
              </w:rPr>
              <w:t>60:051:0001</w:t>
            </w:r>
          </w:p>
        </w:tc>
        <w:tc>
          <w:tcPr>
            <w:tcW w:w="1968" w:type="dxa"/>
          </w:tcPr>
          <w:p>
            <w:pPr>
              <w:pStyle w:val="TableParagraph"/>
              <w:ind w:left="77"/>
              <w:rPr>
                <w:sz w:val="22"/>
              </w:rPr>
            </w:pPr>
            <w:r>
              <w:rPr>
                <w:sz w:val="22"/>
              </w:rPr>
              <w:t>Millerberg Holdings</w:t>
            </w:r>
          </w:p>
        </w:tc>
        <w:tc>
          <w:tcPr>
            <w:tcW w:w="1095" w:type="dxa"/>
          </w:tcPr>
          <w:p>
            <w:pPr>
              <w:pStyle w:val="TableParagraph"/>
              <w:ind w:left="716"/>
              <w:rPr>
                <w:sz w:val="22"/>
              </w:rPr>
            </w:pPr>
            <w:r>
              <w:rPr>
                <w:sz w:val="22"/>
              </w:rPr>
              <w:t>320</w:t>
            </w:r>
          </w:p>
        </w:tc>
        <w:tc>
          <w:tcPr>
            <w:tcW w:w="1621" w:type="dxa"/>
          </w:tcPr>
          <w:p>
            <w:pPr>
              <w:pStyle w:val="TableParagraph"/>
              <w:tabs>
                <w:tab w:pos="610" w:val="left" w:leader="none"/>
              </w:tabs>
              <w:ind w:left="104"/>
              <w:rPr>
                <w:sz w:val="22"/>
              </w:rPr>
            </w:pPr>
            <w:r>
              <w:rPr>
                <w:sz w:val="22"/>
              </w:rPr>
              <w:t>$</w:t>
              <w:tab/>
              <w:t>1,020,400</w:t>
            </w:r>
          </w:p>
        </w:tc>
      </w:tr>
      <w:tr>
        <w:trPr>
          <w:trHeight w:val="290" w:hRule="atLeast"/>
        </w:trPr>
        <w:tc>
          <w:tcPr>
            <w:tcW w:w="1252" w:type="dxa"/>
          </w:tcPr>
          <w:p>
            <w:pPr>
              <w:pStyle w:val="TableParagraph"/>
              <w:rPr>
                <w:sz w:val="22"/>
              </w:rPr>
            </w:pPr>
            <w:r>
              <w:rPr>
                <w:sz w:val="22"/>
              </w:rPr>
              <w:t>60:053:0002</w:t>
            </w:r>
          </w:p>
        </w:tc>
        <w:tc>
          <w:tcPr>
            <w:tcW w:w="1968" w:type="dxa"/>
          </w:tcPr>
          <w:p>
            <w:pPr>
              <w:pStyle w:val="TableParagraph"/>
              <w:ind w:left="77"/>
              <w:rPr>
                <w:sz w:val="22"/>
              </w:rPr>
            </w:pPr>
            <w:r>
              <w:rPr>
                <w:sz w:val="22"/>
              </w:rPr>
              <w:t>Millerberg Holdings</w:t>
            </w:r>
          </w:p>
        </w:tc>
        <w:tc>
          <w:tcPr>
            <w:tcW w:w="1095" w:type="dxa"/>
          </w:tcPr>
          <w:p>
            <w:pPr>
              <w:pStyle w:val="TableParagraph"/>
              <w:ind w:left="716"/>
              <w:rPr>
                <w:sz w:val="22"/>
              </w:rPr>
            </w:pPr>
            <w:r>
              <w:rPr>
                <w:sz w:val="22"/>
              </w:rPr>
              <w:t>160</w:t>
            </w:r>
          </w:p>
        </w:tc>
        <w:tc>
          <w:tcPr>
            <w:tcW w:w="1621" w:type="dxa"/>
          </w:tcPr>
          <w:p>
            <w:pPr>
              <w:pStyle w:val="TableParagraph"/>
              <w:tabs>
                <w:tab w:pos="778" w:val="left" w:leader="none"/>
              </w:tabs>
              <w:ind w:left="104"/>
              <w:rPr>
                <w:sz w:val="22"/>
              </w:rPr>
            </w:pPr>
            <w:r>
              <w:rPr>
                <w:sz w:val="22"/>
              </w:rPr>
              <w:t>$</w:t>
              <w:tab/>
              <w:t>510,200</w:t>
            </w:r>
          </w:p>
        </w:tc>
      </w:tr>
      <w:tr>
        <w:trPr>
          <w:trHeight w:val="290" w:hRule="atLeast"/>
        </w:trPr>
        <w:tc>
          <w:tcPr>
            <w:tcW w:w="1252" w:type="dxa"/>
          </w:tcPr>
          <w:p>
            <w:pPr>
              <w:pStyle w:val="TableParagraph"/>
              <w:rPr>
                <w:sz w:val="22"/>
              </w:rPr>
            </w:pPr>
            <w:r>
              <w:rPr>
                <w:sz w:val="22"/>
              </w:rPr>
              <w:t>60:052:0002</w:t>
            </w:r>
          </w:p>
        </w:tc>
        <w:tc>
          <w:tcPr>
            <w:tcW w:w="1968" w:type="dxa"/>
          </w:tcPr>
          <w:p>
            <w:pPr>
              <w:pStyle w:val="TableParagraph"/>
              <w:ind w:left="77"/>
              <w:rPr>
                <w:sz w:val="22"/>
              </w:rPr>
            </w:pPr>
            <w:r>
              <w:rPr>
                <w:sz w:val="22"/>
              </w:rPr>
              <w:t>Millerberg Holdings</w:t>
            </w:r>
          </w:p>
        </w:tc>
        <w:tc>
          <w:tcPr>
            <w:tcW w:w="1095" w:type="dxa"/>
          </w:tcPr>
          <w:p>
            <w:pPr>
              <w:pStyle w:val="TableParagraph"/>
              <w:ind w:left="0" w:right="37"/>
              <w:jc w:val="right"/>
              <w:rPr>
                <w:sz w:val="22"/>
              </w:rPr>
            </w:pPr>
            <w:r>
              <w:rPr>
                <w:sz w:val="22"/>
              </w:rPr>
              <w:t>80</w:t>
            </w:r>
          </w:p>
        </w:tc>
        <w:tc>
          <w:tcPr>
            <w:tcW w:w="1621" w:type="dxa"/>
          </w:tcPr>
          <w:p>
            <w:pPr>
              <w:pStyle w:val="TableParagraph"/>
              <w:tabs>
                <w:tab w:pos="778" w:val="left" w:leader="none"/>
              </w:tabs>
              <w:ind w:left="104"/>
              <w:rPr>
                <w:sz w:val="22"/>
              </w:rPr>
            </w:pPr>
            <w:r>
              <w:rPr>
                <w:sz w:val="22"/>
              </w:rPr>
              <w:t>$</w:t>
              <w:tab/>
              <w:t>255,100</w:t>
            </w:r>
          </w:p>
        </w:tc>
      </w:tr>
      <w:tr>
        <w:trPr>
          <w:trHeight w:val="290" w:hRule="atLeast"/>
        </w:trPr>
        <w:tc>
          <w:tcPr>
            <w:tcW w:w="1252" w:type="dxa"/>
          </w:tcPr>
          <w:p>
            <w:pPr>
              <w:pStyle w:val="TableParagraph"/>
              <w:rPr>
                <w:sz w:val="22"/>
              </w:rPr>
            </w:pPr>
            <w:r>
              <w:rPr>
                <w:sz w:val="22"/>
              </w:rPr>
              <w:t>60:056:0001</w:t>
            </w:r>
          </w:p>
        </w:tc>
        <w:tc>
          <w:tcPr>
            <w:tcW w:w="1968" w:type="dxa"/>
          </w:tcPr>
          <w:p>
            <w:pPr>
              <w:pStyle w:val="TableParagraph"/>
              <w:ind w:left="77"/>
              <w:rPr>
                <w:sz w:val="22"/>
              </w:rPr>
            </w:pPr>
            <w:r>
              <w:rPr>
                <w:sz w:val="22"/>
              </w:rPr>
              <w:t>Millerberg Holdings</w:t>
            </w:r>
          </w:p>
        </w:tc>
        <w:tc>
          <w:tcPr>
            <w:tcW w:w="1095" w:type="dxa"/>
          </w:tcPr>
          <w:p>
            <w:pPr>
              <w:pStyle w:val="TableParagraph"/>
              <w:ind w:left="716"/>
              <w:rPr>
                <w:sz w:val="22"/>
              </w:rPr>
            </w:pPr>
            <w:r>
              <w:rPr>
                <w:sz w:val="22"/>
              </w:rPr>
              <w:t>320</w:t>
            </w:r>
          </w:p>
        </w:tc>
        <w:tc>
          <w:tcPr>
            <w:tcW w:w="1621" w:type="dxa"/>
          </w:tcPr>
          <w:p>
            <w:pPr>
              <w:pStyle w:val="TableParagraph"/>
              <w:tabs>
                <w:tab w:pos="610" w:val="left" w:leader="none"/>
              </w:tabs>
              <w:ind w:left="104"/>
              <w:rPr>
                <w:sz w:val="22"/>
              </w:rPr>
            </w:pPr>
            <w:r>
              <w:rPr>
                <w:sz w:val="22"/>
              </w:rPr>
              <w:t>$</w:t>
              <w:tab/>
              <w:t>1,020,400</w:t>
            </w:r>
          </w:p>
        </w:tc>
      </w:tr>
      <w:tr>
        <w:trPr>
          <w:trHeight w:val="290" w:hRule="atLeast"/>
        </w:trPr>
        <w:tc>
          <w:tcPr>
            <w:tcW w:w="1252" w:type="dxa"/>
          </w:tcPr>
          <w:p>
            <w:pPr>
              <w:pStyle w:val="TableParagraph"/>
              <w:rPr>
                <w:sz w:val="22"/>
              </w:rPr>
            </w:pPr>
            <w:r>
              <w:rPr>
                <w:sz w:val="22"/>
              </w:rPr>
              <w:t>60:057:0001</w:t>
            </w:r>
          </w:p>
        </w:tc>
        <w:tc>
          <w:tcPr>
            <w:tcW w:w="1968" w:type="dxa"/>
          </w:tcPr>
          <w:p>
            <w:pPr>
              <w:pStyle w:val="TableParagraph"/>
              <w:ind w:left="77"/>
              <w:rPr>
                <w:sz w:val="22"/>
              </w:rPr>
            </w:pPr>
            <w:r>
              <w:rPr>
                <w:sz w:val="22"/>
              </w:rPr>
              <w:t>Millerberg Holdings</w:t>
            </w:r>
          </w:p>
        </w:tc>
        <w:tc>
          <w:tcPr>
            <w:tcW w:w="1095" w:type="dxa"/>
          </w:tcPr>
          <w:p>
            <w:pPr>
              <w:pStyle w:val="TableParagraph"/>
              <w:ind w:left="716"/>
              <w:rPr>
                <w:sz w:val="22"/>
              </w:rPr>
            </w:pPr>
            <w:r>
              <w:rPr>
                <w:sz w:val="22"/>
              </w:rPr>
              <w:t>640</w:t>
            </w:r>
          </w:p>
        </w:tc>
        <w:tc>
          <w:tcPr>
            <w:tcW w:w="1621" w:type="dxa"/>
          </w:tcPr>
          <w:p>
            <w:pPr>
              <w:pStyle w:val="TableParagraph"/>
              <w:tabs>
                <w:tab w:pos="610" w:val="left" w:leader="none"/>
              </w:tabs>
              <w:ind w:left="104"/>
              <w:rPr>
                <w:sz w:val="22"/>
              </w:rPr>
            </w:pPr>
            <w:r>
              <w:rPr>
                <w:sz w:val="22"/>
              </w:rPr>
              <w:t>$</w:t>
              <w:tab/>
              <w:t>2,040,900</w:t>
            </w:r>
          </w:p>
        </w:tc>
      </w:tr>
      <w:tr>
        <w:trPr>
          <w:trHeight w:val="290" w:hRule="atLeast"/>
        </w:trPr>
        <w:tc>
          <w:tcPr>
            <w:tcW w:w="1252" w:type="dxa"/>
          </w:tcPr>
          <w:p>
            <w:pPr>
              <w:pStyle w:val="TableParagraph"/>
              <w:rPr>
                <w:sz w:val="22"/>
              </w:rPr>
            </w:pPr>
            <w:r>
              <w:rPr>
                <w:sz w:val="22"/>
              </w:rPr>
              <w:t>60:058:0001</w:t>
            </w:r>
          </w:p>
        </w:tc>
        <w:tc>
          <w:tcPr>
            <w:tcW w:w="1968" w:type="dxa"/>
          </w:tcPr>
          <w:p>
            <w:pPr>
              <w:pStyle w:val="TableParagraph"/>
              <w:ind w:left="77"/>
              <w:rPr>
                <w:sz w:val="22"/>
              </w:rPr>
            </w:pPr>
            <w:r>
              <w:rPr>
                <w:sz w:val="22"/>
              </w:rPr>
              <w:t>Millerberg Holdings</w:t>
            </w:r>
          </w:p>
        </w:tc>
        <w:tc>
          <w:tcPr>
            <w:tcW w:w="1095" w:type="dxa"/>
          </w:tcPr>
          <w:p>
            <w:pPr>
              <w:pStyle w:val="TableParagraph"/>
              <w:ind w:left="716"/>
              <w:rPr>
                <w:sz w:val="22"/>
              </w:rPr>
            </w:pPr>
            <w:r>
              <w:rPr>
                <w:sz w:val="22"/>
              </w:rPr>
              <w:t>400</w:t>
            </w:r>
          </w:p>
        </w:tc>
        <w:tc>
          <w:tcPr>
            <w:tcW w:w="1621" w:type="dxa"/>
          </w:tcPr>
          <w:p>
            <w:pPr>
              <w:pStyle w:val="TableParagraph"/>
              <w:tabs>
                <w:tab w:pos="610" w:val="left" w:leader="none"/>
              </w:tabs>
              <w:ind w:left="104"/>
              <w:rPr>
                <w:sz w:val="22"/>
              </w:rPr>
            </w:pPr>
            <w:r>
              <w:rPr>
                <w:sz w:val="22"/>
              </w:rPr>
              <w:t>$</w:t>
              <w:tab/>
              <w:t>1,084,200</w:t>
            </w:r>
          </w:p>
        </w:tc>
      </w:tr>
      <w:tr>
        <w:trPr>
          <w:trHeight w:val="290" w:hRule="atLeast"/>
        </w:trPr>
        <w:tc>
          <w:tcPr>
            <w:tcW w:w="1252" w:type="dxa"/>
          </w:tcPr>
          <w:p>
            <w:pPr>
              <w:pStyle w:val="TableParagraph"/>
              <w:spacing w:line="260" w:lineRule="exact"/>
              <w:rPr>
                <w:sz w:val="22"/>
              </w:rPr>
            </w:pPr>
            <w:r>
              <w:rPr>
                <w:sz w:val="22"/>
              </w:rPr>
              <w:t>60:056:0002</w:t>
            </w:r>
          </w:p>
        </w:tc>
        <w:tc>
          <w:tcPr>
            <w:tcW w:w="1968" w:type="dxa"/>
          </w:tcPr>
          <w:p>
            <w:pPr>
              <w:pStyle w:val="TableParagraph"/>
              <w:spacing w:line="260" w:lineRule="exact"/>
              <w:ind w:left="77"/>
              <w:rPr>
                <w:sz w:val="22"/>
              </w:rPr>
            </w:pPr>
            <w:r>
              <w:rPr>
                <w:sz w:val="22"/>
              </w:rPr>
              <w:t>Millerberg Holdings</w:t>
            </w:r>
          </w:p>
        </w:tc>
        <w:tc>
          <w:tcPr>
            <w:tcW w:w="1095" w:type="dxa"/>
          </w:tcPr>
          <w:p>
            <w:pPr>
              <w:pStyle w:val="TableParagraph"/>
              <w:spacing w:line="260" w:lineRule="exact"/>
              <w:ind w:left="716"/>
              <w:rPr>
                <w:sz w:val="22"/>
              </w:rPr>
            </w:pPr>
            <w:r>
              <w:rPr>
                <w:sz w:val="22"/>
              </w:rPr>
              <w:t>320</w:t>
            </w:r>
          </w:p>
        </w:tc>
        <w:tc>
          <w:tcPr>
            <w:tcW w:w="1621" w:type="dxa"/>
          </w:tcPr>
          <w:p>
            <w:pPr>
              <w:pStyle w:val="TableParagraph"/>
              <w:tabs>
                <w:tab w:pos="610" w:val="left" w:leader="none"/>
              </w:tabs>
              <w:spacing w:line="260" w:lineRule="exact"/>
              <w:ind w:left="104"/>
              <w:rPr>
                <w:sz w:val="22"/>
              </w:rPr>
            </w:pPr>
            <w:r>
              <w:rPr>
                <w:sz w:val="22"/>
              </w:rPr>
              <w:t>$</w:t>
              <w:tab/>
              <w:t>1,020,400</w:t>
            </w:r>
          </w:p>
        </w:tc>
      </w:tr>
      <w:tr>
        <w:trPr>
          <w:trHeight w:val="267" w:hRule="atLeast"/>
        </w:trPr>
        <w:tc>
          <w:tcPr>
            <w:tcW w:w="1252" w:type="dxa"/>
            <w:tcBorders>
              <w:bottom w:val="single" w:sz="8" w:space="0" w:color="000000"/>
            </w:tcBorders>
          </w:tcPr>
          <w:p>
            <w:pPr>
              <w:pStyle w:val="TableParagraph"/>
              <w:spacing w:line="247" w:lineRule="exact"/>
              <w:ind w:left="1" w:right="-87"/>
              <w:rPr>
                <w:sz w:val="22"/>
              </w:rPr>
            </w:pPr>
            <w:r>
              <w:rPr>
                <w:spacing w:val="-13"/>
                <w:w w:val="100"/>
                <w:sz w:val="22"/>
                <w:u w:val="single"/>
              </w:rPr>
              <w:t> </w:t>
            </w:r>
            <w:r>
              <w:rPr>
                <w:sz w:val="22"/>
                <w:u w:val="single"/>
              </w:rPr>
              <w:t>60:035:0001</w:t>
            </w:r>
            <w:r>
              <w:rPr>
                <w:spacing w:val="8"/>
                <w:sz w:val="22"/>
                <w:u w:val="single"/>
              </w:rPr>
              <w:t> </w:t>
            </w:r>
          </w:p>
        </w:tc>
        <w:tc>
          <w:tcPr>
            <w:tcW w:w="1968" w:type="dxa"/>
            <w:tcBorders>
              <w:bottom w:val="single" w:sz="8" w:space="0" w:color="000000"/>
            </w:tcBorders>
          </w:tcPr>
          <w:p>
            <w:pPr>
              <w:pStyle w:val="TableParagraph"/>
              <w:tabs>
                <w:tab w:pos="2684" w:val="left" w:leader="none"/>
              </w:tabs>
              <w:spacing w:line="247" w:lineRule="exact"/>
              <w:ind w:left="77" w:right="-720"/>
              <w:rPr>
                <w:sz w:val="22"/>
              </w:rPr>
            </w:pPr>
            <w:r>
              <w:rPr>
                <w:sz w:val="22"/>
                <w:u w:val="single"/>
              </w:rPr>
              <w:t>Millerberg</w:t>
            </w:r>
            <w:r>
              <w:rPr>
                <w:spacing w:val="1"/>
                <w:sz w:val="22"/>
                <w:u w:val="single"/>
              </w:rPr>
              <w:t> </w:t>
            </w:r>
            <w:r>
              <w:rPr>
                <w:sz w:val="22"/>
                <w:u w:val="single"/>
              </w:rPr>
              <w:t>Holdings</w:t>
              <w:tab/>
            </w:r>
          </w:p>
        </w:tc>
        <w:tc>
          <w:tcPr>
            <w:tcW w:w="1095" w:type="dxa"/>
            <w:tcBorders>
              <w:bottom w:val="single" w:sz="8" w:space="0" w:color="000000"/>
            </w:tcBorders>
          </w:tcPr>
          <w:p>
            <w:pPr>
              <w:pStyle w:val="TableParagraph"/>
              <w:spacing w:line="247" w:lineRule="exact"/>
              <w:ind w:left="716" w:right="-116"/>
              <w:rPr>
                <w:sz w:val="22"/>
              </w:rPr>
            </w:pPr>
            <w:r>
              <w:rPr>
                <w:sz w:val="22"/>
                <w:u w:val="single"/>
              </w:rPr>
              <w:t>640</w:t>
            </w:r>
            <w:r>
              <w:rPr>
                <w:spacing w:val="-5"/>
                <w:sz w:val="22"/>
                <w:u w:val="single"/>
              </w:rPr>
              <w:t> </w:t>
            </w:r>
          </w:p>
        </w:tc>
        <w:tc>
          <w:tcPr>
            <w:tcW w:w="1621" w:type="dxa"/>
            <w:tcBorders>
              <w:bottom w:val="single" w:sz="8" w:space="0" w:color="000000"/>
            </w:tcBorders>
          </w:tcPr>
          <w:p>
            <w:pPr>
              <w:pStyle w:val="TableParagraph"/>
              <w:tabs>
                <w:tab w:pos="610" w:val="left" w:leader="none"/>
              </w:tabs>
              <w:spacing w:line="247" w:lineRule="exact"/>
              <w:ind w:left="104"/>
              <w:rPr>
                <w:sz w:val="22"/>
              </w:rPr>
            </w:pPr>
            <w:r>
              <w:rPr>
                <w:sz w:val="22"/>
                <w:u w:val="single"/>
              </w:rPr>
              <w:t>$</w:t>
              <w:tab/>
              <w:t>1,526,500</w:t>
            </w:r>
            <w:r>
              <w:rPr>
                <w:spacing w:val="9"/>
                <w:sz w:val="22"/>
                <w:u w:val="single"/>
              </w:rPr>
              <w:t> </w:t>
            </w:r>
          </w:p>
        </w:tc>
      </w:tr>
      <w:tr>
        <w:trPr>
          <w:trHeight w:val="301" w:hRule="atLeast"/>
        </w:trPr>
        <w:tc>
          <w:tcPr>
            <w:tcW w:w="1252" w:type="dxa"/>
            <w:tcBorders>
              <w:top w:val="single" w:sz="8" w:space="0" w:color="000000"/>
              <w:bottom w:val="single" w:sz="8" w:space="0" w:color="000000"/>
            </w:tcBorders>
          </w:tcPr>
          <w:p>
            <w:pPr>
              <w:pStyle w:val="TableParagraph"/>
              <w:spacing w:line="255" w:lineRule="exact"/>
              <w:rPr>
                <w:sz w:val="22"/>
              </w:rPr>
            </w:pPr>
            <w:r>
              <w:rPr>
                <w:sz w:val="22"/>
              </w:rPr>
              <w:t>Total</w:t>
            </w:r>
          </w:p>
        </w:tc>
        <w:tc>
          <w:tcPr>
            <w:tcW w:w="1968" w:type="dxa"/>
            <w:tcBorders>
              <w:top w:val="single" w:sz="8" w:space="0" w:color="000000"/>
              <w:bottom w:val="single" w:sz="8" w:space="0" w:color="000000"/>
            </w:tcBorders>
          </w:tcPr>
          <w:p>
            <w:pPr>
              <w:pStyle w:val="TableParagraph"/>
              <w:spacing w:line="240" w:lineRule="auto"/>
              <w:ind w:left="0"/>
              <w:rPr>
                <w:rFonts w:ascii="Times New Roman"/>
                <w:sz w:val="22"/>
              </w:rPr>
            </w:pPr>
          </w:p>
        </w:tc>
        <w:tc>
          <w:tcPr>
            <w:tcW w:w="1095" w:type="dxa"/>
            <w:tcBorders>
              <w:top w:val="single" w:sz="8" w:space="0" w:color="000000"/>
              <w:bottom w:val="single" w:sz="8" w:space="0" w:color="000000"/>
            </w:tcBorders>
          </w:tcPr>
          <w:p>
            <w:pPr>
              <w:pStyle w:val="TableParagraph"/>
              <w:spacing w:line="255" w:lineRule="exact"/>
              <w:ind w:left="481"/>
              <w:rPr>
                <w:sz w:val="22"/>
              </w:rPr>
            </w:pPr>
            <w:r>
              <w:rPr>
                <w:sz w:val="22"/>
              </w:rPr>
              <w:t>4,960</w:t>
            </w:r>
          </w:p>
        </w:tc>
        <w:tc>
          <w:tcPr>
            <w:tcW w:w="1621" w:type="dxa"/>
            <w:tcBorders>
              <w:top w:val="single" w:sz="8" w:space="0" w:color="000000"/>
              <w:bottom w:val="single" w:sz="8" w:space="0" w:color="000000"/>
            </w:tcBorders>
          </w:tcPr>
          <w:p>
            <w:pPr>
              <w:pStyle w:val="TableParagraph"/>
              <w:tabs>
                <w:tab w:pos="497" w:val="left" w:leader="none"/>
              </w:tabs>
              <w:spacing w:line="255" w:lineRule="exact"/>
              <w:ind w:left="104"/>
              <w:rPr>
                <w:sz w:val="22"/>
              </w:rPr>
            </w:pPr>
            <w:r>
              <w:rPr>
                <w:sz w:val="22"/>
              </w:rPr>
              <w:t>$</w:t>
              <w:tab/>
              <w:t>15,110,900</w:t>
            </w:r>
          </w:p>
        </w:tc>
      </w:tr>
    </w:tbl>
    <w:sectPr>
      <w:footerReference w:type="default" r:id="rId12"/>
      <w:pgSz w:w="12240" w:h="15840"/>
      <w:pgMar w:footer="0" w:header="0" w:top="1060" w:bottom="280" w:left="900" w:right="1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77.809998pt;margin-top:741.762634pt;width:56.25pt;height:15.3pt;mso-position-horizontal-relative:page;mso-position-vertical-relative:page;z-index:-252112896" type="#_x0000_t202" filled="false" stroked="false">
          <v:textbox inset="0,0,0,0">
            <w:txbxContent>
              <w:p>
                <w:pPr>
                  <w:pStyle w:val="BodyText"/>
                  <w:spacing w:before="10"/>
                  <w:ind w:left="20"/>
                </w:pPr>
                <w:r>
                  <w:rPr/>
                  <w:t>Page </w:t>
                </w:r>
                <w:r>
                  <w:rPr/>
                  <w:fldChar w:fldCharType="begin"/>
                </w:r>
                <w:r>
                  <w:rPr/>
                  <w:instrText> PAGE </w:instrText>
                </w:r>
                <w:r>
                  <w:rPr/>
                  <w:fldChar w:fldCharType="separate"/>
                </w:r>
                <w:r>
                  <w:rPr/>
                  <w:t>1</w:t>
                </w:r>
                <w:r>
                  <w:rPr/>
                  <w:fldChar w:fldCharType="end"/>
                </w:r>
                <w:r>
                  <w:rPr/>
                  <w:t> of 2</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301.25pt;margin-top:739.293823pt;width:9.5pt;height:9.75pt;mso-position-horizontal-relative:page;mso-position-vertical-relative:page;z-index:-252111872" type="#_x0000_t202" filled="false" stroked="false">
          <v:textbox inset="0,0,0,0">
            <w:txbxContent>
              <w:p>
                <w:pPr>
                  <w:spacing w:before="13"/>
                  <w:ind w:left="60" w:right="0" w:firstLine="0"/>
                  <w:jc w:val="left"/>
                  <w:rPr>
                    <w:sz w:val="14"/>
                  </w:rPr>
                </w:pPr>
                <w:r>
                  <w:rPr/>
                  <w:fldChar w:fldCharType="begin"/>
                </w:r>
                <w:r>
                  <w:rPr>
                    <w:w w:val="99"/>
                    <w:sz w:val="14"/>
                  </w:rPr>
                  <w:instrText> PAGE </w:instrText>
                </w:r>
                <w:r>
                  <w:rPr/>
                  <w:fldChar w:fldCharType="separate"/>
                </w:r>
                <w:r>
                  <w:rPr/>
                  <w:t>1</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5"/>
      <w:numFmt w:val="decimal"/>
      <w:lvlText w:val="%1."/>
      <w:lvlJc w:val="left"/>
      <w:pPr>
        <w:ind w:left="1620" w:hanging="360"/>
        <w:jc w:val="left"/>
      </w:pPr>
      <w:rPr>
        <w:rFonts w:hint="default" w:ascii="Times New Roman" w:hAnsi="Times New Roman" w:eastAsia="Times New Roman" w:cs="Times New Roman"/>
        <w:spacing w:val="-3"/>
        <w:w w:val="99"/>
        <w:sz w:val="24"/>
        <w:szCs w:val="24"/>
      </w:rPr>
    </w:lvl>
    <w:lvl w:ilvl="1">
      <w:start w:val="0"/>
      <w:numFmt w:val="bullet"/>
      <w:lvlText w:val="•"/>
      <w:lvlJc w:val="left"/>
      <w:pPr>
        <w:ind w:left="2464" w:hanging="360"/>
      </w:pPr>
      <w:rPr>
        <w:rFonts w:hint="default"/>
      </w:rPr>
    </w:lvl>
    <w:lvl w:ilvl="2">
      <w:start w:val="0"/>
      <w:numFmt w:val="bullet"/>
      <w:lvlText w:val="•"/>
      <w:lvlJc w:val="left"/>
      <w:pPr>
        <w:ind w:left="3308" w:hanging="360"/>
      </w:pPr>
      <w:rPr>
        <w:rFonts w:hint="default"/>
      </w:rPr>
    </w:lvl>
    <w:lvl w:ilvl="3">
      <w:start w:val="0"/>
      <w:numFmt w:val="bullet"/>
      <w:lvlText w:val="•"/>
      <w:lvlJc w:val="left"/>
      <w:pPr>
        <w:ind w:left="4152" w:hanging="360"/>
      </w:pPr>
      <w:rPr>
        <w:rFonts w:hint="default"/>
      </w:rPr>
    </w:lvl>
    <w:lvl w:ilvl="4">
      <w:start w:val="0"/>
      <w:numFmt w:val="bullet"/>
      <w:lvlText w:val="•"/>
      <w:lvlJc w:val="left"/>
      <w:pPr>
        <w:ind w:left="4996" w:hanging="360"/>
      </w:pPr>
      <w:rPr>
        <w:rFonts w:hint="default"/>
      </w:rPr>
    </w:lvl>
    <w:lvl w:ilvl="5">
      <w:start w:val="0"/>
      <w:numFmt w:val="bullet"/>
      <w:lvlText w:val="•"/>
      <w:lvlJc w:val="left"/>
      <w:pPr>
        <w:ind w:left="5840" w:hanging="360"/>
      </w:pPr>
      <w:rPr>
        <w:rFonts w:hint="default"/>
      </w:rPr>
    </w:lvl>
    <w:lvl w:ilvl="6">
      <w:start w:val="0"/>
      <w:numFmt w:val="bullet"/>
      <w:lvlText w:val="•"/>
      <w:lvlJc w:val="left"/>
      <w:pPr>
        <w:ind w:left="6684" w:hanging="360"/>
      </w:pPr>
      <w:rPr>
        <w:rFonts w:hint="default"/>
      </w:rPr>
    </w:lvl>
    <w:lvl w:ilvl="7">
      <w:start w:val="0"/>
      <w:numFmt w:val="bullet"/>
      <w:lvlText w:val="•"/>
      <w:lvlJc w:val="left"/>
      <w:pPr>
        <w:ind w:left="7528" w:hanging="360"/>
      </w:pPr>
      <w:rPr>
        <w:rFonts w:hint="default"/>
      </w:rPr>
    </w:lvl>
    <w:lvl w:ilvl="8">
      <w:start w:val="0"/>
      <w:numFmt w:val="bullet"/>
      <w:lvlText w:val="•"/>
      <w:lvlJc w:val="left"/>
      <w:pPr>
        <w:ind w:left="8372" w:hanging="360"/>
      </w:pPr>
      <w:rPr>
        <w:rFonts w:hint="default"/>
      </w:rPr>
    </w:lvl>
  </w:abstractNum>
  <w:abstractNum w:abstractNumId="1">
    <w:multiLevelType w:val="hybridMultilevel"/>
    <w:lvl w:ilvl="0">
      <w:start w:val="1"/>
      <w:numFmt w:val="decimal"/>
      <w:lvlText w:val="%1."/>
      <w:lvlJc w:val="left"/>
      <w:pPr>
        <w:ind w:left="1260" w:hanging="360"/>
        <w:jc w:val="left"/>
      </w:pPr>
      <w:rPr>
        <w:rFonts w:hint="default" w:ascii="Times New Roman" w:hAnsi="Times New Roman" w:eastAsia="Times New Roman" w:cs="Times New Roman"/>
        <w:spacing w:val="0"/>
        <w:w w:val="99"/>
        <w:sz w:val="20"/>
        <w:szCs w:val="20"/>
      </w:rPr>
    </w:lvl>
    <w:lvl w:ilvl="1">
      <w:start w:val="1"/>
      <w:numFmt w:val="decimal"/>
      <w:lvlText w:val="%2."/>
      <w:lvlJc w:val="left"/>
      <w:pPr>
        <w:ind w:left="1620" w:hanging="360"/>
        <w:jc w:val="left"/>
      </w:pPr>
      <w:rPr>
        <w:rFonts w:hint="default" w:ascii="Times New Roman" w:hAnsi="Times New Roman" w:eastAsia="Times New Roman" w:cs="Times New Roman"/>
        <w:spacing w:val="-2"/>
        <w:w w:val="99"/>
        <w:sz w:val="24"/>
        <w:szCs w:val="24"/>
      </w:rPr>
    </w:lvl>
    <w:lvl w:ilvl="2">
      <w:start w:val="0"/>
      <w:numFmt w:val="bullet"/>
      <w:lvlText w:val="•"/>
      <w:lvlJc w:val="left"/>
      <w:pPr>
        <w:ind w:left="2557" w:hanging="360"/>
      </w:pPr>
      <w:rPr>
        <w:rFonts w:hint="default"/>
      </w:rPr>
    </w:lvl>
    <w:lvl w:ilvl="3">
      <w:start w:val="0"/>
      <w:numFmt w:val="bullet"/>
      <w:lvlText w:val="•"/>
      <w:lvlJc w:val="left"/>
      <w:pPr>
        <w:ind w:left="3495" w:hanging="360"/>
      </w:pPr>
      <w:rPr>
        <w:rFonts w:hint="default"/>
      </w:rPr>
    </w:lvl>
    <w:lvl w:ilvl="4">
      <w:start w:val="0"/>
      <w:numFmt w:val="bullet"/>
      <w:lvlText w:val="•"/>
      <w:lvlJc w:val="left"/>
      <w:pPr>
        <w:ind w:left="4433" w:hanging="360"/>
      </w:pPr>
      <w:rPr>
        <w:rFonts w:hint="default"/>
      </w:rPr>
    </w:lvl>
    <w:lvl w:ilvl="5">
      <w:start w:val="0"/>
      <w:numFmt w:val="bullet"/>
      <w:lvlText w:val="•"/>
      <w:lvlJc w:val="left"/>
      <w:pPr>
        <w:ind w:left="5371" w:hanging="360"/>
      </w:pPr>
      <w:rPr>
        <w:rFonts w:hint="default"/>
      </w:rPr>
    </w:lvl>
    <w:lvl w:ilvl="6">
      <w:start w:val="0"/>
      <w:numFmt w:val="bullet"/>
      <w:lvlText w:val="•"/>
      <w:lvlJc w:val="left"/>
      <w:pPr>
        <w:ind w:left="6308" w:hanging="360"/>
      </w:pPr>
      <w:rPr>
        <w:rFonts w:hint="default"/>
      </w:rPr>
    </w:lvl>
    <w:lvl w:ilvl="7">
      <w:start w:val="0"/>
      <w:numFmt w:val="bullet"/>
      <w:lvlText w:val="•"/>
      <w:lvlJc w:val="left"/>
      <w:pPr>
        <w:ind w:left="7246" w:hanging="360"/>
      </w:pPr>
      <w:rPr>
        <w:rFonts w:hint="default"/>
      </w:rPr>
    </w:lvl>
    <w:lvl w:ilvl="8">
      <w:start w:val="0"/>
      <w:numFmt w:val="bullet"/>
      <w:lvlText w:val="•"/>
      <w:lvlJc w:val="left"/>
      <w:pPr>
        <w:ind w:left="8184" w:hanging="360"/>
      </w:pPr>
      <w:rPr>
        <w:rFonts w:hint="default"/>
      </w:rPr>
    </w:lvl>
  </w:abstractNum>
  <w:abstractNum w:abstractNumId="0">
    <w:multiLevelType w:val="hybridMultilevel"/>
    <w:lvl w:ilvl="0">
      <w:start w:val="1"/>
      <w:numFmt w:val="lowerLetter"/>
      <w:lvlText w:val="(%1)"/>
      <w:lvlJc w:val="left"/>
      <w:pPr>
        <w:ind w:left="1980" w:hanging="314"/>
        <w:jc w:val="left"/>
      </w:pPr>
      <w:rPr>
        <w:rFonts w:hint="default" w:ascii="Times New Roman" w:hAnsi="Times New Roman" w:eastAsia="Times New Roman" w:cs="Times New Roman"/>
        <w:w w:val="100"/>
        <w:sz w:val="23"/>
        <w:szCs w:val="23"/>
      </w:rPr>
    </w:lvl>
    <w:lvl w:ilvl="1">
      <w:start w:val="0"/>
      <w:numFmt w:val="bullet"/>
      <w:lvlText w:val="•"/>
      <w:lvlJc w:val="left"/>
      <w:pPr>
        <w:ind w:left="2788" w:hanging="314"/>
      </w:pPr>
      <w:rPr>
        <w:rFonts w:hint="default"/>
      </w:rPr>
    </w:lvl>
    <w:lvl w:ilvl="2">
      <w:start w:val="0"/>
      <w:numFmt w:val="bullet"/>
      <w:lvlText w:val="•"/>
      <w:lvlJc w:val="left"/>
      <w:pPr>
        <w:ind w:left="3596" w:hanging="314"/>
      </w:pPr>
      <w:rPr>
        <w:rFonts w:hint="default"/>
      </w:rPr>
    </w:lvl>
    <w:lvl w:ilvl="3">
      <w:start w:val="0"/>
      <w:numFmt w:val="bullet"/>
      <w:lvlText w:val="•"/>
      <w:lvlJc w:val="left"/>
      <w:pPr>
        <w:ind w:left="4404" w:hanging="314"/>
      </w:pPr>
      <w:rPr>
        <w:rFonts w:hint="default"/>
      </w:rPr>
    </w:lvl>
    <w:lvl w:ilvl="4">
      <w:start w:val="0"/>
      <w:numFmt w:val="bullet"/>
      <w:lvlText w:val="•"/>
      <w:lvlJc w:val="left"/>
      <w:pPr>
        <w:ind w:left="5212" w:hanging="314"/>
      </w:pPr>
      <w:rPr>
        <w:rFonts w:hint="default"/>
      </w:rPr>
    </w:lvl>
    <w:lvl w:ilvl="5">
      <w:start w:val="0"/>
      <w:numFmt w:val="bullet"/>
      <w:lvlText w:val="•"/>
      <w:lvlJc w:val="left"/>
      <w:pPr>
        <w:ind w:left="6020" w:hanging="314"/>
      </w:pPr>
      <w:rPr>
        <w:rFonts w:hint="default"/>
      </w:rPr>
    </w:lvl>
    <w:lvl w:ilvl="6">
      <w:start w:val="0"/>
      <w:numFmt w:val="bullet"/>
      <w:lvlText w:val="•"/>
      <w:lvlJc w:val="left"/>
      <w:pPr>
        <w:ind w:left="6828" w:hanging="314"/>
      </w:pPr>
      <w:rPr>
        <w:rFonts w:hint="default"/>
      </w:rPr>
    </w:lvl>
    <w:lvl w:ilvl="7">
      <w:start w:val="0"/>
      <w:numFmt w:val="bullet"/>
      <w:lvlText w:val="•"/>
      <w:lvlJc w:val="left"/>
      <w:pPr>
        <w:ind w:left="7636" w:hanging="314"/>
      </w:pPr>
      <w:rPr>
        <w:rFonts w:hint="default"/>
      </w:rPr>
    </w:lvl>
    <w:lvl w:ilvl="8">
      <w:start w:val="0"/>
      <w:numFmt w:val="bullet"/>
      <w:lvlText w:val="•"/>
      <w:lvlJc w:val="left"/>
      <w:pPr>
        <w:ind w:left="8444" w:hanging="314"/>
      </w:pPr>
      <w:rPr>
        <w:rFonts w:hint="default"/>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4"/>
      <w:szCs w:val="24"/>
    </w:rPr>
  </w:style>
  <w:style w:styleId="Heading1" w:type="paragraph">
    <w:name w:val="Heading 1"/>
    <w:basedOn w:val="Normal"/>
    <w:uiPriority w:val="1"/>
    <w:qFormat/>
    <w:pPr>
      <w:spacing w:before="60"/>
      <w:ind w:left="2682" w:right="526" w:hanging="3709"/>
      <w:outlineLvl w:val="1"/>
    </w:pPr>
    <w:rPr>
      <w:rFonts w:ascii="Times New Roman" w:hAnsi="Times New Roman" w:eastAsia="Times New Roman" w:cs="Times New Roman"/>
      <w:b/>
      <w:bCs/>
      <w:sz w:val="28"/>
      <w:szCs w:val="28"/>
    </w:rPr>
  </w:style>
  <w:style w:styleId="Heading2" w:type="paragraph">
    <w:name w:val="Heading 2"/>
    <w:basedOn w:val="Normal"/>
    <w:uiPriority w:val="1"/>
    <w:qFormat/>
    <w:pPr>
      <w:ind w:left="540"/>
      <w:outlineLvl w:val="2"/>
    </w:pPr>
    <w:rPr>
      <w:rFonts w:ascii="Times New Roman" w:hAnsi="Times New Roman" w:eastAsia="Times New Roman" w:cs="Times New Roman"/>
      <w:b/>
      <w:bCs/>
      <w:sz w:val="24"/>
      <w:szCs w:val="24"/>
    </w:rPr>
  </w:style>
  <w:style w:styleId="ListParagraph" w:type="paragraph">
    <w:name w:val="List Paragraph"/>
    <w:basedOn w:val="Normal"/>
    <w:uiPriority w:val="1"/>
    <w:qFormat/>
    <w:pPr>
      <w:ind w:left="1980"/>
    </w:pPr>
    <w:rPr>
      <w:rFonts w:ascii="Times New Roman" w:hAnsi="Times New Roman" w:eastAsia="Times New Roman" w:cs="Times New Roman"/>
    </w:rPr>
  </w:style>
  <w:style w:styleId="TableParagraph" w:type="paragraph">
    <w:name w:val="Table Paragraph"/>
    <w:basedOn w:val="Normal"/>
    <w:uiPriority w:val="1"/>
    <w:qFormat/>
    <w:pPr>
      <w:spacing w:line="259" w:lineRule="exact"/>
      <w:ind w:left="38"/>
    </w:pPr>
    <w:rPr>
      <w:rFonts w:ascii="Calibri" w:hAnsi="Calibri" w:eastAsia="Calibri" w:cs="Calibr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footer" Target="footer2.xml"/><Relationship Id="rId11" Type="http://schemas.openxmlformats.org/officeDocument/2006/relationships/image" Target="media/image5.jpeg"/><Relationship Id="rId12" Type="http://schemas.openxmlformats.org/officeDocument/2006/relationships/footer" Target="footer3.xm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Aileen Conder</dc:creator>
  <dcterms:created xsi:type="dcterms:W3CDTF">2023-12-19T01:17:02Z</dcterms:created>
  <dcterms:modified xsi:type="dcterms:W3CDTF">2023-12-19T01:17:02Z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2023-12-18T00:00:00Z</vt:filetime>
  </property>
  <property fmtid="{D5CDD505-2E9C-101B-9397-08002B2CF9AE}" pid="3" name="Creator">
    <vt:lpwstr>Adobe Acrobat Pro (32-bit) 23.6.20380</vt:lpwstr>
  </property>
  <property fmtid="{D5CDD505-2E9C-101B-9397-08002B2CF9AE}" pid="4" name="LastSaved">
    <vt:filetime>2023-12-19T00:00:00Z</vt:filetime>
  </property>
</Properties>
</file>