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A20E0" w14:textId="77777777" w:rsidR="00F44CBC" w:rsidRPr="00F44CBC" w:rsidRDefault="00F44CBC" w:rsidP="00F44CBC">
      <w:pPr>
        <w:spacing w:after="0" w:line="240" w:lineRule="auto"/>
        <w:jc w:val="center"/>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4"/>
          <w:szCs w:val="24"/>
          <w:u w:val="single"/>
          <w14:ligatures w14:val="none"/>
        </w:rPr>
        <w:t>Minutes of the Bicknell Planning &amp; Zoning Commission</w:t>
      </w:r>
    </w:p>
    <w:p w14:paraId="0D2BFABC" w14:textId="77777777" w:rsidR="00F44CBC" w:rsidRPr="00F44CBC" w:rsidRDefault="00F44CBC" w:rsidP="00F44CBC">
      <w:pPr>
        <w:spacing w:after="240" w:line="240" w:lineRule="auto"/>
        <w:rPr>
          <w:rFonts w:ascii="Times New Roman" w:eastAsia="Times New Roman" w:hAnsi="Times New Roman" w:cs="Times New Roman"/>
          <w:kern w:val="0"/>
          <w:sz w:val="24"/>
          <w:szCs w:val="24"/>
          <w14:ligatures w14:val="none"/>
        </w:rPr>
      </w:pPr>
    </w:p>
    <w:p w14:paraId="6B3EAB1A"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4"/>
          <w:szCs w:val="24"/>
          <w14:ligatures w14:val="none"/>
        </w:rPr>
        <w:t>Wednesday November 1, 2023, 7:00 - 8:00 pm</w:t>
      </w:r>
    </w:p>
    <w:p w14:paraId="5E36F61C"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4"/>
          <w:szCs w:val="24"/>
          <w14:ligatures w14:val="none"/>
        </w:rPr>
        <w:t xml:space="preserve">Bicknell Town Hall, </w:t>
      </w:r>
      <w:r w:rsidRPr="00F44CBC">
        <w:rPr>
          <w:rFonts w:ascii="Arial" w:eastAsia="Times New Roman" w:hAnsi="Arial" w:cs="Arial"/>
          <w:color w:val="000000"/>
          <w:kern w:val="0"/>
          <w:sz w:val="24"/>
          <w:szCs w:val="24"/>
          <w:shd w:val="clear" w:color="auto" w:fill="FFFFFF"/>
          <w14:ligatures w14:val="none"/>
        </w:rPr>
        <w:t>64 West 100 North Bicknell UT</w:t>
      </w:r>
    </w:p>
    <w:p w14:paraId="7D8C7F23"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11F6624C"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4"/>
          <w:szCs w:val="24"/>
          <w14:ligatures w14:val="none"/>
        </w:rPr>
        <w:t>Welcome and Call to order</w:t>
      </w:r>
      <w:r w:rsidRPr="00F44CBC">
        <w:rPr>
          <w:rFonts w:ascii="Arial" w:eastAsia="Times New Roman" w:hAnsi="Arial" w:cs="Arial"/>
          <w:color w:val="000000"/>
          <w:kern w:val="0"/>
          <w:sz w:val="24"/>
          <w:szCs w:val="24"/>
          <w14:ligatures w14:val="none"/>
        </w:rPr>
        <w:t xml:space="preserve"> @ 7:00: Ellen Anderson</w:t>
      </w:r>
    </w:p>
    <w:p w14:paraId="3425A566"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2346FED7"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4"/>
          <w:szCs w:val="24"/>
          <w14:ligatures w14:val="none"/>
        </w:rPr>
        <w:t>Roll Call</w:t>
      </w:r>
      <w:r w:rsidRPr="00F44CBC">
        <w:rPr>
          <w:rFonts w:ascii="Arial" w:eastAsia="Times New Roman" w:hAnsi="Arial" w:cs="Arial"/>
          <w:color w:val="000000"/>
          <w:kern w:val="0"/>
          <w:sz w:val="24"/>
          <w:szCs w:val="24"/>
          <w14:ligatures w14:val="none"/>
        </w:rPr>
        <w:t>: Jim Dudleston, Gregg Anderson, Katie McDonald, JaCee Johnson, Ellen Anderson present.  Tony Jackson, Rhett Jackson absent. </w:t>
      </w:r>
    </w:p>
    <w:p w14:paraId="75AB4E33"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47E40166"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4"/>
          <w:szCs w:val="24"/>
          <w14:ligatures w14:val="none"/>
        </w:rPr>
        <w:t>A motion was made by Gregg Anderson to approve the October minutes.  The motion was seconded by Katie and unanimously approved.</w:t>
      </w:r>
    </w:p>
    <w:p w14:paraId="11167E19"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26F048F8"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4"/>
          <w:szCs w:val="24"/>
          <w14:ligatures w14:val="none"/>
        </w:rPr>
        <w:t>Ellen started with a few updates:  </w:t>
      </w:r>
    </w:p>
    <w:p w14:paraId="6B2C1B4C"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16201E36"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4"/>
          <w:szCs w:val="24"/>
          <w14:ligatures w14:val="none"/>
        </w:rPr>
        <w:t>The Town Council is hopefully going to approve the Building and Zoning Ordinance tomorrow night with a couple additional changes:</w:t>
      </w:r>
    </w:p>
    <w:p w14:paraId="6933AACC"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7E2C4240"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4"/>
          <w:szCs w:val="24"/>
          <w14:ligatures w14:val="none"/>
        </w:rPr>
        <w:tab/>
        <w:t>Under section 9: A. 2. </w:t>
      </w:r>
    </w:p>
    <w:p w14:paraId="02F691E8" w14:textId="77777777" w:rsidR="00F44CBC" w:rsidRPr="00F44CBC" w:rsidRDefault="00F44CBC" w:rsidP="00F44CBC">
      <w:pPr>
        <w:numPr>
          <w:ilvl w:val="0"/>
          <w:numId w:val="13"/>
        </w:numPr>
        <w:spacing w:after="0" w:line="240" w:lineRule="auto"/>
        <w:textAlignment w:val="baseline"/>
        <w:rPr>
          <w:rFonts w:ascii="Arial" w:eastAsia="Times New Roman" w:hAnsi="Arial" w:cs="Arial"/>
          <w:color w:val="000000"/>
          <w:kern w:val="0"/>
          <w:sz w:val="24"/>
          <w:szCs w:val="24"/>
          <w14:ligatures w14:val="none"/>
        </w:rPr>
      </w:pPr>
      <w:r w:rsidRPr="00F44CBC">
        <w:rPr>
          <w:rFonts w:ascii="Arial" w:eastAsia="Times New Roman" w:hAnsi="Arial" w:cs="Arial"/>
          <w:color w:val="000000"/>
          <w:kern w:val="0"/>
          <w:sz w:val="24"/>
          <w:szCs w:val="24"/>
          <w14:ligatures w14:val="none"/>
        </w:rPr>
        <w:t> External property lines:</w:t>
      </w:r>
    </w:p>
    <w:p w14:paraId="4848201C" w14:textId="77777777" w:rsidR="00F44CBC" w:rsidRPr="00F44CBC" w:rsidRDefault="00F44CBC" w:rsidP="00F44CBC">
      <w:pPr>
        <w:numPr>
          <w:ilvl w:val="0"/>
          <w:numId w:val="14"/>
        </w:numPr>
        <w:spacing w:after="0" w:line="240" w:lineRule="auto"/>
        <w:ind w:left="2160"/>
        <w:textAlignment w:val="baseline"/>
        <w:rPr>
          <w:rFonts w:ascii="Arial" w:eastAsia="Times New Roman" w:hAnsi="Arial" w:cs="Arial"/>
          <w:color w:val="000000"/>
          <w:kern w:val="0"/>
          <w:sz w:val="24"/>
          <w:szCs w:val="24"/>
          <w14:ligatures w14:val="none"/>
        </w:rPr>
      </w:pPr>
      <w:r w:rsidRPr="00F44CBC">
        <w:rPr>
          <w:rFonts w:ascii="Arial" w:eastAsia="Times New Roman" w:hAnsi="Arial" w:cs="Arial"/>
          <w:color w:val="000000"/>
          <w:kern w:val="0"/>
          <w:sz w:val="24"/>
          <w:szCs w:val="24"/>
          <w14:ligatures w14:val="none"/>
        </w:rPr>
        <w:t> A minimum of twelve (12’) feet from a property to the dwelling/building if the dwelling/building has any kind of door or entrance on the external property side.  </w:t>
      </w:r>
    </w:p>
    <w:p w14:paraId="1204C02C" w14:textId="77777777" w:rsidR="00F44CBC" w:rsidRPr="00F44CBC" w:rsidRDefault="00F44CBC" w:rsidP="00F44CBC">
      <w:pPr>
        <w:numPr>
          <w:ilvl w:val="0"/>
          <w:numId w:val="14"/>
        </w:numPr>
        <w:spacing w:after="0" w:line="240" w:lineRule="auto"/>
        <w:ind w:left="2160"/>
        <w:textAlignment w:val="baseline"/>
        <w:rPr>
          <w:rFonts w:ascii="Arial" w:eastAsia="Times New Roman" w:hAnsi="Arial" w:cs="Arial"/>
          <w:color w:val="000000"/>
          <w:kern w:val="0"/>
          <w:sz w:val="24"/>
          <w:szCs w:val="24"/>
          <w14:ligatures w14:val="none"/>
        </w:rPr>
      </w:pPr>
      <w:r w:rsidRPr="00F44CBC">
        <w:rPr>
          <w:rFonts w:ascii="Arial" w:eastAsia="Times New Roman" w:hAnsi="Arial" w:cs="Arial"/>
          <w:color w:val="000000"/>
          <w:kern w:val="0"/>
          <w:sz w:val="24"/>
          <w:szCs w:val="24"/>
          <w14:ligatures w14:val="none"/>
        </w:rPr>
        <w:t>A minimum of six (6’) feet from a property to the dwelling/building if the dwelling/building does not have a door or entrance on the external property side.</w:t>
      </w:r>
    </w:p>
    <w:p w14:paraId="5B4D14FA" w14:textId="77777777" w:rsidR="00F44CBC" w:rsidRPr="00F44CBC" w:rsidRDefault="00F44CBC" w:rsidP="00F44CBC">
      <w:pPr>
        <w:spacing w:after="0" w:line="240" w:lineRule="auto"/>
        <w:ind w:firstLine="720"/>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4"/>
          <w:szCs w:val="24"/>
          <w14:ligatures w14:val="none"/>
        </w:rPr>
        <w:t> b.  Internal property lines:  A minimum of six (6’) feet from the property line.  An ‘internal ‘ property line is determined by a shared boundary with another property that is not a public road. </w:t>
      </w:r>
    </w:p>
    <w:p w14:paraId="372A8F1E"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76C132A2"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4"/>
          <w:szCs w:val="24"/>
          <w14:ligatures w14:val="none"/>
        </w:rPr>
        <w:tab/>
      </w:r>
      <w:r w:rsidRPr="00F44CBC">
        <w:rPr>
          <w:rFonts w:ascii="Arial" w:eastAsia="Times New Roman" w:hAnsi="Arial" w:cs="Arial"/>
          <w:color w:val="000000"/>
          <w:kern w:val="0"/>
          <w:sz w:val="24"/>
          <w:szCs w:val="24"/>
          <w14:ligatures w14:val="none"/>
        </w:rPr>
        <w:t>Under section 7:  E and F were added.</w:t>
      </w:r>
    </w:p>
    <w:p w14:paraId="6CC06EA7"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4"/>
          <w:szCs w:val="24"/>
          <w14:ligatures w14:val="none"/>
        </w:rPr>
        <w:tab/>
      </w:r>
      <w:r w:rsidRPr="00F44CBC">
        <w:rPr>
          <w:rFonts w:ascii="Arial" w:eastAsia="Times New Roman" w:hAnsi="Arial" w:cs="Arial"/>
          <w:b/>
          <w:bCs/>
          <w:color w:val="000000"/>
          <w:kern w:val="0"/>
          <w:sz w:val="24"/>
          <w:szCs w:val="24"/>
          <w14:ligatures w14:val="none"/>
        </w:rPr>
        <w:tab/>
      </w:r>
      <w:r w:rsidRPr="00F44CBC">
        <w:rPr>
          <w:rFonts w:ascii="Arial" w:eastAsia="Times New Roman" w:hAnsi="Arial" w:cs="Arial"/>
          <w:color w:val="000000"/>
          <w:kern w:val="0"/>
          <w:sz w:val="24"/>
          <w:szCs w:val="24"/>
          <w14:ligatures w14:val="none"/>
        </w:rPr>
        <w:t>E.  If the work authorized by a building permit has not been started within 6 months after the date of issuance, if construction or work is suspended or abandoned for a period of 6 months, or changes have been made from the original permit, then the permit will become null and void.  The applicant may apply for an extension of time for the permit before it has expired.  The time extension may be granted at the sole discretion of the town upon showing good cause.  No refunds will be given for expired permits;  however, there are no new fees associated with a permit extension as long as there are no changes to the original permit.  If a permit and/or extension has expired or changes have been made from the original, a new permit must be applied for, and be subject to the regulations and fees associated with the new permit.</w:t>
      </w:r>
    </w:p>
    <w:p w14:paraId="2D61FBF9" w14:textId="77777777" w:rsidR="00F44CBC" w:rsidRPr="00F44CBC" w:rsidRDefault="00F44CBC" w:rsidP="00F44CBC">
      <w:pPr>
        <w:spacing w:after="0" w:line="240" w:lineRule="auto"/>
        <w:ind w:left="720" w:firstLine="720"/>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4"/>
          <w:szCs w:val="24"/>
          <w14:ligatures w14:val="none"/>
        </w:rPr>
        <w:t>F.  All building permits are specific to the property listed in the original application.  If the building is moved to another piece of property or if any changes have been made in the setbacks regarding the position of the building on the property then the permit will become null and void.  </w:t>
      </w:r>
    </w:p>
    <w:p w14:paraId="230C4A50"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298BA426"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4"/>
          <w:szCs w:val="24"/>
          <w14:ligatures w14:val="none"/>
        </w:rPr>
        <w:lastRenderedPageBreak/>
        <w:t>Ellen stated that E and F were added after the problems with the property on the west end of 100 N.  A permit has still not been issued for that construction and Eric, the building inspector, has not signed off and Eric is handling it and taking steps to ensure a permit is applied for.</w:t>
      </w:r>
    </w:p>
    <w:p w14:paraId="6D250B69" w14:textId="77777777" w:rsidR="00F44CBC" w:rsidRPr="00F44CBC" w:rsidRDefault="00F44CBC" w:rsidP="00F44CBC">
      <w:pPr>
        <w:spacing w:after="240" w:line="240" w:lineRule="auto"/>
        <w:rPr>
          <w:rFonts w:ascii="Times New Roman" w:eastAsia="Times New Roman" w:hAnsi="Times New Roman" w:cs="Times New Roman"/>
          <w:kern w:val="0"/>
          <w:sz w:val="24"/>
          <w:szCs w:val="24"/>
          <w14:ligatures w14:val="none"/>
        </w:rPr>
      </w:pPr>
    </w:p>
    <w:p w14:paraId="4133B188"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4"/>
          <w:szCs w:val="24"/>
          <w14:ligatures w14:val="none"/>
        </w:rPr>
        <w:t>First item on the agenda is the ADU Ordinance.</w:t>
      </w:r>
    </w:p>
    <w:p w14:paraId="772E87F1"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4F222B13"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4"/>
          <w:szCs w:val="24"/>
          <w14:ligatures w14:val="none"/>
        </w:rPr>
        <w:t>We had made it down to Section 4 in our previous meeting.</w:t>
      </w:r>
    </w:p>
    <w:p w14:paraId="6CDB61EC"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37489BC3"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4"/>
          <w:szCs w:val="24"/>
          <w14:ligatures w14:val="none"/>
        </w:rPr>
        <w:t>There was one comment from Katie back in section 1 that has still not been resolved dealing with a definition for external or detached ADU.   The thought from our last meeting was that this was covered in the existing text.  Katie agreed to mark it ‘resolved’ and we would watch for inconsistencies in the document.   Jim also had a comment about defining an external ADU (EADU) or detached ADU.   It was decided that ‘detached’ will be used not external. </w:t>
      </w:r>
    </w:p>
    <w:p w14:paraId="778C5995"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5E55AFD9"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222222"/>
          <w:kern w:val="0"/>
          <w:sz w:val="26"/>
          <w:szCs w:val="26"/>
          <w14:ligatures w14:val="none"/>
        </w:rPr>
        <w:t>Section 4.</w:t>
      </w:r>
    </w:p>
    <w:p w14:paraId="18480874" w14:textId="77777777" w:rsidR="00F44CBC" w:rsidRPr="00F44CBC" w:rsidRDefault="00F44CBC" w:rsidP="00F44CBC">
      <w:pPr>
        <w:spacing w:after="0" w:line="240" w:lineRule="auto"/>
        <w:ind w:left="720"/>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  (a.) Was deleted because it made no sense for Bicknell having just 2 zones both of which allowed for residential dwellings.</w:t>
      </w:r>
    </w:p>
    <w:p w14:paraId="1E78FDD8"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22AF07AF" w14:textId="77777777" w:rsidR="00F44CBC" w:rsidRPr="00F44CBC" w:rsidRDefault="00F44CBC" w:rsidP="00F44CBC">
      <w:pPr>
        <w:spacing w:after="0" w:line="240" w:lineRule="auto"/>
        <w:ind w:left="720"/>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Licensing was also removed as a requirement because we have no licensing requirement for a rental.</w:t>
      </w:r>
    </w:p>
    <w:p w14:paraId="2FC6919A"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6FCC904B" w14:textId="77777777" w:rsidR="00F44CBC" w:rsidRPr="00F44CBC" w:rsidRDefault="00F44CBC" w:rsidP="00F44CBC">
      <w:pPr>
        <w:spacing w:after="0" w:line="240" w:lineRule="auto"/>
        <w:ind w:left="720"/>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An addition was made to d. To require enough space to replace a septic system should it fail.</w:t>
      </w:r>
    </w:p>
    <w:p w14:paraId="15C874CD"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46359126"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6"/>
          <w:szCs w:val="26"/>
          <w14:ligatures w14:val="none"/>
        </w:rPr>
        <w:t>The finished section 4 reads:</w:t>
      </w:r>
    </w:p>
    <w:p w14:paraId="100E2CE2"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0ADC97EC"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000000"/>
          <w:kern w:val="0"/>
          <w:sz w:val="26"/>
          <w:szCs w:val="26"/>
          <w14:ligatures w14:val="none"/>
        </w:rPr>
        <w:t>Section 4. Prohibited locations of ADUs</w:t>
      </w:r>
    </w:p>
    <w:p w14:paraId="4BBCE697"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Times New Roman" w:eastAsia="Times New Roman" w:hAnsi="Times New Roman" w:cs="Times New Roman"/>
          <w:kern w:val="0"/>
          <w:sz w:val="24"/>
          <w:szCs w:val="24"/>
          <w14:ligatures w14:val="none"/>
        </w:rPr>
        <w:br/>
      </w:r>
    </w:p>
    <w:p w14:paraId="28E70EFD" w14:textId="77777777" w:rsidR="00F44CBC" w:rsidRPr="00F44CBC" w:rsidRDefault="00F44CBC" w:rsidP="00F44CBC">
      <w:pPr>
        <w:numPr>
          <w:ilvl w:val="0"/>
          <w:numId w:val="15"/>
        </w:numPr>
        <w:spacing w:after="0" w:line="240" w:lineRule="auto"/>
        <w:textAlignment w:val="baseline"/>
        <w:rPr>
          <w:rFonts w:ascii="Arial" w:eastAsia="Times New Roman" w:hAnsi="Arial" w:cs="Arial"/>
          <w:color w:val="000000"/>
          <w:kern w:val="0"/>
          <w:sz w:val="26"/>
          <w:szCs w:val="26"/>
          <w14:ligatures w14:val="none"/>
        </w:rPr>
      </w:pPr>
      <w:r w:rsidRPr="00F44CBC">
        <w:rPr>
          <w:rFonts w:ascii="Arial" w:eastAsia="Times New Roman" w:hAnsi="Arial" w:cs="Arial"/>
          <w:color w:val="000000"/>
          <w:kern w:val="0"/>
          <w:sz w:val="26"/>
          <w:szCs w:val="26"/>
          <w14:ligatures w14:val="none"/>
        </w:rPr>
        <w:t>The following locations are prohibited from the use of ADUs:</w:t>
      </w:r>
    </w:p>
    <w:p w14:paraId="4336DB79" w14:textId="77777777" w:rsidR="00F44CBC" w:rsidRPr="00F44CBC" w:rsidRDefault="00F44CBC" w:rsidP="00F44CBC">
      <w:pPr>
        <w:numPr>
          <w:ilvl w:val="1"/>
          <w:numId w:val="16"/>
        </w:numPr>
        <w:spacing w:after="0" w:line="240" w:lineRule="auto"/>
        <w:textAlignment w:val="baseline"/>
        <w:rPr>
          <w:rFonts w:ascii="Arial" w:eastAsia="Times New Roman" w:hAnsi="Arial" w:cs="Arial"/>
          <w:color w:val="000000"/>
          <w:kern w:val="0"/>
          <w:sz w:val="26"/>
          <w:szCs w:val="26"/>
          <w14:ligatures w14:val="none"/>
        </w:rPr>
      </w:pPr>
      <w:r w:rsidRPr="00F44CBC">
        <w:rPr>
          <w:rFonts w:ascii="Arial" w:eastAsia="Times New Roman" w:hAnsi="Arial" w:cs="Arial"/>
          <w:color w:val="000000"/>
          <w:kern w:val="0"/>
          <w:sz w:val="26"/>
          <w:szCs w:val="26"/>
          <w14:ligatures w14:val="none"/>
        </w:rPr>
        <w:t>A property that does not comply with the requirements of this code in order to obtain an ADU designation on their property, including failing to obtain a permit.</w:t>
      </w:r>
    </w:p>
    <w:p w14:paraId="2A8E8973" w14:textId="77777777" w:rsidR="00F44CBC" w:rsidRPr="00F44CBC" w:rsidRDefault="00F44CBC" w:rsidP="00F44CBC">
      <w:pPr>
        <w:numPr>
          <w:ilvl w:val="1"/>
          <w:numId w:val="17"/>
        </w:numPr>
        <w:spacing w:after="0" w:line="240" w:lineRule="auto"/>
        <w:textAlignment w:val="baseline"/>
        <w:rPr>
          <w:rFonts w:ascii="Arial" w:eastAsia="Times New Roman" w:hAnsi="Arial" w:cs="Arial"/>
          <w:color w:val="000000"/>
          <w:kern w:val="0"/>
          <w:sz w:val="26"/>
          <w:szCs w:val="26"/>
          <w14:ligatures w14:val="none"/>
        </w:rPr>
      </w:pPr>
      <w:r w:rsidRPr="00F44CBC">
        <w:rPr>
          <w:rFonts w:ascii="Arial" w:eastAsia="Times New Roman" w:hAnsi="Arial" w:cs="Arial"/>
          <w:color w:val="000000"/>
          <w:kern w:val="0"/>
          <w:sz w:val="26"/>
          <w:szCs w:val="26"/>
          <w14:ligatures w14:val="none"/>
        </w:rPr>
        <w:t>Any portion of a mobile home.</w:t>
      </w:r>
    </w:p>
    <w:p w14:paraId="393BC81C" w14:textId="77777777" w:rsidR="00F44CBC" w:rsidRPr="00F44CBC" w:rsidRDefault="00F44CBC" w:rsidP="00F44CBC">
      <w:pPr>
        <w:numPr>
          <w:ilvl w:val="1"/>
          <w:numId w:val="18"/>
        </w:numPr>
        <w:spacing w:after="0" w:line="240" w:lineRule="auto"/>
        <w:textAlignment w:val="baseline"/>
        <w:rPr>
          <w:rFonts w:ascii="Arial" w:eastAsia="Times New Roman" w:hAnsi="Arial" w:cs="Arial"/>
          <w:color w:val="000000"/>
          <w:kern w:val="0"/>
          <w:sz w:val="26"/>
          <w:szCs w:val="26"/>
          <w14:ligatures w14:val="none"/>
        </w:rPr>
      </w:pPr>
      <w:r w:rsidRPr="00F44CBC">
        <w:rPr>
          <w:rFonts w:ascii="Arial" w:eastAsia="Times New Roman" w:hAnsi="Arial" w:cs="Arial"/>
          <w:color w:val="000000"/>
          <w:kern w:val="0"/>
          <w:sz w:val="26"/>
          <w:szCs w:val="26"/>
          <w14:ligatures w14:val="none"/>
        </w:rPr>
        <w:t>A single-family dwelling that is not owner occupied as the owner's primary residence.</w:t>
      </w:r>
    </w:p>
    <w:p w14:paraId="4578B104" w14:textId="77777777" w:rsidR="00F44CBC" w:rsidRPr="00F44CBC" w:rsidRDefault="00F44CBC" w:rsidP="00F44CBC">
      <w:pPr>
        <w:numPr>
          <w:ilvl w:val="1"/>
          <w:numId w:val="19"/>
        </w:numPr>
        <w:spacing w:after="0" w:line="240" w:lineRule="auto"/>
        <w:textAlignment w:val="baseline"/>
        <w:rPr>
          <w:rFonts w:ascii="Arial" w:eastAsia="Times New Roman" w:hAnsi="Arial" w:cs="Arial"/>
          <w:color w:val="000000"/>
          <w:kern w:val="0"/>
          <w:sz w:val="26"/>
          <w:szCs w:val="26"/>
          <w14:ligatures w14:val="none"/>
        </w:rPr>
      </w:pPr>
      <w:r w:rsidRPr="00F44CBC">
        <w:rPr>
          <w:rFonts w:ascii="Arial" w:eastAsia="Times New Roman" w:hAnsi="Arial" w:cs="Arial"/>
          <w:color w:val="000000"/>
          <w:kern w:val="0"/>
          <w:sz w:val="26"/>
          <w:szCs w:val="26"/>
          <w14:ligatures w14:val="none"/>
        </w:rPr>
        <w:t>A property with a failing septic tank or system, a septic system that does not comply with health code regulations, is not large enough for the existing home and an ADU, or does not have sufficient space to replace a septic system if the current system fails.</w:t>
      </w:r>
    </w:p>
    <w:p w14:paraId="422BADEF" w14:textId="77777777" w:rsidR="00F44CBC" w:rsidRPr="00F44CBC" w:rsidRDefault="00F44CBC" w:rsidP="00F44CBC">
      <w:pPr>
        <w:numPr>
          <w:ilvl w:val="1"/>
          <w:numId w:val="20"/>
        </w:numPr>
        <w:spacing w:after="0" w:line="240" w:lineRule="auto"/>
        <w:textAlignment w:val="baseline"/>
        <w:rPr>
          <w:rFonts w:ascii="Arial" w:eastAsia="Times New Roman" w:hAnsi="Arial" w:cs="Arial"/>
          <w:color w:val="000000"/>
          <w:kern w:val="0"/>
          <w:sz w:val="26"/>
          <w:szCs w:val="26"/>
          <w14:ligatures w14:val="none"/>
        </w:rPr>
      </w:pPr>
      <w:r w:rsidRPr="00F44CBC">
        <w:rPr>
          <w:rFonts w:ascii="Arial" w:eastAsia="Times New Roman" w:hAnsi="Arial" w:cs="Arial"/>
          <w:color w:val="000000"/>
          <w:kern w:val="0"/>
          <w:sz w:val="26"/>
          <w:szCs w:val="26"/>
          <w14:ligatures w14:val="none"/>
        </w:rPr>
        <w:t>A lot containing less than ½ acre, (21,780 square feet).</w:t>
      </w:r>
    </w:p>
    <w:p w14:paraId="20BC8E9B" w14:textId="77777777" w:rsidR="00F44CBC" w:rsidRPr="00F44CBC" w:rsidRDefault="00F44CBC" w:rsidP="00F44CBC">
      <w:pPr>
        <w:numPr>
          <w:ilvl w:val="1"/>
          <w:numId w:val="21"/>
        </w:numPr>
        <w:spacing w:after="0" w:line="240" w:lineRule="auto"/>
        <w:textAlignment w:val="baseline"/>
        <w:rPr>
          <w:rFonts w:ascii="Arial" w:eastAsia="Times New Roman" w:hAnsi="Arial" w:cs="Arial"/>
          <w:color w:val="000000"/>
          <w:kern w:val="0"/>
          <w:sz w:val="26"/>
          <w:szCs w:val="26"/>
          <w14:ligatures w14:val="none"/>
        </w:rPr>
      </w:pPr>
      <w:r w:rsidRPr="00F44CBC">
        <w:rPr>
          <w:rFonts w:ascii="Arial" w:eastAsia="Times New Roman" w:hAnsi="Arial" w:cs="Arial"/>
          <w:color w:val="000000"/>
          <w:kern w:val="0"/>
          <w:sz w:val="26"/>
          <w:szCs w:val="26"/>
          <w14:ligatures w14:val="none"/>
        </w:rPr>
        <w:lastRenderedPageBreak/>
        <w:t>Any and all areas of an ADU that is rented for less than 30 consecutive days</w:t>
      </w:r>
    </w:p>
    <w:p w14:paraId="7CB78F8B"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290AD364"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222222"/>
          <w:kern w:val="0"/>
          <w:sz w:val="26"/>
          <w:szCs w:val="26"/>
          <w14:ligatures w14:val="none"/>
        </w:rPr>
        <w:t>Section 5.</w:t>
      </w:r>
    </w:p>
    <w:p w14:paraId="1F5C5B9A"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ab/>
        <w:t>States that an application needs to be filed so we need to create an application.</w:t>
      </w:r>
    </w:p>
    <w:p w14:paraId="3532E63B" w14:textId="77777777" w:rsidR="00F44CBC" w:rsidRPr="00F44CBC" w:rsidRDefault="00F44CBC" w:rsidP="00F44CBC">
      <w:pPr>
        <w:spacing w:after="240" w:line="240" w:lineRule="auto"/>
        <w:rPr>
          <w:rFonts w:ascii="Times New Roman" w:eastAsia="Times New Roman" w:hAnsi="Times New Roman" w:cs="Times New Roman"/>
          <w:kern w:val="0"/>
          <w:sz w:val="24"/>
          <w:szCs w:val="24"/>
          <w14:ligatures w14:val="none"/>
        </w:rPr>
      </w:pPr>
    </w:p>
    <w:p w14:paraId="7CB7439D"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A motion was made by JaCee to forward the ADU Ordinance to the Town Council for Approval.  The motion was seconded by Katie.  A roll call vote followed:</w:t>
      </w:r>
    </w:p>
    <w:p w14:paraId="1DA9EA9A" w14:textId="77777777" w:rsidR="00F44CBC" w:rsidRPr="00F44CBC" w:rsidRDefault="00F44CBC" w:rsidP="00F44CBC">
      <w:pPr>
        <w:spacing w:after="0" w:line="240" w:lineRule="auto"/>
        <w:ind w:firstLine="720"/>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Jim Yes</w:t>
      </w:r>
    </w:p>
    <w:p w14:paraId="1A99E67F" w14:textId="77777777" w:rsidR="00F44CBC" w:rsidRPr="00F44CBC" w:rsidRDefault="00F44CBC" w:rsidP="00F44CBC">
      <w:pPr>
        <w:spacing w:after="0" w:line="240" w:lineRule="auto"/>
        <w:ind w:firstLine="720"/>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Gregg Yes</w:t>
      </w:r>
    </w:p>
    <w:p w14:paraId="1D2C53BB" w14:textId="77777777" w:rsidR="00F44CBC" w:rsidRPr="00F44CBC" w:rsidRDefault="00F44CBC" w:rsidP="00F44CBC">
      <w:pPr>
        <w:spacing w:after="0" w:line="240" w:lineRule="auto"/>
        <w:ind w:firstLine="720"/>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JaCee Yes</w:t>
      </w:r>
    </w:p>
    <w:p w14:paraId="4894EC3F" w14:textId="77777777" w:rsidR="00F44CBC" w:rsidRPr="00F44CBC" w:rsidRDefault="00F44CBC" w:rsidP="00F44CBC">
      <w:pPr>
        <w:spacing w:after="0" w:line="240" w:lineRule="auto"/>
        <w:ind w:firstLine="720"/>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Katie Yes</w:t>
      </w:r>
    </w:p>
    <w:p w14:paraId="14381963" w14:textId="77777777" w:rsidR="00F44CBC" w:rsidRPr="00F44CBC" w:rsidRDefault="00F44CBC" w:rsidP="00F44CBC">
      <w:pPr>
        <w:spacing w:after="0" w:line="240" w:lineRule="auto"/>
        <w:ind w:firstLine="720"/>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Ellen Yes </w:t>
      </w:r>
    </w:p>
    <w:p w14:paraId="47329F0A"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ab/>
      </w:r>
    </w:p>
    <w:p w14:paraId="7C0C25AF"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b/>
          <w:bCs/>
          <w:color w:val="222222"/>
          <w:kern w:val="0"/>
          <w:sz w:val="26"/>
          <w:szCs w:val="26"/>
          <w14:ligatures w14:val="none"/>
        </w:rPr>
        <w:t>The next thing on the agenda was the General Plan:</w:t>
      </w:r>
    </w:p>
    <w:p w14:paraId="790EAFB8"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     The town council discussed the General Plan in their work meeting.  An update is due in 2024.  The town council feels very comfortable with their existing General Plan with just a few amendments.  They do not anticipate major changes.</w:t>
      </w:r>
    </w:p>
    <w:p w14:paraId="43781D81"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7210BAD9"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The planning and zoning commission needs to go through their goals and make any recommendations.  Ellen shared the working document from the town council meeting.  Steve has taken notes in the document (in red) of items discussed and potential changes.       </w:t>
      </w:r>
    </w:p>
    <w:p w14:paraId="06DD00A2"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676E0C9C"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The ‘Goals’ will remain the same but action steps need to be updated and adjusted.   Steve did recommend a new Financial &amp; Operation Goal be added.</w:t>
      </w:r>
    </w:p>
    <w:p w14:paraId="03E69AA3"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40C70A26"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222222"/>
          <w:kern w:val="0"/>
          <w:sz w:val="26"/>
          <w:szCs w:val="26"/>
          <w14:ligatures w14:val="none"/>
        </w:rPr>
        <w:t>Ellen asked that all P&amp;Z members read through and make comments on the shared document prior to our next meeting. </w:t>
      </w:r>
    </w:p>
    <w:p w14:paraId="2EDD30B8"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p>
    <w:p w14:paraId="76A2BF4F"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6"/>
          <w:szCs w:val="26"/>
          <w14:ligatures w14:val="none"/>
        </w:rPr>
        <w:t>The Planning Commission needs to have a public hearing to solicit public comment on the General Plan.  The decision was made to have the hearing just prior to our December regular meeting on December 5th.  Jim will coordinate with the town offices to get notices advertised.  </w:t>
      </w:r>
    </w:p>
    <w:p w14:paraId="5C9229F1" w14:textId="77777777" w:rsidR="00F44CBC" w:rsidRPr="00F44CBC" w:rsidRDefault="00F44CBC" w:rsidP="00F44CBC">
      <w:pPr>
        <w:spacing w:after="240" w:line="240" w:lineRule="auto"/>
        <w:rPr>
          <w:rFonts w:ascii="Times New Roman" w:eastAsia="Times New Roman" w:hAnsi="Times New Roman" w:cs="Times New Roman"/>
          <w:kern w:val="0"/>
          <w:sz w:val="24"/>
          <w:szCs w:val="24"/>
          <w14:ligatures w14:val="none"/>
        </w:rPr>
      </w:pPr>
    </w:p>
    <w:p w14:paraId="6E5FE049"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6"/>
          <w:szCs w:val="26"/>
          <w14:ligatures w14:val="none"/>
        </w:rPr>
        <w:t>A motion was made to adjourn.  Based on a unanimous vote, the meeting was adjourned.  </w:t>
      </w:r>
    </w:p>
    <w:p w14:paraId="6F2C3346" w14:textId="77777777" w:rsidR="00F44CBC" w:rsidRPr="00F44CBC" w:rsidRDefault="00F44CBC" w:rsidP="00F44CBC">
      <w:pPr>
        <w:spacing w:after="0" w:line="240" w:lineRule="auto"/>
        <w:rPr>
          <w:rFonts w:ascii="Times New Roman" w:eastAsia="Times New Roman" w:hAnsi="Times New Roman" w:cs="Times New Roman"/>
          <w:kern w:val="0"/>
          <w:sz w:val="24"/>
          <w:szCs w:val="24"/>
          <w14:ligatures w14:val="none"/>
        </w:rPr>
      </w:pPr>
      <w:r w:rsidRPr="00F44CBC">
        <w:rPr>
          <w:rFonts w:ascii="Arial" w:eastAsia="Times New Roman" w:hAnsi="Arial" w:cs="Arial"/>
          <w:color w:val="000000"/>
          <w:kern w:val="0"/>
          <w:sz w:val="26"/>
          <w:szCs w:val="26"/>
          <w14:ligatures w14:val="none"/>
        </w:rPr>
        <w:t>       </w:t>
      </w:r>
    </w:p>
    <w:p w14:paraId="6BEF32DA" w14:textId="6E642C15" w:rsidR="003C01B5" w:rsidRPr="004D0844" w:rsidRDefault="003C01B5" w:rsidP="004D0844">
      <w:pPr>
        <w:spacing w:after="0" w:line="240" w:lineRule="auto"/>
        <w:rPr>
          <w:rFonts w:ascii="Times New Roman" w:eastAsia="Times New Roman" w:hAnsi="Times New Roman" w:cs="Times New Roman"/>
          <w:kern w:val="0"/>
          <w:sz w:val="24"/>
          <w:szCs w:val="24"/>
          <w14:ligatures w14:val="none"/>
        </w:rPr>
      </w:pPr>
    </w:p>
    <w:sectPr w:rsidR="003C01B5" w:rsidRPr="004D0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805469"/>
    <w:multiLevelType w:val="multilevel"/>
    <w:tmpl w:val="FAD0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EB0173"/>
    <w:multiLevelType w:val="multilevel"/>
    <w:tmpl w:val="73EC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2F121B"/>
    <w:multiLevelType w:val="multilevel"/>
    <w:tmpl w:val="A32C6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2"/>
  </w:num>
  <w:num w:numId="2" w16cid:durableId="2132430056">
    <w:abstractNumId w:val="13"/>
  </w:num>
  <w:num w:numId="3" w16cid:durableId="1654482170">
    <w:abstractNumId w:val="0"/>
  </w:num>
  <w:num w:numId="4" w16cid:durableId="1149516602">
    <w:abstractNumId w:val="1"/>
  </w:num>
  <w:num w:numId="5" w16cid:durableId="673462440">
    <w:abstractNumId w:val="10"/>
  </w:num>
  <w:num w:numId="6" w16cid:durableId="1877425464">
    <w:abstractNumId w:val="7"/>
  </w:num>
  <w:num w:numId="7" w16cid:durableId="2114739424">
    <w:abstractNumId w:val="8"/>
  </w:num>
  <w:num w:numId="8" w16cid:durableId="2096701204">
    <w:abstractNumId w:val="6"/>
  </w:num>
  <w:num w:numId="9" w16cid:durableId="731807725">
    <w:abstractNumId w:val="11"/>
  </w:num>
  <w:num w:numId="10" w16cid:durableId="506821898">
    <w:abstractNumId w:val="14"/>
  </w:num>
  <w:num w:numId="11" w16cid:durableId="1648166152">
    <w:abstractNumId w:val="9"/>
  </w:num>
  <w:num w:numId="12" w16cid:durableId="1853763434">
    <w:abstractNumId w:val="4"/>
  </w:num>
  <w:num w:numId="13" w16cid:durableId="1819954009">
    <w:abstractNumId w:val="5"/>
    <w:lvlOverride w:ilvl="0">
      <w:lvl w:ilvl="0">
        <w:numFmt w:val="lowerLetter"/>
        <w:lvlText w:val="%1."/>
        <w:lvlJc w:val="left"/>
      </w:lvl>
    </w:lvlOverride>
  </w:num>
  <w:num w:numId="14" w16cid:durableId="763846544">
    <w:abstractNumId w:val="3"/>
  </w:num>
  <w:num w:numId="15" w16cid:durableId="25717773">
    <w:abstractNumId w:val="12"/>
    <w:lvlOverride w:ilvl="0">
      <w:lvl w:ilvl="0">
        <w:numFmt w:val="upperLetter"/>
        <w:lvlText w:val="%1."/>
        <w:lvlJc w:val="left"/>
      </w:lvl>
    </w:lvlOverride>
  </w:num>
  <w:num w:numId="16" w16cid:durableId="849097992">
    <w:abstractNumId w:val="12"/>
    <w:lvlOverride w:ilvl="1">
      <w:lvl w:ilvl="1">
        <w:numFmt w:val="lowerLetter"/>
        <w:lvlText w:val="%2."/>
        <w:lvlJc w:val="left"/>
      </w:lvl>
    </w:lvlOverride>
  </w:num>
  <w:num w:numId="17" w16cid:durableId="799880949">
    <w:abstractNumId w:val="12"/>
    <w:lvlOverride w:ilvl="1">
      <w:lvl w:ilvl="1">
        <w:numFmt w:val="lowerLetter"/>
        <w:lvlText w:val="%2."/>
        <w:lvlJc w:val="left"/>
      </w:lvl>
    </w:lvlOverride>
  </w:num>
  <w:num w:numId="18" w16cid:durableId="1523084226">
    <w:abstractNumId w:val="12"/>
    <w:lvlOverride w:ilvl="1">
      <w:lvl w:ilvl="1">
        <w:numFmt w:val="lowerLetter"/>
        <w:lvlText w:val="%2."/>
        <w:lvlJc w:val="left"/>
      </w:lvl>
    </w:lvlOverride>
  </w:num>
  <w:num w:numId="19" w16cid:durableId="141194570">
    <w:abstractNumId w:val="12"/>
    <w:lvlOverride w:ilvl="1">
      <w:lvl w:ilvl="1">
        <w:numFmt w:val="lowerLetter"/>
        <w:lvlText w:val="%2."/>
        <w:lvlJc w:val="left"/>
      </w:lvl>
    </w:lvlOverride>
  </w:num>
  <w:num w:numId="20" w16cid:durableId="1092315830">
    <w:abstractNumId w:val="12"/>
    <w:lvlOverride w:ilvl="1">
      <w:lvl w:ilvl="1">
        <w:numFmt w:val="lowerLetter"/>
        <w:lvlText w:val="%2."/>
        <w:lvlJc w:val="left"/>
      </w:lvl>
    </w:lvlOverride>
  </w:num>
  <w:num w:numId="21" w16cid:durableId="1186482795">
    <w:abstractNumId w:val="12"/>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34F7F"/>
    <w:rsid w:val="003C01B5"/>
    <w:rsid w:val="004D0844"/>
    <w:rsid w:val="00512A81"/>
    <w:rsid w:val="00F44CBC"/>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1253200877">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1018</Words>
  <Characters>4757</Characters>
  <Application>Microsoft Office Word</Application>
  <DocSecurity>0</DocSecurity>
  <Lines>130</Lines>
  <Paragraphs>48</Paragraphs>
  <ScaleCrop>false</ScaleCrop>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2023-12-08T01:43:00Z</dcterms:created>
  <dcterms:modified xsi:type="dcterms:W3CDTF">2023-12-08T01:43:00Z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