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E93A" w14:textId="77777777" w:rsidR="00FE72A4" w:rsidRDefault="00F724D9">
      <w:pPr>
        <w:jc w:val="center"/>
      </w:pPr>
      <w:r>
        <w:t>GOEO Board Meeting Minutes</w:t>
      </w:r>
    </w:p>
    <w:p w14:paraId="620834B4" w14:textId="3D22CC62" w:rsidR="00FE72A4" w:rsidRDefault="005D6389">
      <w:pPr>
        <w:ind w:right="-31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October </w:t>
      </w:r>
      <w:r w:rsidR="005545E9">
        <w:rPr>
          <w:sz w:val="18"/>
          <w:szCs w:val="18"/>
        </w:rPr>
        <w:t>4</w:t>
      </w:r>
      <w:r w:rsidR="00F724D9">
        <w:rPr>
          <w:sz w:val="18"/>
          <w:szCs w:val="18"/>
          <w:vertAlign w:val="superscript"/>
        </w:rPr>
        <w:t>th</w:t>
      </w:r>
      <w:r w:rsidR="00F724D9">
        <w:rPr>
          <w:sz w:val="18"/>
          <w:szCs w:val="18"/>
        </w:rPr>
        <w:t xml:space="preserve">, 2023 </w:t>
      </w:r>
      <w:sdt>
        <w:sdtPr>
          <w:tag w:val="goog_rdk_0"/>
          <w:id w:val="-2076806505"/>
        </w:sdtPr>
        <w:sdtEndPr/>
        <w:sdtContent>
          <w:r w:rsidR="00F724D9">
            <w:rPr>
              <w:rFonts w:ascii="Gungsuh" w:eastAsia="Gungsuh" w:hAnsi="Gungsuh" w:cs="Gungsuh"/>
              <w:sz w:val="18"/>
              <w:szCs w:val="18"/>
            </w:rPr>
            <w:t xml:space="preserve">∙ </w:t>
          </w:r>
          <w:r>
            <w:rPr>
              <w:rFonts w:ascii="Gungsuh" w:eastAsia="Gungsuh" w:hAnsi="Gungsuh" w:cs="Gungsuh"/>
              <w:sz w:val="18"/>
              <w:szCs w:val="18"/>
            </w:rPr>
            <w:t>1</w:t>
          </w:r>
          <w:r w:rsidR="00F724D9">
            <w:rPr>
              <w:rFonts w:ascii="Gungsuh" w:eastAsia="Gungsuh" w:hAnsi="Gungsuh" w:cs="Gungsuh"/>
              <w:sz w:val="18"/>
              <w:szCs w:val="18"/>
            </w:rPr>
            <w:t>:</w:t>
          </w:r>
          <w:r w:rsidR="007D2DF6">
            <w:rPr>
              <w:rFonts w:ascii="Gungsuh" w:eastAsia="Gungsuh" w:hAnsi="Gungsuh" w:cs="Gungsuh"/>
              <w:sz w:val="18"/>
              <w:szCs w:val="18"/>
            </w:rPr>
            <w:t>3</w:t>
          </w:r>
          <w:r w:rsidR="00F724D9">
            <w:rPr>
              <w:rFonts w:ascii="Gungsuh" w:eastAsia="Gungsuh" w:hAnsi="Gungsuh" w:cs="Gungsuh"/>
              <w:sz w:val="18"/>
              <w:szCs w:val="18"/>
            </w:rPr>
            <w:t xml:space="preserve">0 </w:t>
          </w:r>
          <w:r>
            <w:rPr>
              <w:rFonts w:ascii="Gungsuh" w:eastAsia="Gungsuh" w:hAnsi="Gungsuh" w:cs="Gungsuh"/>
              <w:sz w:val="18"/>
              <w:szCs w:val="18"/>
            </w:rPr>
            <w:t>p</w:t>
          </w:r>
          <w:r w:rsidR="00F724D9">
            <w:rPr>
              <w:rFonts w:ascii="Gungsuh" w:eastAsia="Gungsuh" w:hAnsi="Gungsuh" w:cs="Gungsuh"/>
              <w:sz w:val="18"/>
              <w:szCs w:val="18"/>
            </w:rPr>
            <w:t xml:space="preserve">.m. – </w:t>
          </w:r>
          <w:r>
            <w:rPr>
              <w:rFonts w:ascii="Gungsuh" w:eastAsia="Gungsuh" w:hAnsi="Gungsuh" w:cs="Gungsuh"/>
              <w:sz w:val="18"/>
              <w:szCs w:val="18"/>
            </w:rPr>
            <w:t>4</w:t>
          </w:r>
          <w:r w:rsidR="00F724D9">
            <w:rPr>
              <w:rFonts w:ascii="Gungsuh" w:eastAsia="Gungsuh" w:hAnsi="Gungsuh" w:cs="Gungsuh"/>
              <w:sz w:val="18"/>
              <w:szCs w:val="18"/>
            </w:rPr>
            <w:t xml:space="preserve">:00 </w:t>
          </w:r>
          <w:r>
            <w:rPr>
              <w:rFonts w:ascii="Gungsuh" w:eastAsia="Gungsuh" w:hAnsi="Gungsuh" w:cs="Gungsuh"/>
              <w:sz w:val="18"/>
              <w:szCs w:val="18"/>
            </w:rPr>
            <w:t>p</w:t>
          </w:r>
          <w:r w:rsidR="00F724D9">
            <w:rPr>
              <w:rFonts w:ascii="Gungsuh" w:eastAsia="Gungsuh" w:hAnsi="Gungsuh" w:cs="Gungsuh"/>
              <w:sz w:val="18"/>
              <w:szCs w:val="18"/>
            </w:rPr>
            <w:t>.m.</w:t>
          </w:r>
          <w:r w:rsidR="00F724D9">
            <w:rPr>
              <w:rFonts w:ascii="Gungsuh" w:eastAsia="Gungsuh" w:hAnsi="Gungsuh" w:cs="Gungsuh"/>
              <w:sz w:val="18"/>
              <w:szCs w:val="18"/>
            </w:rPr>
            <w:br/>
          </w:r>
        </w:sdtContent>
      </w:sdt>
    </w:p>
    <w:p w14:paraId="6FDAC709" w14:textId="77777777" w:rsidR="00FE72A4" w:rsidRDefault="00FE72A4">
      <w:pPr>
        <w:jc w:val="center"/>
        <w:rPr>
          <w:sz w:val="18"/>
          <w:szCs w:val="18"/>
        </w:rPr>
      </w:pPr>
    </w:p>
    <w:tbl>
      <w:tblPr>
        <w:tblStyle w:val="a"/>
        <w:tblW w:w="9502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7721"/>
      </w:tblGrid>
      <w:tr w:rsidR="00FE72A4" w14:paraId="63548F9D" w14:textId="77777777">
        <w:trPr>
          <w:cantSplit/>
          <w:trHeight w:val="355"/>
          <w:jc w:val="center"/>
        </w:trPr>
        <w:tc>
          <w:tcPr>
            <w:tcW w:w="1781" w:type="dxa"/>
            <w:vAlign w:val="center"/>
          </w:tcPr>
          <w:p w14:paraId="3712A8D2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Members Present:</w:t>
            </w:r>
          </w:p>
        </w:tc>
        <w:tc>
          <w:tcPr>
            <w:tcW w:w="7721" w:type="dxa"/>
            <w:vAlign w:val="center"/>
          </w:tcPr>
          <w:p w14:paraId="6622E268" w14:textId="6242723C" w:rsidR="00FE72A4" w:rsidRDefault="006D2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Kira Slawson, Brad Bonham, Brigham Tomco, Roger Kilpack, Katelin Roberts, Tanner Ainge, Jesse Turley, Carine Clark</w:t>
            </w:r>
            <w:r w:rsidR="002B19BE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E72A4" w14:paraId="3C3E33ED" w14:textId="77777777">
        <w:trPr>
          <w:cantSplit/>
          <w:trHeight w:val="454"/>
          <w:jc w:val="center"/>
        </w:trPr>
        <w:tc>
          <w:tcPr>
            <w:tcW w:w="1781" w:type="dxa"/>
            <w:vAlign w:val="center"/>
          </w:tcPr>
          <w:p w14:paraId="3E166017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Members Excused:           </w:t>
            </w:r>
          </w:p>
        </w:tc>
        <w:tc>
          <w:tcPr>
            <w:tcW w:w="7721" w:type="dxa"/>
            <w:vAlign w:val="center"/>
          </w:tcPr>
          <w:p w14:paraId="7B7114F7" w14:textId="3FB298B3" w:rsidR="00FE72A4" w:rsidRDefault="006D2C9D">
            <w:pPr>
              <w:ind w:left="720" w:hanging="72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Geri Gamber, Heather Kahlert, Kimmy Paluch. </w:t>
            </w:r>
          </w:p>
        </w:tc>
      </w:tr>
      <w:tr w:rsidR="00FE72A4" w14:paraId="38FCB521" w14:textId="77777777">
        <w:trPr>
          <w:cantSplit/>
          <w:trHeight w:val="454"/>
          <w:jc w:val="center"/>
        </w:trPr>
        <w:tc>
          <w:tcPr>
            <w:tcW w:w="1781" w:type="dxa"/>
            <w:vAlign w:val="center"/>
          </w:tcPr>
          <w:p w14:paraId="395AF007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Staff:  </w:t>
            </w:r>
          </w:p>
        </w:tc>
        <w:tc>
          <w:tcPr>
            <w:tcW w:w="7721" w:type="dxa"/>
            <w:vAlign w:val="center"/>
          </w:tcPr>
          <w:p w14:paraId="0B5F1A15" w14:textId="37A57F7E" w:rsidR="00FE72A4" w:rsidRDefault="002B19BE">
            <w:pPr>
              <w:rPr>
                <w:color w:val="000000"/>
                <w:sz w:val="18"/>
                <w:szCs w:val="18"/>
              </w:rPr>
            </w:pPr>
            <w:r w:rsidRPr="002B19BE">
              <w:rPr>
                <w:b/>
                <w:bCs/>
                <w:color w:val="000000"/>
                <w:sz w:val="18"/>
                <w:szCs w:val="18"/>
              </w:rPr>
              <w:t>GOEO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="006D2C9D">
              <w:rPr>
                <w:color w:val="000000"/>
                <w:sz w:val="18"/>
                <w:szCs w:val="18"/>
              </w:rPr>
              <w:t>Ryan Starks, Kamron Dalton, Todd Jensen, Hyrum Worth, Daniel Royal, Tanner Anderson, Jim Grover, Kori Ann Edwards, Pete Codella, Virginia Pearce, Laraib……, Ashley Okawa, Sarah Neilsen, Michael Hall</w:t>
            </w:r>
          </w:p>
          <w:p w14:paraId="70B709B7" w14:textId="45416BCB" w:rsidR="002B19BE" w:rsidRDefault="002B19BE">
            <w:pPr>
              <w:rPr>
                <w:sz w:val="18"/>
                <w:szCs w:val="18"/>
              </w:rPr>
            </w:pPr>
            <w:proofErr w:type="spellStart"/>
            <w:r w:rsidRPr="002B19BE">
              <w:rPr>
                <w:b/>
                <w:bCs/>
                <w:color w:val="000000"/>
                <w:sz w:val="18"/>
                <w:szCs w:val="18"/>
              </w:rPr>
              <w:t>EDCUtah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 w:rsidR="006D2C9D">
              <w:rPr>
                <w:color w:val="000000"/>
                <w:sz w:val="18"/>
                <w:szCs w:val="18"/>
              </w:rPr>
              <w:t>Scott Cuthbertson, Erin Farr, Jaime Hernandez</w:t>
            </w:r>
            <w:r w:rsidR="00764D30">
              <w:rPr>
                <w:color w:val="000000"/>
                <w:sz w:val="18"/>
                <w:szCs w:val="18"/>
              </w:rPr>
              <w:t>, Greg Bisping</w:t>
            </w:r>
          </w:p>
        </w:tc>
      </w:tr>
      <w:tr w:rsidR="00FE72A4" w14:paraId="0B273F3D" w14:textId="77777777">
        <w:trPr>
          <w:cantSplit/>
          <w:trHeight w:val="328"/>
          <w:jc w:val="center"/>
        </w:trPr>
        <w:tc>
          <w:tcPr>
            <w:tcW w:w="1781" w:type="dxa"/>
            <w:vAlign w:val="center"/>
          </w:tcPr>
          <w:p w14:paraId="51BD925F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Visitors:</w:t>
            </w:r>
          </w:p>
        </w:tc>
        <w:tc>
          <w:tcPr>
            <w:tcW w:w="7721" w:type="dxa"/>
            <w:vAlign w:val="center"/>
          </w:tcPr>
          <w:p w14:paraId="70A5291D" w14:textId="0F55A136" w:rsidR="006D2C9D" w:rsidRPr="00764D30" w:rsidRDefault="006D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C&amp;J Specialties: </w:t>
            </w:r>
            <w:r w:rsidRPr="009E57A5">
              <w:rPr>
                <w:color w:val="000000"/>
                <w:sz w:val="18"/>
                <w:szCs w:val="18"/>
              </w:rPr>
              <w:t>Colby Divecha</w:t>
            </w:r>
            <w:r w:rsidR="009E57A5">
              <w:rPr>
                <w:color w:val="000000"/>
                <w:sz w:val="18"/>
                <w:szCs w:val="18"/>
              </w:rPr>
              <w:t>, Jena draper, Ke</w:t>
            </w:r>
            <w:r w:rsidR="00764D30">
              <w:rPr>
                <w:color w:val="000000"/>
                <w:sz w:val="18"/>
                <w:szCs w:val="18"/>
              </w:rPr>
              <w:t>lsie</w:t>
            </w:r>
            <w:r w:rsidR="009E57A5">
              <w:rPr>
                <w:color w:val="000000"/>
                <w:sz w:val="18"/>
                <w:szCs w:val="18"/>
              </w:rPr>
              <w:t xml:space="preserve"> Andrews </w:t>
            </w:r>
            <w:r w:rsidR="00764D30">
              <w:rPr>
                <w:color w:val="000000"/>
                <w:sz w:val="18"/>
                <w:szCs w:val="18"/>
              </w:rPr>
              <w:br/>
            </w:r>
            <w:r w:rsidR="00764D30">
              <w:rPr>
                <w:b/>
                <w:bCs/>
                <w:color w:val="000000"/>
                <w:sz w:val="18"/>
                <w:szCs w:val="18"/>
              </w:rPr>
              <w:t xml:space="preserve">Kent Water Sports: </w:t>
            </w:r>
            <w:r w:rsidR="00764D30">
              <w:rPr>
                <w:color w:val="000000"/>
                <w:sz w:val="18"/>
                <w:szCs w:val="18"/>
              </w:rPr>
              <w:t>Amy Stern, Amy Gerber</w:t>
            </w:r>
            <w:r w:rsidR="002B19BE">
              <w:rPr>
                <w:color w:val="000000"/>
                <w:sz w:val="18"/>
                <w:szCs w:val="18"/>
              </w:rPr>
              <w:br/>
            </w:r>
            <w:r w:rsidR="002B19BE" w:rsidRPr="002B19BE">
              <w:rPr>
                <w:b/>
                <w:bCs/>
                <w:color w:val="000000"/>
                <w:sz w:val="18"/>
                <w:szCs w:val="18"/>
              </w:rPr>
              <w:t>Media</w:t>
            </w:r>
            <w:r w:rsidR="002B19BE">
              <w:rPr>
                <w:color w:val="000000"/>
                <w:sz w:val="18"/>
                <w:szCs w:val="18"/>
              </w:rPr>
              <w:t>: Brice Wallace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Governor’s Office: </w:t>
            </w:r>
            <w:r w:rsidR="009C740E">
              <w:rPr>
                <w:color w:val="000000"/>
                <w:sz w:val="18"/>
                <w:szCs w:val="18"/>
              </w:rPr>
              <w:t xml:space="preserve">Gov. </w:t>
            </w:r>
            <w:r w:rsidRPr="006D2C9D">
              <w:rPr>
                <w:color w:val="000000"/>
                <w:sz w:val="18"/>
                <w:szCs w:val="18"/>
              </w:rPr>
              <w:t>Spencer Cox</w:t>
            </w:r>
          </w:p>
        </w:tc>
      </w:tr>
    </w:tbl>
    <w:p w14:paraId="7BB1CAD1" w14:textId="77777777" w:rsidR="00FE72A4" w:rsidRDefault="00FE72A4">
      <w:pPr>
        <w:rPr>
          <w:sz w:val="18"/>
          <w:szCs w:val="18"/>
        </w:rPr>
      </w:pPr>
    </w:p>
    <w:p w14:paraId="6EBEB4F3" w14:textId="77777777" w:rsidR="00FE72A4" w:rsidRDefault="00F724D9">
      <w:pPr>
        <w:pBdr>
          <w:top w:val="nil"/>
          <w:left w:val="nil"/>
          <w:bottom w:val="nil"/>
          <w:right w:val="nil"/>
          <w:between w:val="nil"/>
        </w:pBdr>
        <w:ind w:right="-312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Welcome </w:t>
      </w:r>
    </w:p>
    <w:p w14:paraId="2530C664" w14:textId="77777777" w:rsidR="00FE72A4" w:rsidRDefault="00FE72A4">
      <w:pPr>
        <w:pBdr>
          <w:top w:val="nil"/>
          <w:left w:val="nil"/>
          <w:bottom w:val="nil"/>
          <w:right w:val="nil"/>
          <w:between w:val="nil"/>
        </w:pBdr>
        <w:ind w:right="-312"/>
        <w:rPr>
          <w:b/>
          <w:color w:val="000000"/>
          <w:sz w:val="18"/>
          <w:szCs w:val="18"/>
          <w:u w:val="single"/>
        </w:rPr>
      </w:pPr>
    </w:p>
    <w:p w14:paraId="00AAAE22" w14:textId="74AC31AB" w:rsidR="00FE72A4" w:rsidRDefault="005C4DC8" w:rsidP="004C3D98">
      <w:pPr>
        <w:pBdr>
          <w:top w:val="nil"/>
          <w:left w:val="nil"/>
          <w:bottom w:val="nil"/>
          <w:right w:val="nil"/>
          <w:between w:val="nil"/>
        </w:pBdr>
        <w:ind w:right="-312"/>
        <w:rPr>
          <w:color w:val="000000"/>
          <w:sz w:val="18"/>
          <w:szCs w:val="18"/>
        </w:rPr>
      </w:pPr>
      <w:r>
        <w:rPr>
          <w:sz w:val="18"/>
          <w:szCs w:val="18"/>
        </w:rPr>
        <w:t>Jesse Turley</w:t>
      </w:r>
      <w:r w:rsidR="00F724D9">
        <w:rPr>
          <w:color w:val="000000"/>
          <w:sz w:val="18"/>
          <w:szCs w:val="18"/>
        </w:rPr>
        <w:t xml:space="preserve"> welcomed everyone to the </w:t>
      </w:r>
      <w:r w:rsidR="005D6389">
        <w:rPr>
          <w:sz w:val="18"/>
          <w:szCs w:val="18"/>
        </w:rPr>
        <w:t xml:space="preserve">Oct </w:t>
      </w:r>
      <w:r w:rsidR="002B19BE">
        <w:rPr>
          <w:sz w:val="18"/>
          <w:szCs w:val="18"/>
        </w:rPr>
        <w:t>4</w:t>
      </w:r>
      <w:r w:rsidR="002B19BE" w:rsidRPr="002B19BE">
        <w:rPr>
          <w:sz w:val="18"/>
          <w:szCs w:val="18"/>
          <w:vertAlign w:val="superscript"/>
        </w:rPr>
        <w:t>th</w:t>
      </w:r>
      <w:r w:rsidR="00F724D9">
        <w:rPr>
          <w:color w:val="000000"/>
          <w:sz w:val="18"/>
          <w:szCs w:val="18"/>
        </w:rPr>
        <w:t>, 2023 Go Utah Board Meeting.</w:t>
      </w:r>
    </w:p>
    <w:p w14:paraId="2AE69187" w14:textId="77777777" w:rsidR="006D2C9D" w:rsidRDefault="006D2C9D" w:rsidP="004C3D98">
      <w:pPr>
        <w:pBdr>
          <w:top w:val="nil"/>
          <w:left w:val="nil"/>
          <w:bottom w:val="nil"/>
          <w:right w:val="nil"/>
          <w:between w:val="nil"/>
        </w:pBdr>
        <w:ind w:right="-312"/>
        <w:rPr>
          <w:color w:val="000000"/>
          <w:sz w:val="18"/>
          <w:szCs w:val="18"/>
        </w:rPr>
      </w:pPr>
    </w:p>
    <w:p w14:paraId="729996CD" w14:textId="3AFB98BF" w:rsidR="006D2C9D" w:rsidRDefault="006D2C9D" w:rsidP="004C3D98">
      <w:pPr>
        <w:pBdr>
          <w:top w:val="nil"/>
          <w:left w:val="nil"/>
          <w:bottom w:val="nil"/>
          <w:right w:val="nil"/>
          <w:between w:val="nil"/>
        </w:pBdr>
        <w:ind w:right="-3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Governor </w:t>
      </w:r>
      <w:r w:rsidR="009E57A5">
        <w:rPr>
          <w:color w:val="000000"/>
          <w:sz w:val="18"/>
          <w:szCs w:val="18"/>
        </w:rPr>
        <w:t>Cox g</w:t>
      </w:r>
      <w:r w:rsidR="009C740E">
        <w:rPr>
          <w:color w:val="000000"/>
          <w:sz w:val="18"/>
          <w:szCs w:val="18"/>
        </w:rPr>
        <w:t>ave</w:t>
      </w:r>
      <w:r>
        <w:rPr>
          <w:color w:val="000000"/>
          <w:sz w:val="18"/>
          <w:szCs w:val="18"/>
        </w:rPr>
        <w:t xml:space="preserve"> a few words praising the participants of the board</w:t>
      </w:r>
      <w:r w:rsidR="009E57A5">
        <w:rPr>
          <w:color w:val="000000"/>
          <w:sz w:val="18"/>
          <w:szCs w:val="18"/>
        </w:rPr>
        <w:t>.</w:t>
      </w:r>
    </w:p>
    <w:p w14:paraId="0543DE56" w14:textId="77777777" w:rsidR="009E57A5" w:rsidRDefault="009E57A5" w:rsidP="004C3D98">
      <w:pPr>
        <w:pBdr>
          <w:top w:val="nil"/>
          <w:left w:val="nil"/>
          <w:bottom w:val="nil"/>
          <w:right w:val="nil"/>
          <w:between w:val="nil"/>
        </w:pBdr>
        <w:ind w:right="-312"/>
        <w:rPr>
          <w:color w:val="000000"/>
          <w:sz w:val="18"/>
          <w:szCs w:val="18"/>
        </w:rPr>
      </w:pPr>
    </w:p>
    <w:p w14:paraId="1D51E2C1" w14:textId="75AF75B6" w:rsidR="009E57A5" w:rsidRPr="004C3D98" w:rsidRDefault="009E57A5" w:rsidP="004C3D98">
      <w:pPr>
        <w:pBdr>
          <w:top w:val="nil"/>
          <w:left w:val="nil"/>
          <w:bottom w:val="nil"/>
          <w:right w:val="nil"/>
          <w:between w:val="nil"/>
        </w:pBdr>
        <w:ind w:right="-3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In this board meeting, all items needing a vote were first introduced, and then at the end, received a vote-roll call. </w:t>
      </w:r>
    </w:p>
    <w:p w14:paraId="2EE6EFFF" w14:textId="77777777" w:rsidR="00FE72A4" w:rsidRDefault="00FE72A4">
      <w:pPr>
        <w:rPr>
          <w:sz w:val="18"/>
          <w:szCs w:val="18"/>
        </w:rPr>
      </w:pPr>
    </w:p>
    <w:p w14:paraId="56DDACFA" w14:textId="77777777" w:rsidR="00FE72A4" w:rsidRDefault="00FE72A4">
      <w:pPr>
        <w:rPr>
          <w:b/>
          <w:sz w:val="18"/>
          <w:szCs w:val="18"/>
        </w:rPr>
      </w:pPr>
    </w:p>
    <w:p w14:paraId="2C261698" w14:textId="77777777" w:rsidR="000C5CD0" w:rsidRDefault="000C5CD0">
      <w:pPr>
        <w:rPr>
          <w:b/>
          <w:sz w:val="18"/>
          <w:szCs w:val="18"/>
        </w:rPr>
      </w:pPr>
    </w:p>
    <w:p w14:paraId="5923EAF1" w14:textId="017DC397" w:rsidR="00E47DA3" w:rsidRPr="00E47DA3" w:rsidRDefault="00764D3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Company 1</w:t>
      </w:r>
    </w:p>
    <w:p w14:paraId="6F29BB50" w14:textId="41C4CF9F" w:rsidR="005E42EB" w:rsidRPr="0014141E" w:rsidRDefault="006D2C9D">
      <w:pPr>
        <w:rPr>
          <w:b/>
          <w:sz w:val="18"/>
          <w:szCs w:val="18"/>
        </w:rPr>
      </w:pPr>
      <w:r>
        <w:rPr>
          <w:b/>
          <w:sz w:val="18"/>
          <w:szCs w:val="18"/>
        </w:rPr>
        <w:t>C&amp;J Specialties</w:t>
      </w:r>
    </w:p>
    <w:p w14:paraId="2153BA09" w14:textId="0AF72755" w:rsidR="0014141E" w:rsidRPr="0014141E" w:rsidRDefault="0014141E">
      <w:pPr>
        <w:rPr>
          <w:bCs/>
          <w:sz w:val="18"/>
          <w:szCs w:val="18"/>
        </w:rPr>
      </w:pPr>
    </w:p>
    <w:p w14:paraId="36A65246" w14:textId="1E294E59" w:rsidR="0014141E" w:rsidRPr="0014141E" w:rsidRDefault="006D2C9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C</w:t>
      </w:r>
      <w:r w:rsidR="009E57A5">
        <w:rPr>
          <w:bCs/>
          <w:sz w:val="18"/>
          <w:szCs w:val="18"/>
        </w:rPr>
        <w:t>olby Divecha g</w:t>
      </w:r>
      <w:r w:rsidR="00764D30">
        <w:rPr>
          <w:bCs/>
          <w:sz w:val="18"/>
          <w:szCs w:val="18"/>
        </w:rPr>
        <w:t>ave</w:t>
      </w:r>
      <w:r w:rsidR="009E57A5">
        <w:rPr>
          <w:bCs/>
          <w:sz w:val="18"/>
          <w:szCs w:val="18"/>
        </w:rPr>
        <w:t xml:space="preserve"> the board a brief history of the company and their incentive request. </w:t>
      </w:r>
    </w:p>
    <w:p w14:paraId="486E7ED4" w14:textId="77777777" w:rsidR="0014141E" w:rsidRDefault="0014141E">
      <w:pPr>
        <w:rPr>
          <w:b/>
          <w:sz w:val="18"/>
          <w:szCs w:val="18"/>
        </w:rPr>
      </w:pPr>
    </w:p>
    <w:p w14:paraId="66CAE6E4" w14:textId="53AA69FA" w:rsidR="009E57A5" w:rsidRDefault="009E57A5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Brigham Tomco raised a question about the location of the hired people and their training. Colby states they will be in Ephraim </w:t>
      </w:r>
      <w:r w:rsidR="00764D30">
        <w:rPr>
          <w:bCs/>
          <w:sz w:val="18"/>
          <w:szCs w:val="18"/>
        </w:rPr>
        <w:t xml:space="preserve">and training will be provided. </w:t>
      </w:r>
    </w:p>
    <w:p w14:paraId="334B53B9" w14:textId="77777777" w:rsidR="00764D30" w:rsidRDefault="00764D30">
      <w:pPr>
        <w:rPr>
          <w:bCs/>
          <w:sz w:val="18"/>
          <w:szCs w:val="18"/>
        </w:rPr>
      </w:pPr>
    </w:p>
    <w:p w14:paraId="4A013E75" w14:textId="2F27A12F" w:rsidR="00764D30" w:rsidRPr="00764D30" w:rsidRDefault="00764D30">
      <w:pPr>
        <w:rPr>
          <w:b/>
          <w:sz w:val="18"/>
          <w:szCs w:val="18"/>
          <w:u w:val="single"/>
        </w:rPr>
      </w:pPr>
      <w:r w:rsidRPr="00764D30">
        <w:rPr>
          <w:b/>
          <w:sz w:val="18"/>
          <w:szCs w:val="18"/>
          <w:u w:val="single"/>
        </w:rPr>
        <w:t>Film</w:t>
      </w:r>
    </w:p>
    <w:p w14:paraId="4BD4A456" w14:textId="77777777" w:rsidR="00764D30" w:rsidRDefault="00764D30">
      <w:pPr>
        <w:rPr>
          <w:b/>
          <w:sz w:val="18"/>
          <w:szCs w:val="18"/>
        </w:rPr>
      </w:pPr>
    </w:p>
    <w:p w14:paraId="27ABADDF" w14:textId="391327F1" w:rsidR="00764D30" w:rsidRDefault="00764D3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Virginial Pearce walks the board through the details of the film, “Good Fire” and their incentive request. </w:t>
      </w:r>
    </w:p>
    <w:p w14:paraId="0BBE3BD2" w14:textId="77777777" w:rsidR="00764D30" w:rsidRDefault="00764D30">
      <w:pPr>
        <w:rPr>
          <w:b/>
          <w:sz w:val="18"/>
          <w:szCs w:val="18"/>
        </w:rPr>
      </w:pPr>
    </w:p>
    <w:p w14:paraId="36DC6A60" w14:textId="3E9C3C91" w:rsidR="00764D30" w:rsidRDefault="00764D30">
      <w:pPr>
        <w:rPr>
          <w:b/>
          <w:sz w:val="18"/>
          <w:szCs w:val="18"/>
          <w:u w:val="single"/>
        </w:rPr>
      </w:pPr>
      <w:r w:rsidRPr="00764D30">
        <w:rPr>
          <w:b/>
          <w:sz w:val="18"/>
          <w:szCs w:val="18"/>
          <w:u w:val="single"/>
        </w:rPr>
        <w:t>ED Zones</w:t>
      </w:r>
    </w:p>
    <w:p w14:paraId="7666A2B4" w14:textId="77777777" w:rsidR="00EE626A" w:rsidRDefault="00EE626A">
      <w:pPr>
        <w:rPr>
          <w:b/>
          <w:sz w:val="18"/>
          <w:szCs w:val="18"/>
          <w:u w:val="single"/>
        </w:rPr>
      </w:pPr>
    </w:p>
    <w:p w14:paraId="5DB0B8D9" w14:textId="234BF457" w:rsidR="00764D30" w:rsidRPr="00764D30" w:rsidRDefault="00764D3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The ED Zones for </w:t>
      </w:r>
      <w:proofErr w:type="spellStart"/>
      <w:r>
        <w:rPr>
          <w:bCs/>
          <w:sz w:val="18"/>
          <w:szCs w:val="18"/>
        </w:rPr>
        <w:t>TaxBit</w:t>
      </w:r>
      <w:proofErr w:type="spellEnd"/>
      <w:r>
        <w:rPr>
          <w:bCs/>
          <w:sz w:val="18"/>
          <w:szCs w:val="18"/>
        </w:rPr>
        <w:t xml:space="preserve"> and Gabb Wireless are presented to the board by Daniel Royal with their address. </w:t>
      </w:r>
    </w:p>
    <w:p w14:paraId="7875923B" w14:textId="77777777" w:rsidR="00764D30" w:rsidRDefault="00764D30">
      <w:pPr>
        <w:rPr>
          <w:b/>
          <w:sz w:val="18"/>
          <w:szCs w:val="18"/>
          <w:u w:val="single"/>
        </w:rPr>
      </w:pPr>
    </w:p>
    <w:p w14:paraId="5CCE4DDE" w14:textId="5A7CD17E" w:rsidR="00EE626A" w:rsidRPr="00EE626A" w:rsidRDefault="00764D30">
      <w:pPr>
        <w:rPr>
          <w:b/>
          <w:sz w:val="18"/>
          <w:szCs w:val="18"/>
          <w:u w:val="single"/>
        </w:rPr>
      </w:pPr>
      <w:r w:rsidRPr="00EE626A">
        <w:rPr>
          <w:b/>
          <w:sz w:val="18"/>
          <w:szCs w:val="18"/>
          <w:u w:val="single"/>
        </w:rPr>
        <w:t>Company 2</w:t>
      </w:r>
    </w:p>
    <w:p w14:paraId="5A81E3F9" w14:textId="77777777" w:rsidR="00764D30" w:rsidRDefault="00764D30" w:rsidP="00764D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Kent Outdoors </w:t>
      </w:r>
    </w:p>
    <w:p w14:paraId="4404D79E" w14:textId="77777777" w:rsidR="00764D30" w:rsidRDefault="00764D30" w:rsidP="005E42EB">
      <w:pPr>
        <w:rPr>
          <w:b/>
          <w:sz w:val="18"/>
          <w:szCs w:val="18"/>
          <w:u w:val="single"/>
        </w:rPr>
      </w:pPr>
    </w:p>
    <w:p w14:paraId="478528FA" w14:textId="3F21AFB3" w:rsidR="00764D30" w:rsidRDefault="009C740E" w:rsidP="005E42EB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Amy Stern presented Kent outdoors to the board and fronted any questions pressed. </w:t>
      </w:r>
    </w:p>
    <w:p w14:paraId="5A8BD2ED" w14:textId="77777777" w:rsidR="009C740E" w:rsidRDefault="009C740E" w:rsidP="005E42EB">
      <w:pPr>
        <w:rPr>
          <w:bCs/>
          <w:sz w:val="18"/>
          <w:szCs w:val="18"/>
        </w:rPr>
      </w:pPr>
    </w:p>
    <w:p w14:paraId="2ADDE2CA" w14:textId="77777777" w:rsidR="009C740E" w:rsidRPr="009C740E" w:rsidRDefault="009C740E" w:rsidP="005E42EB">
      <w:pPr>
        <w:rPr>
          <w:bCs/>
          <w:sz w:val="18"/>
          <w:szCs w:val="18"/>
        </w:rPr>
      </w:pPr>
    </w:p>
    <w:p w14:paraId="344C5E7C" w14:textId="1D5231E2" w:rsidR="005E42EB" w:rsidRDefault="007D2DF6" w:rsidP="005E42EB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Proposed Motion</w:t>
      </w:r>
      <w:r w:rsidR="009C740E">
        <w:rPr>
          <w:b/>
          <w:sz w:val="18"/>
          <w:szCs w:val="18"/>
          <w:u w:val="single"/>
        </w:rPr>
        <w:t>s</w:t>
      </w:r>
    </w:p>
    <w:p w14:paraId="27350658" w14:textId="77777777" w:rsidR="009C740E" w:rsidRDefault="009C740E" w:rsidP="005E42EB">
      <w:pPr>
        <w:rPr>
          <w:b/>
          <w:sz w:val="18"/>
          <w:szCs w:val="18"/>
          <w:u w:val="single"/>
        </w:rPr>
      </w:pPr>
    </w:p>
    <w:p w14:paraId="378B62F1" w14:textId="16C0CC2C" w:rsidR="009C740E" w:rsidRPr="009C740E" w:rsidRDefault="009C740E" w:rsidP="005E42E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Motion – C&amp;J Specialties </w:t>
      </w:r>
    </w:p>
    <w:p w14:paraId="1F6DDAEB" w14:textId="035628CA" w:rsidR="0014141E" w:rsidRDefault="0014141E" w:rsidP="005E42EB">
      <w:pPr>
        <w:rPr>
          <w:b/>
          <w:sz w:val="18"/>
          <w:szCs w:val="18"/>
        </w:rPr>
      </w:pPr>
      <w:r w:rsidRPr="0014141E">
        <w:rPr>
          <w:b/>
          <w:sz w:val="18"/>
          <w:szCs w:val="18"/>
        </w:rPr>
        <w:t xml:space="preserve">The Governor's Office of Economic Opportunity Board recommends </w:t>
      </w:r>
      <w:r w:rsidR="009C740E">
        <w:rPr>
          <w:b/>
          <w:sz w:val="18"/>
          <w:szCs w:val="18"/>
        </w:rPr>
        <w:t xml:space="preserve">C&amp;J Specialties </w:t>
      </w:r>
      <w:proofErr w:type="spellStart"/>
      <w:r w:rsidR="009C740E">
        <w:rPr>
          <w:b/>
          <w:sz w:val="18"/>
          <w:szCs w:val="18"/>
        </w:rPr>
        <w:t>inc</w:t>
      </w:r>
      <w:proofErr w:type="spellEnd"/>
      <w:r w:rsidR="009C740E">
        <w:rPr>
          <w:b/>
          <w:sz w:val="18"/>
          <w:szCs w:val="18"/>
        </w:rPr>
        <w:t>,</w:t>
      </w:r>
      <w:r w:rsidRPr="0014141E">
        <w:rPr>
          <w:b/>
          <w:sz w:val="18"/>
          <w:szCs w:val="18"/>
        </w:rPr>
        <w:t xml:space="preserve"> for an EDTIF post-performance refundable tax incentive. This incentive is not to exceed a </w:t>
      </w:r>
      <w:r w:rsidR="009C740E">
        <w:rPr>
          <w:b/>
          <w:sz w:val="18"/>
          <w:szCs w:val="18"/>
        </w:rPr>
        <w:t>50</w:t>
      </w:r>
      <w:r w:rsidRPr="0014141E">
        <w:rPr>
          <w:b/>
          <w:sz w:val="18"/>
          <w:szCs w:val="18"/>
        </w:rPr>
        <w:t>% reduction in state tax paid on new state tax revenue above the baseline established for the preceding 12 months. New state revenue is projected to be $</w:t>
      </w:r>
      <w:r w:rsidR="009C740E">
        <w:rPr>
          <w:b/>
          <w:sz w:val="18"/>
          <w:szCs w:val="18"/>
        </w:rPr>
        <w:t xml:space="preserve">6,388,125. The Governors Office of Economic Opportunity recommends C&amp;J Specialties Inc, for an Industrial Assistance Account non-matching grant of up to $150,000 for talent and workforce development. </w:t>
      </w:r>
    </w:p>
    <w:p w14:paraId="21B3B57C" w14:textId="1BCDB610" w:rsidR="00E47DA3" w:rsidRDefault="009C740E" w:rsidP="005E42E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Brigham Tomco made the motion and </w:t>
      </w:r>
      <w:r>
        <w:rPr>
          <w:b/>
          <w:sz w:val="18"/>
          <w:szCs w:val="18"/>
        </w:rPr>
        <w:t>Tanner Ainge</w:t>
      </w:r>
      <w:r>
        <w:rPr>
          <w:b/>
          <w:sz w:val="18"/>
          <w:szCs w:val="18"/>
        </w:rPr>
        <w:t xml:space="preserve"> seconded</w:t>
      </w:r>
      <w:r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Aye votes were recorded from </w:t>
      </w:r>
      <w:r>
        <w:rPr>
          <w:b/>
          <w:sz w:val="18"/>
          <w:szCs w:val="18"/>
        </w:rPr>
        <w:t xml:space="preserve">Kira Slawson, Brad Bonham, Brigham Tomco, Roger Kilpack, Katelin Roberts, Tanner Ainge, Carine Clark, and Jesse Turley. </w:t>
      </w:r>
    </w:p>
    <w:p w14:paraId="0F4CF610" w14:textId="77777777" w:rsidR="009C740E" w:rsidRDefault="009C740E" w:rsidP="005E42EB">
      <w:pPr>
        <w:rPr>
          <w:b/>
          <w:sz w:val="18"/>
          <w:szCs w:val="18"/>
        </w:rPr>
      </w:pPr>
    </w:p>
    <w:p w14:paraId="0CBC9EE7" w14:textId="77777777" w:rsidR="009C740E" w:rsidRDefault="009C740E" w:rsidP="005E42EB">
      <w:pPr>
        <w:rPr>
          <w:b/>
          <w:sz w:val="18"/>
          <w:szCs w:val="18"/>
        </w:rPr>
      </w:pPr>
    </w:p>
    <w:p w14:paraId="5A9AC165" w14:textId="24D78666" w:rsidR="009C740E" w:rsidRPr="009C740E" w:rsidRDefault="009C740E" w:rsidP="009C74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Motion – </w:t>
      </w:r>
      <w:r>
        <w:rPr>
          <w:b/>
          <w:sz w:val="18"/>
          <w:szCs w:val="18"/>
        </w:rPr>
        <w:t>Kent Water Sports</w:t>
      </w:r>
    </w:p>
    <w:p w14:paraId="24C2A759" w14:textId="6A80ED0F" w:rsidR="009C740E" w:rsidRDefault="009C740E" w:rsidP="009C740E">
      <w:pPr>
        <w:rPr>
          <w:b/>
          <w:sz w:val="18"/>
          <w:szCs w:val="18"/>
        </w:rPr>
      </w:pPr>
      <w:r w:rsidRPr="0014141E">
        <w:rPr>
          <w:b/>
          <w:sz w:val="18"/>
          <w:szCs w:val="18"/>
        </w:rPr>
        <w:t xml:space="preserve">The Governor's Office of Economic Opportunity Board recommends </w:t>
      </w:r>
      <w:r>
        <w:rPr>
          <w:b/>
          <w:sz w:val="18"/>
          <w:szCs w:val="18"/>
        </w:rPr>
        <w:t>Kent Water Sports LLC</w:t>
      </w:r>
      <w:r>
        <w:rPr>
          <w:b/>
          <w:sz w:val="18"/>
          <w:szCs w:val="18"/>
        </w:rPr>
        <w:t>,</w:t>
      </w:r>
      <w:r w:rsidRPr="0014141E">
        <w:rPr>
          <w:b/>
          <w:sz w:val="18"/>
          <w:szCs w:val="18"/>
        </w:rPr>
        <w:t xml:space="preserve"> for an EDTIF post-performance refundable tax incentive. This incentive is not to exceed a </w:t>
      </w:r>
      <w:r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0</w:t>
      </w:r>
      <w:r w:rsidRPr="0014141E">
        <w:rPr>
          <w:b/>
          <w:sz w:val="18"/>
          <w:szCs w:val="18"/>
        </w:rPr>
        <w:t>% reduction in state tax paid on new state tax revenue above the baseline established for the preceding 12 months. New state revenue is projected to be $</w:t>
      </w:r>
      <w:r>
        <w:rPr>
          <w:b/>
          <w:sz w:val="18"/>
          <w:szCs w:val="18"/>
        </w:rPr>
        <w:t>2,696,718</w:t>
      </w:r>
      <w:r>
        <w:rPr>
          <w:b/>
          <w:sz w:val="18"/>
          <w:szCs w:val="18"/>
        </w:rPr>
        <w:t>.</w:t>
      </w:r>
    </w:p>
    <w:p w14:paraId="0703CDC7" w14:textId="34D0052F" w:rsidR="009C740E" w:rsidRDefault="009C740E" w:rsidP="009C74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Brigham Tomco made the motion and </w:t>
      </w:r>
      <w:r>
        <w:rPr>
          <w:b/>
          <w:sz w:val="18"/>
          <w:szCs w:val="18"/>
        </w:rPr>
        <w:t>Kira Slawson</w:t>
      </w:r>
      <w:r>
        <w:rPr>
          <w:b/>
          <w:sz w:val="18"/>
          <w:szCs w:val="18"/>
        </w:rPr>
        <w:t xml:space="preserve"> seconded. Aye votes were recorded from Kira Slawson, Brad Bonham, Brigham Tomco, Roger Kilpack, Katelin Roberts, Tanner Ainge, Jesse Turley, Carine Clark. </w:t>
      </w:r>
    </w:p>
    <w:p w14:paraId="3F01467F" w14:textId="77777777" w:rsidR="00242241" w:rsidRDefault="00242241">
      <w:pPr>
        <w:rPr>
          <w:sz w:val="18"/>
          <w:szCs w:val="18"/>
        </w:rPr>
      </w:pPr>
    </w:p>
    <w:p w14:paraId="2CB5B1D7" w14:textId="77777777" w:rsidR="00952FF6" w:rsidRDefault="00952FF6">
      <w:pPr>
        <w:rPr>
          <w:b/>
          <w:bCs/>
          <w:sz w:val="18"/>
          <w:szCs w:val="18"/>
        </w:rPr>
      </w:pPr>
    </w:p>
    <w:p w14:paraId="743B0BD2" w14:textId="20E35CF7" w:rsidR="00952FF6" w:rsidRDefault="00952FF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Motion – ED Zones</w:t>
      </w:r>
    </w:p>
    <w:p w14:paraId="22E54AB2" w14:textId="169D4FCD" w:rsidR="00952FF6" w:rsidRDefault="00952FF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Approve the creation of an economic development zone for Lindon in support of their letter of request detailing the expansion of </w:t>
      </w:r>
      <w:proofErr w:type="spellStart"/>
      <w:r>
        <w:rPr>
          <w:b/>
          <w:bCs/>
          <w:sz w:val="18"/>
          <w:szCs w:val="18"/>
        </w:rPr>
        <w:t>Taxbit</w:t>
      </w:r>
      <w:proofErr w:type="spellEnd"/>
      <w:r>
        <w:rPr>
          <w:b/>
          <w:bCs/>
          <w:sz w:val="18"/>
          <w:szCs w:val="18"/>
        </w:rPr>
        <w:t xml:space="preserve"> Inc, at 66 E Wadsworth Park Dr STE 200 Draper, UT 84929.</w:t>
      </w:r>
    </w:p>
    <w:p w14:paraId="158C3002" w14:textId="3E1A8868" w:rsidR="00952FF6" w:rsidRDefault="00952FF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&amp;</w:t>
      </w:r>
    </w:p>
    <w:p w14:paraId="7B10A462" w14:textId="04831909" w:rsidR="00952FF6" w:rsidRDefault="00952FF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Approve the creation of an economic development zone for </w:t>
      </w:r>
      <w:r>
        <w:rPr>
          <w:b/>
          <w:bCs/>
          <w:sz w:val="18"/>
          <w:szCs w:val="18"/>
        </w:rPr>
        <w:t>Lehi</w:t>
      </w:r>
      <w:r>
        <w:rPr>
          <w:b/>
          <w:bCs/>
          <w:sz w:val="18"/>
          <w:szCs w:val="18"/>
        </w:rPr>
        <w:t xml:space="preserve"> in support of their letter of request detailing the expansion of</w:t>
      </w:r>
      <w:r>
        <w:rPr>
          <w:b/>
          <w:bCs/>
          <w:sz w:val="18"/>
          <w:szCs w:val="18"/>
        </w:rPr>
        <w:t xml:space="preserve"> Gabb Wireless Inc, at 2701 N Thanksgiving Way #500, Lehi, UT 84043</w:t>
      </w:r>
    </w:p>
    <w:p w14:paraId="69F1BC2B" w14:textId="6AFB9E5C" w:rsidR="00952FF6" w:rsidRDefault="00952FF6" w:rsidP="00952FF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Brigham Tomco made the motion and </w:t>
      </w:r>
      <w:r>
        <w:rPr>
          <w:b/>
          <w:sz w:val="18"/>
          <w:szCs w:val="18"/>
        </w:rPr>
        <w:t>Tanner Ainge</w:t>
      </w:r>
      <w:r>
        <w:rPr>
          <w:b/>
          <w:sz w:val="18"/>
          <w:szCs w:val="18"/>
        </w:rPr>
        <w:t xml:space="preserve"> seconded. Aye votes were recorded from Kira Slawson, Brad Bonham, Brigham Tomco, Roger Kilpack, Katelin Roberts, Tanner Ainge, Jesse Turley, Carine Clark. </w:t>
      </w:r>
    </w:p>
    <w:p w14:paraId="02B413F0" w14:textId="77777777" w:rsidR="00952FF6" w:rsidRDefault="00952FF6">
      <w:pPr>
        <w:rPr>
          <w:b/>
          <w:bCs/>
          <w:sz w:val="18"/>
          <w:szCs w:val="18"/>
        </w:rPr>
      </w:pPr>
    </w:p>
    <w:p w14:paraId="5D41FD32" w14:textId="004BD9F8" w:rsidR="00952FF6" w:rsidRDefault="00FE4DC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Motion – Film</w:t>
      </w:r>
    </w:p>
    <w:p w14:paraId="18E6CB23" w14:textId="148118BC" w:rsidR="00FE4DCB" w:rsidRDefault="00FE4DC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Approve a total of $80,600 for incentives for the following productions, which have met the criteria defined by statute. </w:t>
      </w:r>
    </w:p>
    <w:p w14:paraId="7FACD540" w14:textId="77777777" w:rsidR="00FE4DCB" w:rsidRDefault="00FE4DCB">
      <w:pPr>
        <w:rPr>
          <w:b/>
          <w:bCs/>
          <w:sz w:val="18"/>
          <w:szCs w:val="18"/>
        </w:rPr>
      </w:pPr>
    </w:p>
    <w:p w14:paraId="5DA6B0C5" w14:textId="27158570" w:rsidR="00FE4DCB" w:rsidRDefault="00FE4DC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Good Fire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$80,600.00</w:t>
      </w:r>
    </w:p>
    <w:p w14:paraId="12045132" w14:textId="77777777" w:rsidR="00FE4DCB" w:rsidRDefault="00FE4DCB">
      <w:pPr>
        <w:rPr>
          <w:b/>
          <w:bCs/>
          <w:sz w:val="18"/>
          <w:szCs w:val="18"/>
        </w:rPr>
      </w:pPr>
    </w:p>
    <w:p w14:paraId="25499731" w14:textId="40F06D88" w:rsidR="00FE4DCB" w:rsidRDefault="00FE4DCB" w:rsidP="00FE4DC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Brigham Tomco made the motion and </w:t>
      </w:r>
      <w:r>
        <w:rPr>
          <w:b/>
          <w:sz w:val="18"/>
          <w:szCs w:val="18"/>
        </w:rPr>
        <w:t>Katelin Roberts</w:t>
      </w:r>
      <w:r>
        <w:rPr>
          <w:b/>
          <w:sz w:val="18"/>
          <w:szCs w:val="18"/>
        </w:rPr>
        <w:t xml:space="preserve"> seconded. Aye votes were recorded from Kira Slawson, Brad Bonham, Brigham Tomco, Roger Kilpack, Katelin Roberts, Tanner Ainge, Jesse Turley, Carine Clark. </w:t>
      </w:r>
    </w:p>
    <w:p w14:paraId="359B639F" w14:textId="77777777" w:rsidR="00FE4DCB" w:rsidRDefault="00FE4DCB">
      <w:pPr>
        <w:rPr>
          <w:b/>
          <w:bCs/>
          <w:sz w:val="18"/>
          <w:szCs w:val="18"/>
        </w:rPr>
      </w:pPr>
    </w:p>
    <w:p w14:paraId="29BAB94E" w14:textId="77777777" w:rsidR="00952FF6" w:rsidRDefault="00952FF6">
      <w:pPr>
        <w:rPr>
          <w:b/>
          <w:bCs/>
          <w:sz w:val="18"/>
          <w:szCs w:val="18"/>
        </w:rPr>
      </w:pPr>
    </w:p>
    <w:p w14:paraId="3C7A62B0" w14:textId="765B7966" w:rsidR="00536F86" w:rsidRDefault="00536F8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Motion - Minutes</w:t>
      </w:r>
    </w:p>
    <w:p w14:paraId="2E2C0573" w14:textId="50C53226" w:rsidR="00536F86" w:rsidRDefault="00536F86" w:rsidP="00536F8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MOTION: Jesse Turley invited comment or correction to the previously distributed minutes of the </w:t>
      </w:r>
      <w:r>
        <w:rPr>
          <w:b/>
          <w:sz w:val="18"/>
          <w:szCs w:val="18"/>
        </w:rPr>
        <w:t>September 14</w:t>
      </w:r>
      <w:r w:rsidRPr="00536F86"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>, 2023and the September 28</w:t>
      </w:r>
      <w:r w:rsidRPr="004C3D98"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>, 2023 meeting minutes. No corrections were offered and with no objection from the board, and both minutes were adopted by unanimous consent.</w:t>
      </w:r>
    </w:p>
    <w:p w14:paraId="3EE9CF9F" w14:textId="77777777" w:rsidR="00536F86" w:rsidRDefault="00536F86">
      <w:pPr>
        <w:rPr>
          <w:b/>
          <w:bCs/>
          <w:sz w:val="18"/>
          <w:szCs w:val="18"/>
        </w:rPr>
      </w:pPr>
    </w:p>
    <w:p w14:paraId="5CB68F30" w14:textId="77777777" w:rsidR="00536F86" w:rsidRDefault="00536F86">
      <w:pPr>
        <w:rPr>
          <w:b/>
          <w:bCs/>
          <w:sz w:val="18"/>
          <w:szCs w:val="18"/>
        </w:rPr>
      </w:pPr>
    </w:p>
    <w:p w14:paraId="40EFA480" w14:textId="0036B0CE" w:rsidR="00536F86" w:rsidRPr="00683370" w:rsidRDefault="00C8361D">
      <w:pPr>
        <w:rPr>
          <w:b/>
          <w:bCs/>
          <w:sz w:val="18"/>
          <w:szCs w:val="18"/>
          <w:u w:val="single"/>
        </w:rPr>
      </w:pPr>
      <w:r w:rsidRPr="00C8361D">
        <w:rPr>
          <w:b/>
          <w:bCs/>
          <w:sz w:val="18"/>
          <w:szCs w:val="18"/>
          <w:u w:val="single"/>
        </w:rPr>
        <w:t xml:space="preserve">EDTIF 3-Year Audit </w:t>
      </w:r>
    </w:p>
    <w:p w14:paraId="78B023BA" w14:textId="77777777" w:rsidR="00536F86" w:rsidRPr="009A429C" w:rsidRDefault="00536F86">
      <w:pPr>
        <w:rPr>
          <w:sz w:val="18"/>
          <w:szCs w:val="18"/>
        </w:rPr>
      </w:pPr>
    </w:p>
    <w:p w14:paraId="711254C3" w14:textId="29A86078" w:rsidR="00536F86" w:rsidRPr="009A429C" w:rsidRDefault="009A429C">
      <w:pPr>
        <w:rPr>
          <w:sz w:val="18"/>
          <w:szCs w:val="18"/>
        </w:rPr>
      </w:pPr>
      <w:r w:rsidRPr="009A429C">
        <w:rPr>
          <w:sz w:val="18"/>
          <w:szCs w:val="18"/>
        </w:rPr>
        <w:t>Tanner LLC, Performed an audit on the EDTIF program. Reed Chase present</w:t>
      </w:r>
      <w:r>
        <w:rPr>
          <w:sz w:val="18"/>
          <w:szCs w:val="18"/>
        </w:rPr>
        <w:t>ed</w:t>
      </w:r>
      <w:r w:rsidRPr="009A429C">
        <w:rPr>
          <w:sz w:val="18"/>
          <w:szCs w:val="18"/>
        </w:rPr>
        <w:t xml:space="preserve"> the results found. </w:t>
      </w:r>
    </w:p>
    <w:p w14:paraId="39518006" w14:textId="77777777" w:rsidR="00536F86" w:rsidRDefault="00536F86">
      <w:pPr>
        <w:rPr>
          <w:b/>
          <w:bCs/>
          <w:sz w:val="18"/>
          <w:szCs w:val="18"/>
        </w:rPr>
      </w:pPr>
    </w:p>
    <w:p w14:paraId="22E215D5" w14:textId="33B11360" w:rsidR="00536F86" w:rsidRDefault="009A429C">
      <w:pPr>
        <w:rPr>
          <w:b/>
          <w:bCs/>
          <w:sz w:val="18"/>
          <w:szCs w:val="18"/>
          <w:u w:val="single"/>
        </w:rPr>
      </w:pPr>
      <w:proofErr w:type="spellStart"/>
      <w:r>
        <w:rPr>
          <w:b/>
          <w:bCs/>
          <w:sz w:val="18"/>
          <w:szCs w:val="18"/>
          <w:u w:val="single"/>
        </w:rPr>
        <w:t>EDCUtah</w:t>
      </w:r>
      <w:proofErr w:type="spellEnd"/>
      <w:r>
        <w:rPr>
          <w:b/>
          <w:bCs/>
          <w:sz w:val="18"/>
          <w:szCs w:val="18"/>
          <w:u w:val="single"/>
        </w:rPr>
        <w:t xml:space="preserve"> Update</w:t>
      </w:r>
    </w:p>
    <w:p w14:paraId="79551F91" w14:textId="77777777" w:rsidR="009A429C" w:rsidRDefault="009A429C">
      <w:pPr>
        <w:rPr>
          <w:b/>
          <w:bCs/>
          <w:sz w:val="18"/>
          <w:szCs w:val="18"/>
          <w:u w:val="single"/>
        </w:rPr>
      </w:pPr>
    </w:p>
    <w:p w14:paraId="5C6823BE" w14:textId="54C9EEDA" w:rsidR="009A429C" w:rsidRPr="009A429C" w:rsidRDefault="009A429C">
      <w:pPr>
        <w:rPr>
          <w:sz w:val="18"/>
          <w:szCs w:val="18"/>
        </w:rPr>
      </w:pPr>
      <w:r w:rsidRPr="009A429C">
        <w:rPr>
          <w:sz w:val="18"/>
          <w:szCs w:val="18"/>
        </w:rPr>
        <w:t xml:space="preserve">Scott Cuthbertson updates the board on the KPI’s and other goals of the organization for fiscal year 2024 and </w:t>
      </w:r>
      <w:proofErr w:type="spellStart"/>
      <w:r w:rsidRPr="009A429C">
        <w:rPr>
          <w:sz w:val="18"/>
          <w:szCs w:val="18"/>
        </w:rPr>
        <w:t>progcess</w:t>
      </w:r>
      <w:proofErr w:type="spellEnd"/>
      <w:r w:rsidRPr="009A429C">
        <w:rPr>
          <w:sz w:val="18"/>
          <w:szCs w:val="18"/>
        </w:rPr>
        <w:t xml:space="preserve"> made to date. </w:t>
      </w:r>
    </w:p>
    <w:p w14:paraId="12DA5AB9" w14:textId="77777777" w:rsidR="00536F86" w:rsidRDefault="00536F86">
      <w:pPr>
        <w:rPr>
          <w:b/>
          <w:bCs/>
          <w:sz w:val="18"/>
          <w:szCs w:val="18"/>
        </w:rPr>
      </w:pPr>
    </w:p>
    <w:p w14:paraId="77382730" w14:textId="3271993C" w:rsidR="009A429C" w:rsidRDefault="009A429C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Incentives Update</w:t>
      </w:r>
    </w:p>
    <w:p w14:paraId="4C2528ED" w14:textId="1E88AAF9" w:rsidR="009A429C" w:rsidRDefault="009A429C">
      <w:pPr>
        <w:rPr>
          <w:sz w:val="18"/>
          <w:szCs w:val="18"/>
        </w:rPr>
      </w:pPr>
    </w:p>
    <w:p w14:paraId="1D1BD951" w14:textId="3C652A70" w:rsidR="009A429C" w:rsidRDefault="009A429C">
      <w:pPr>
        <w:rPr>
          <w:sz w:val="18"/>
          <w:szCs w:val="18"/>
        </w:rPr>
      </w:pPr>
      <w:r>
        <w:rPr>
          <w:sz w:val="18"/>
          <w:szCs w:val="18"/>
        </w:rPr>
        <w:t>Daniel Royal presents the EDTIF’s KPI’s progress so far.</w:t>
      </w:r>
    </w:p>
    <w:p w14:paraId="4A7B1692" w14:textId="77777777" w:rsidR="009A429C" w:rsidRPr="009A429C" w:rsidRDefault="009A429C">
      <w:pPr>
        <w:rPr>
          <w:sz w:val="18"/>
          <w:szCs w:val="18"/>
        </w:rPr>
      </w:pPr>
    </w:p>
    <w:p w14:paraId="717BFD65" w14:textId="10EA9006" w:rsidR="00536F86" w:rsidRPr="009A429C" w:rsidRDefault="009A429C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GOEO Update</w:t>
      </w:r>
    </w:p>
    <w:p w14:paraId="48CE4E4B" w14:textId="77777777" w:rsidR="00502276" w:rsidRDefault="00502276" w:rsidP="004A128F">
      <w:pPr>
        <w:rPr>
          <w:bCs/>
          <w:sz w:val="18"/>
          <w:szCs w:val="18"/>
        </w:rPr>
      </w:pPr>
    </w:p>
    <w:p w14:paraId="3458394F" w14:textId="21136AF5" w:rsidR="00502276" w:rsidRPr="00260CD9" w:rsidRDefault="00502276" w:rsidP="004A128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Ryan Starks Give some final words</w:t>
      </w:r>
      <w:r w:rsidR="009A429C">
        <w:rPr>
          <w:bCs/>
          <w:sz w:val="18"/>
          <w:szCs w:val="18"/>
        </w:rPr>
        <w:t xml:space="preserve"> to the board.</w:t>
      </w:r>
    </w:p>
    <w:p w14:paraId="38072782" w14:textId="77777777" w:rsidR="00063F88" w:rsidRDefault="00063F88">
      <w:pPr>
        <w:rPr>
          <w:sz w:val="18"/>
          <w:szCs w:val="18"/>
        </w:rPr>
      </w:pPr>
    </w:p>
    <w:p w14:paraId="4FAEEED3" w14:textId="77777777" w:rsidR="00FE72A4" w:rsidRDefault="00F724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Meeting Adjourned </w:t>
      </w:r>
    </w:p>
    <w:sectPr w:rsidR="00FE72A4">
      <w:headerReference w:type="default" r:id="rId7"/>
      <w:pgSz w:w="12240" w:h="15840"/>
      <w:pgMar w:top="1440" w:right="1800" w:bottom="117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A1DD" w14:textId="77777777" w:rsidR="00F43680" w:rsidRDefault="00F724D9">
      <w:r>
        <w:separator/>
      </w:r>
    </w:p>
  </w:endnote>
  <w:endnote w:type="continuationSeparator" w:id="0">
    <w:p w14:paraId="72214AF4" w14:textId="77777777" w:rsidR="00F43680" w:rsidRDefault="00F7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FA55" w14:textId="77777777" w:rsidR="00F43680" w:rsidRDefault="00F724D9">
      <w:r>
        <w:separator/>
      </w:r>
    </w:p>
  </w:footnote>
  <w:footnote w:type="continuationSeparator" w:id="0">
    <w:p w14:paraId="4E862E87" w14:textId="77777777" w:rsidR="00F43680" w:rsidRDefault="00F7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E5E0" w14:textId="77777777" w:rsidR="00FE72A4" w:rsidRDefault="00FE72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18"/>
        <w:szCs w:val="18"/>
      </w:rPr>
    </w:pPr>
  </w:p>
  <w:tbl>
    <w:tblPr>
      <w:tblStyle w:val="a0"/>
      <w:tblW w:w="864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7536"/>
      <w:gridCol w:w="1104"/>
    </w:tblGrid>
    <w:tr w:rsidR="00FE72A4" w14:paraId="438B8E65" w14:textId="77777777">
      <w:trPr>
        <w:trHeight w:val="288"/>
      </w:trPr>
      <w:tc>
        <w:tcPr>
          <w:tcW w:w="7536" w:type="dxa"/>
        </w:tcPr>
        <w:p w14:paraId="20A18B0F" w14:textId="77777777" w:rsidR="00FE72A4" w:rsidRDefault="00F724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 xml:space="preserve">GOEO Board                        </w:t>
          </w:r>
        </w:p>
      </w:tc>
      <w:tc>
        <w:tcPr>
          <w:tcW w:w="1104" w:type="dxa"/>
        </w:tcPr>
        <w:p w14:paraId="70609045" w14:textId="77777777" w:rsidR="00FE72A4" w:rsidRDefault="00F724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  <w:t>2023</w:t>
          </w:r>
        </w:p>
      </w:tc>
    </w:tr>
  </w:tbl>
  <w:p w14:paraId="5BE27EBF" w14:textId="77777777" w:rsidR="00FE72A4" w:rsidRDefault="00FE72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A4"/>
    <w:rsid w:val="00063F88"/>
    <w:rsid w:val="00066C55"/>
    <w:rsid w:val="00084217"/>
    <w:rsid w:val="000C5CD0"/>
    <w:rsid w:val="000E6F46"/>
    <w:rsid w:val="0014141E"/>
    <w:rsid w:val="00142974"/>
    <w:rsid w:val="001801A6"/>
    <w:rsid w:val="0022120E"/>
    <w:rsid w:val="00242241"/>
    <w:rsid w:val="00260CD9"/>
    <w:rsid w:val="002B19BE"/>
    <w:rsid w:val="003E7A2E"/>
    <w:rsid w:val="0048463B"/>
    <w:rsid w:val="004A128F"/>
    <w:rsid w:val="004C3D98"/>
    <w:rsid w:val="00502276"/>
    <w:rsid w:val="00536F86"/>
    <w:rsid w:val="005545E9"/>
    <w:rsid w:val="00567714"/>
    <w:rsid w:val="005B69C3"/>
    <w:rsid w:val="005C4DC8"/>
    <w:rsid w:val="005D6389"/>
    <w:rsid w:val="005E42EB"/>
    <w:rsid w:val="006340EF"/>
    <w:rsid w:val="006629FF"/>
    <w:rsid w:val="00683370"/>
    <w:rsid w:val="006847B2"/>
    <w:rsid w:val="006D2C9D"/>
    <w:rsid w:val="00764D30"/>
    <w:rsid w:val="007B01F7"/>
    <w:rsid w:val="007D2DF6"/>
    <w:rsid w:val="007F036C"/>
    <w:rsid w:val="00897218"/>
    <w:rsid w:val="008D0C98"/>
    <w:rsid w:val="009069A0"/>
    <w:rsid w:val="00952FF6"/>
    <w:rsid w:val="009A429C"/>
    <w:rsid w:val="009C740E"/>
    <w:rsid w:val="009E57A5"/>
    <w:rsid w:val="00A438C7"/>
    <w:rsid w:val="00AB5DC0"/>
    <w:rsid w:val="00B02408"/>
    <w:rsid w:val="00B105E3"/>
    <w:rsid w:val="00B60BA6"/>
    <w:rsid w:val="00B6721E"/>
    <w:rsid w:val="00C60399"/>
    <w:rsid w:val="00C770CE"/>
    <w:rsid w:val="00C8361D"/>
    <w:rsid w:val="00CE0676"/>
    <w:rsid w:val="00E05E4A"/>
    <w:rsid w:val="00E47DA3"/>
    <w:rsid w:val="00E70815"/>
    <w:rsid w:val="00E95A1C"/>
    <w:rsid w:val="00E9654B"/>
    <w:rsid w:val="00EE626A"/>
    <w:rsid w:val="00F01023"/>
    <w:rsid w:val="00F43680"/>
    <w:rsid w:val="00F724D9"/>
    <w:rsid w:val="00F92DA3"/>
    <w:rsid w:val="00FE2114"/>
    <w:rsid w:val="00FE4DCB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8E50"/>
  <w15:docId w15:val="{4FBBE495-0F61-44D5-A1F0-6673752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38"/>
  </w:style>
  <w:style w:type="paragraph" w:styleId="Heading1">
    <w:name w:val="heading 1"/>
    <w:basedOn w:val="Normal"/>
    <w:next w:val="Normal"/>
    <w:link w:val="Heading1Char"/>
    <w:uiPriority w:val="9"/>
    <w:qFormat/>
    <w:rsid w:val="004765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A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59"/>
    <w:pPr>
      <w:keepNext/>
      <w:widowControl w:val="0"/>
      <w:tabs>
        <w:tab w:val="left" w:pos="-1120"/>
        <w:tab w:val="left" w:pos="-720"/>
        <w:tab w:val="left" w:pos="0"/>
        <w:tab w:val="left" w:pos="474"/>
        <w:tab w:val="left" w:pos="720"/>
        <w:tab w:val="left" w:pos="1081"/>
      </w:tabs>
      <w:autoSpaceDE w:val="0"/>
      <w:autoSpaceDN w:val="0"/>
      <w:adjustRightInd w:val="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70812"/>
    <w:pPr>
      <w:widowControl w:val="0"/>
      <w:autoSpaceDE w:val="0"/>
      <w:autoSpaceDN w:val="0"/>
      <w:spacing w:before="64"/>
      <w:ind w:left="2330" w:right="2224"/>
      <w:jc w:val="center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D86F09"/>
    <w:pPr>
      <w:ind w:left="720"/>
    </w:pPr>
  </w:style>
  <w:style w:type="paragraph" w:styleId="Header">
    <w:name w:val="header"/>
    <w:basedOn w:val="Normal"/>
    <w:link w:val="HeaderChar"/>
    <w:uiPriority w:val="99"/>
    <w:rsid w:val="00D86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F0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6F09"/>
    <w:pPr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rsid w:val="00D86F09"/>
    <w:rPr>
      <w:rFonts w:ascii="Arial" w:eastAsia="Times New Roman" w:hAnsi="Arial" w:cs="Arial"/>
      <w:sz w:val="24"/>
      <w:szCs w:val="24"/>
    </w:rPr>
  </w:style>
  <w:style w:type="paragraph" w:customStyle="1" w:styleId="MainBody">
    <w:name w:val="Main Body"/>
    <w:basedOn w:val="Normal"/>
    <w:link w:val="MainBodyChar"/>
    <w:rsid w:val="00D86F09"/>
    <w:rPr>
      <w:sz w:val="20"/>
    </w:rPr>
  </w:style>
  <w:style w:type="character" w:customStyle="1" w:styleId="MainBodyChar">
    <w:name w:val="Main Body Char"/>
    <w:link w:val="MainBody"/>
    <w:locked/>
    <w:rsid w:val="00D86F09"/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D86F09"/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86550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E914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rsid w:val="00FC2C8E"/>
    <w:rPr>
      <w:rFonts w:ascii="Cambria" w:eastAsia="Cambria" w:hAnsi="Cambria" w:cs="Cambria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B2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6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6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67151"/>
  </w:style>
  <w:style w:type="table" w:styleId="LightShading-Accent3">
    <w:name w:val="Light Shading Accent 3"/>
    <w:basedOn w:val="TableNormal"/>
    <w:uiPriority w:val="60"/>
    <w:rsid w:val="007860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CommentReference">
    <w:name w:val="annotation reference"/>
    <w:uiPriority w:val="99"/>
    <w:semiHidden/>
    <w:unhideWhenUsed/>
    <w:rsid w:val="0060069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22DB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32A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6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04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045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15ECC"/>
    <w:pPr>
      <w:widowControl w:val="0"/>
      <w:autoSpaceDE w:val="0"/>
      <w:autoSpaceDN w:val="0"/>
      <w:ind w:left="100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5ECC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70812"/>
    <w:rPr>
      <w:rFonts w:ascii="Times New Roman" w:eastAsia="Times New Roman" w:hAnsi="Times New Roman" w:cs="Times New Roman"/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f81AGiQw+zLjkFA08wLUTW40g==">CgMxLjAaFAoBMBIPCg0IB0IJEgdHdW5nc3VoOAByITFTLU12cUw3NktSMF8tc2l5LWI3TFh1SWduR1JlbGZxeA==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Barnhouse</dc:creator>
  <cp:lastModifiedBy>Hyrum Worth</cp:lastModifiedBy>
  <cp:revision>22</cp:revision>
  <dcterms:created xsi:type="dcterms:W3CDTF">2023-08-28T19:07:00Z</dcterms:created>
  <dcterms:modified xsi:type="dcterms:W3CDTF">2023-10-05T19:28:00Z</dcterms:modified>
</cp:coreProperties>
</file>