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000000"/>
          <w:sz w:val="18"/>
          <w:szCs w:val="18"/>
        </w:rPr>
      </w:pPr>
      <w:r w:rsidDel="00000000" w:rsidR="00000000" w:rsidRPr="00000000">
        <w:rPr>
          <w:b w:val="1"/>
          <w:color w:val="000000"/>
          <w:sz w:val="18"/>
          <w:szCs w:val="18"/>
          <w:rtl w:val="0"/>
        </w:rPr>
        <w:t xml:space="preserve">Talent, Education &amp; Industry Alignment </w:t>
      </w:r>
      <w:r w:rsidDel="00000000" w:rsidR="00000000" w:rsidRPr="00000000">
        <w:rPr>
          <w:b w:val="1"/>
          <w:sz w:val="18"/>
          <w:szCs w:val="18"/>
          <w:rtl w:val="0"/>
        </w:rPr>
        <w:t xml:space="preserve">Board</w:t>
      </w:r>
      <w:r w:rsidDel="00000000" w:rsidR="00000000" w:rsidRPr="00000000">
        <w:rPr>
          <w:b w:val="1"/>
          <w:color w:val="000000"/>
          <w:sz w:val="18"/>
          <w:szCs w:val="18"/>
          <w:rtl w:val="0"/>
        </w:rPr>
        <w:t xml:space="preserve"> Meeting Minutes</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color w:val="000000"/>
          <w:sz w:val="18"/>
          <w:szCs w:val="18"/>
        </w:rPr>
      </w:pPr>
      <w:r w:rsidDel="00000000" w:rsidR="00000000" w:rsidRPr="00000000">
        <w:rPr>
          <w:sz w:val="18"/>
          <w:szCs w:val="18"/>
          <w:rtl w:val="0"/>
        </w:rPr>
        <w:t xml:space="preserve">Tuesday October 3, 2023</w:t>
      </w:r>
      <w:r w:rsidDel="00000000" w:rsidR="00000000" w:rsidRPr="00000000">
        <w:rPr>
          <w:color w:val="000000"/>
          <w:sz w:val="18"/>
          <w:szCs w:val="18"/>
          <w:rtl w:val="0"/>
        </w:rPr>
        <w:t xml:space="preserve"> </w:t>
      </w:r>
      <w:r w:rsidDel="00000000" w:rsidR="00000000" w:rsidRPr="00000000">
        <w:rPr>
          <w:rFonts w:ascii="Gungsuh" w:cs="Gungsuh" w:eastAsia="Gungsuh" w:hAnsi="Gungsuh"/>
          <w:color w:val="000000"/>
          <w:sz w:val="18"/>
          <w:szCs w:val="18"/>
          <w:rtl w:val="0"/>
        </w:rPr>
        <w:t xml:space="preserve">∙ </w:t>
      </w:r>
      <w:r w:rsidDel="00000000" w:rsidR="00000000" w:rsidRPr="00000000">
        <w:rPr>
          <w:rFonts w:ascii="Gungsuh" w:cs="Gungsuh" w:eastAsia="Gungsuh" w:hAnsi="Gungsuh"/>
          <w:sz w:val="18"/>
          <w:szCs w:val="18"/>
          <w:rtl w:val="0"/>
        </w:rPr>
        <w:t xml:space="preserve">8am-9am</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bl>
      <w:tblPr>
        <w:tblStyle w:val="Table1"/>
        <w:tblW w:w="9502.0" w:type="dxa"/>
        <w:jc w:val="center"/>
        <w:tblBorders>
          <w:top w:color="000000" w:space="0" w:sz="4" w:val="single"/>
          <w:bottom w:color="000000" w:space="0" w:sz="4" w:val="single"/>
          <w:insideH w:color="000000" w:space="0" w:sz="4" w:val="single"/>
        </w:tblBorders>
        <w:tblLayout w:type="fixed"/>
        <w:tblLook w:val="0000"/>
      </w:tblPr>
      <w:tblGrid>
        <w:gridCol w:w="1961"/>
        <w:gridCol w:w="7541"/>
        <w:tblGridChange w:id="0">
          <w:tblGrid>
            <w:gridCol w:w="1961"/>
            <w:gridCol w:w="7541"/>
          </w:tblGrid>
        </w:tblGridChange>
      </w:tblGrid>
      <w:tr>
        <w:trPr>
          <w:cantSplit w:val="0"/>
          <w:trHeight w:val="780.9472656250002" w:hRule="atLeast"/>
          <w:tblHeader w:val="0"/>
        </w:trPr>
        <w:tc>
          <w:tcPr>
            <w:vAlign w:val="center"/>
          </w:tcPr>
          <w:p w:rsidR="00000000" w:rsidDel="00000000" w:rsidP="00000000" w:rsidRDefault="00000000" w:rsidRPr="00000000" w14:paraId="00000004">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Committee Members:</w:t>
            </w:r>
            <w:r w:rsidDel="00000000" w:rsidR="00000000" w:rsidRPr="00000000">
              <w:rPr>
                <w:b w:val="1"/>
                <w:sz w:val="18"/>
                <w:szCs w:val="18"/>
                <w:rtl w:val="0"/>
              </w:rPr>
              <w:t xml:space="preserve">  </w:t>
            </w:r>
            <w:r w:rsidDel="00000000" w:rsidR="00000000" w:rsidRPr="00000000">
              <w:rPr>
                <w:rtl w:val="0"/>
              </w:rPr>
            </w:r>
          </w:p>
        </w:tc>
        <w:tc>
          <w:tcPr>
            <w:vAlign w:val="center"/>
          </w:tcPr>
          <w:p w:rsidR="00000000" w:rsidDel="00000000" w:rsidP="00000000" w:rsidRDefault="00000000" w:rsidRPr="00000000" w14:paraId="00000005">
            <w:pPr>
              <w:spacing w:line="276" w:lineRule="auto"/>
              <w:rPr>
                <w:sz w:val="18"/>
                <w:szCs w:val="18"/>
              </w:rPr>
            </w:pPr>
            <w:r w:rsidDel="00000000" w:rsidR="00000000" w:rsidRPr="00000000">
              <w:rPr>
                <w:sz w:val="18"/>
                <w:szCs w:val="18"/>
                <w:rtl w:val="0"/>
              </w:rPr>
              <w:t xml:space="preserve">Alison O’Mahony, Chuck Taylor, Heather Brace, Senator Ann Millner,Sidni Shorter, Joshua Aikens, Greg Paras,Margaret Busse, Jeff Moss, Will Clive, Mark Steinager, Derek Miller, Erin Casale</w:t>
            </w:r>
          </w:p>
        </w:tc>
      </w:tr>
      <w:tr>
        <w:trPr>
          <w:cantSplit w:val="0"/>
          <w:trHeight w:val="440" w:hRule="atLeast"/>
          <w:tblHeader w:val="0"/>
        </w:trPr>
        <w:tc>
          <w:tcP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sz w:val="18"/>
                <w:szCs w:val="18"/>
              </w:rPr>
            </w:pPr>
            <w:r w:rsidDel="00000000" w:rsidR="00000000" w:rsidRPr="00000000">
              <w:rPr>
                <w:sz w:val="18"/>
                <w:szCs w:val="18"/>
                <w:rtl w:val="0"/>
              </w:rPr>
              <w:t xml:space="preserve"> </w:t>
            </w:r>
            <w:r w:rsidDel="00000000" w:rsidR="00000000" w:rsidRPr="00000000">
              <w:rPr>
                <w:b w:val="1"/>
                <w:sz w:val="18"/>
                <w:szCs w:val="18"/>
                <w:rtl w:val="0"/>
              </w:rPr>
              <w:t xml:space="preserve">Others:  </w:t>
            </w:r>
          </w:p>
        </w:tc>
        <w:tc>
          <w:tcP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rPr>
                <w:sz w:val="18"/>
                <w:szCs w:val="18"/>
              </w:rPr>
            </w:pPr>
            <w:r w:rsidDel="00000000" w:rsidR="00000000" w:rsidRPr="00000000">
              <w:rPr>
                <w:sz w:val="18"/>
                <w:szCs w:val="18"/>
                <w:rtl w:val="0"/>
              </w:rPr>
              <w:t xml:space="preserve">Vic Hockett, Rachelle Ackley, Peter Reed, Samantha Aird, Amy Andre, Kristina Yamada, Jacob Wright, Scotty Navlin, Melisa Stark, Jim Grover, Robert Wood, Thalea Longhurst, Jeff Shumway, Aspen Hawks, Jared Haines</w:t>
            </w:r>
          </w:p>
        </w:tc>
      </w:tr>
    </w:tbl>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rPr>
          <w:sz w:val="18"/>
          <w:szCs w:val="18"/>
        </w:rPr>
      </w:pPr>
      <w:r w:rsidDel="00000000" w:rsidR="00000000" w:rsidRPr="00000000">
        <w:rPr>
          <w:b w:val="1"/>
          <w:color w:val="000000"/>
          <w:sz w:val="18"/>
          <w:szCs w:val="18"/>
          <w:u w:val="single"/>
          <w:rtl w:val="0"/>
        </w:rPr>
        <w:t xml:space="preserve">Call to Order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sz w:val="18"/>
          <w:szCs w:val="18"/>
        </w:rPr>
      </w:pPr>
      <w:r w:rsidDel="00000000" w:rsidR="00000000" w:rsidRPr="00000000">
        <w:rPr>
          <w:color w:val="000000"/>
          <w:sz w:val="18"/>
          <w:szCs w:val="18"/>
          <w:rtl w:val="0"/>
        </w:rPr>
        <w:t xml:space="preserve">Welcome and introduction by Sen. Ann Millner.</w:t>
      </w:r>
    </w:p>
    <w:p w:rsidR="00000000" w:rsidDel="00000000" w:rsidP="00000000" w:rsidRDefault="00000000" w:rsidRPr="00000000" w14:paraId="0000000B">
      <w:pPr>
        <w:pBdr>
          <w:top w:space="0" w:sz="0" w:val="nil"/>
          <w:left w:space="0" w:sz="0" w:val="nil"/>
          <w:bottom w:space="0" w:sz="0" w:val="nil"/>
          <w:right w:space="0" w:sz="0" w:val="nil"/>
          <w:between w:space="0" w:sz="0" w:val="nil"/>
        </w:pBdr>
        <w:rPr>
          <w:sz w:val="18"/>
          <w:szCs w:val="18"/>
        </w:rPr>
      </w:pPr>
      <w:r w:rsidDel="00000000" w:rsidR="00000000" w:rsidRPr="00000000">
        <w:rPr>
          <w:rtl w:val="0"/>
        </w:rPr>
      </w:r>
    </w:p>
    <w:p w:rsidR="00000000" w:rsidDel="00000000" w:rsidP="00000000" w:rsidRDefault="00000000" w:rsidRPr="00000000" w14:paraId="0000000C">
      <w:pPr>
        <w:rPr>
          <w:b w:val="1"/>
          <w:sz w:val="18"/>
          <w:szCs w:val="18"/>
          <w:u w:val="single"/>
        </w:rPr>
      </w:pPr>
      <w:r w:rsidDel="00000000" w:rsidR="00000000" w:rsidRPr="00000000">
        <w:rPr>
          <w:b w:val="1"/>
          <w:sz w:val="18"/>
          <w:szCs w:val="18"/>
          <w:u w:val="single"/>
          <w:rtl w:val="0"/>
        </w:rPr>
        <w:t xml:space="preserve">Minutes Approved</w:t>
      </w:r>
    </w:p>
    <w:p w:rsidR="00000000" w:rsidDel="00000000" w:rsidP="00000000" w:rsidRDefault="00000000" w:rsidRPr="00000000" w14:paraId="0000000D">
      <w:pPr>
        <w:rPr>
          <w:sz w:val="18"/>
          <w:szCs w:val="18"/>
        </w:rPr>
      </w:pPr>
      <w:r w:rsidDel="00000000" w:rsidR="00000000" w:rsidRPr="00000000">
        <w:rPr>
          <w:sz w:val="18"/>
          <w:szCs w:val="18"/>
          <w:rtl w:val="0"/>
        </w:rPr>
        <w:t xml:space="preserve">Motion:Motion made to approve the August 24 meeting minutes. The motion was seconded. There were no opposed votes.</w:t>
      </w:r>
    </w:p>
    <w:p w:rsidR="00000000" w:rsidDel="00000000" w:rsidP="00000000" w:rsidRDefault="00000000" w:rsidRPr="00000000" w14:paraId="0000000E">
      <w:pPr>
        <w:rPr>
          <w:sz w:val="18"/>
          <w:szCs w:val="18"/>
        </w:rPr>
      </w:pPr>
      <w:r w:rsidDel="00000000" w:rsidR="00000000" w:rsidRPr="00000000">
        <w:rPr>
          <w:rtl w:val="0"/>
        </w:rPr>
      </w:r>
    </w:p>
    <w:p w:rsidR="00000000" w:rsidDel="00000000" w:rsidP="00000000" w:rsidRDefault="00000000" w:rsidRPr="00000000" w14:paraId="0000000F">
      <w:pPr>
        <w:rPr>
          <w:b w:val="1"/>
          <w:sz w:val="18"/>
          <w:szCs w:val="18"/>
          <w:u w:val="single"/>
        </w:rPr>
      </w:pPr>
      <w:r w:rsidDel="00000000" w:rsidR="00000000" w:rsidRPr="00000000">
        <w:rPr>
          <w:b w:val="1"/>
          <w:sz w:val="18"/>
          <w:szCs w:val="18"/>
          <w:u w:val="single"/>
          <w:rtl w:val="0"/>
        </w:rPr>
        <w:t xml:space="preserve">Introduction of Board Member</w:t>
      </w:r>
    </w:p>
    <w:p w:rsidR="00000000" w:rsidDel="00000000" w:rsidP="00000000" w:rsidRDefault="00000000" w:rsidRPr="00000000" w14:paraId="00000010">
      <w:pPr>
        <w:rPr>
          <w:sz w:val="18"/>
          <w:szCs w:val="18"/>
        </w:rPr>
      </w:pPr>
      <w:r w:rsidDel="00000000" w:rsidR="00000000" w:rsidRPr="00000000">
        <w:rPr>
          <w:sz w:val="18"/>
          <w:szCs w:val="18"/>
          <w:rtl w:val="0"/>
        </w:rPr>
        <w:t xml:space="preserve">Senator Millner introduced Will Clive as the newest board member. He will be replacing Aaron Skonnard.</w:t>
      </w:r>
    </w:p>
    <w:p w:rsidR="00000000" w:rsidDel="00000000" w:rsidP="00000000" w:rsidRDefault="00000000" w:rsidRPr="00000000" w14:paraId="00000011">
      <w:pPr>
        <w:rPr>
          <w:sz w:val="18"/>
          <w:szCs w:val="18"/>
        </w:rPr>
      </w:pPr>
      <w:r w:rsidDel="00000000" w:rsidR="00000000" w:rsidRPr="00000000">
        <w:rPr>
          <w:rtl w:val="0"/>
        </w:rPr>
      </w:r>
    </w:p>
    <w:p w:rsidR="00000000" w:rsidDel="00000000" w:rsidP="00000000" w:rsidRDefault="00000000" w:rsidRPr="00000000" w14:paraId="00000012">
      <w:pPr>
        <w:rPr>
          <w:b w:val="1"/>
          <w:sz w:val="18"/>
          <w:szCs w:val="18"/>
          <w:u w:val="single"/>
        </w:rPr>
      </w:pPr>
      <w:r w:rsidDel="00000000" w:rsidR="00000000" w:rsidRPr="00000000">
        <w:rPr>
          <w:b w:val="1"/>
          <w:sz w:val="18"/>
          <w:szCs w:val="18"/>
          <w:u w:val="single"/>
          <w:rtl w:val="0"/>
        </w:rPr>
        <w:t xml:space="preserve">Introduction of New Talent Ready Utah Member</w:t>
      </w:r>
    </w:p>
    <w:p w:rsidR="00000000" w:rsidDel="00000000" w:rsidP="00000000" w:rsidRDefault="00000000" w:rsidRPr="00000000" w14:paraId="00000013">
      <w:pPr>
        <w:rPr>
          <w:sz w:val="18"/>
          <w:szCs w:val="18"/>
        </w:rPr>
      </w:pPr>
      <w:r w:rsidDel="00000000" w:rsidR="00000000" w:rsidRPr="00000000">
        <w:rPr>
          <w:sz w:val="18"/>
          <w:szCs w:val="18"/>
          <w:rtl w:val="0"/>
        </w:rPr>
        <w:t xml:space="preserve">Senator Millner also introduced Jimmy McDonough. He will be replacing Peter Reed who has relocated to Washington.</w:t>
      </w:r>
    </w:p>
    <w:p w:rsidR="00000000" w:rsidDel="00000000" w:rsidP="00000000" w:rsidRDefault="00000000" w:rsidRPr="00000000" w14:paraId="00000014">
      <w:pPr>
        <w:ind w:right="-720"/>
        <w:rPr>
          <w:sz w:val="18"/>
          <w:szCs w:val="18"/>
        </w:rPr>
      </w:pPr>
      <w:r w:rsidDel="00000000" w:rsidR="00000000" w:rsidRPr="00000000">
        <w:rPr>
          <w:rtl w:val="0"/>
        </w:rPr>
      </w:r>
    </w:p>
    <w:p w:rsidR="00000000" w:rsidDel="00000000" w:rsidP="00000000" w:rsidRDefault="00000000" w:rsidRPr="00000000" w14:paraId="00000015">
      <w:pPr>
        <w:ind w:right="-720"/>
        <w:rPr>
          <w:b w:val="1"/>
          <w:sz w:val="18"/>
          <w:szCs w:val="18"/>
          <w:u w:val="single"/>
        </w:rPr>
      </w:pPr>
      <w:r w:rsidDel="00000000" w:rsidR="00000000" w:rsidRPr="00000000">
        <w:rPr>
          <w:b w:val="1"/>
          <w:sz w:val="18"/>
          <w:szCs w:val="18"/>
          <w:u w:val="single"/>
          <w:rtl w:val="0"/>
        </w:rPr>
        <w:t xml:space="preserve">UEOC/GOPB Requests</w:t>
      </w:r>
    </w:p>
    <w:p w:rsidR="00000000" w:rsidDel="00000000" w:rsidP="00000000" w:rsidRDefault="00000000" w:rsidRPr="00000000" w14:paraId="00000016">
      <w:pPr>
        <w:ind w:right="-720"/>
        <w:rPr>
          <w:b w:val="1"/>
          <w:sz w:val="18"/>
          <w:szCs w:val="18"/>
          <w:u w:val="single"/>
        </w:rPr>
      </w:pPr>
      <w:r w:rsidDel="00000000" w:rsidR="00000000" w:rsidRPr="00000000">
        <w:rPr>
          <w:rtl w:val="0"/>
        </w:rPr>
      </w:r>
    </w:p>
    <w:p w:rsidR="00000000" w:rsidDel="00000000" w:rsidP="00000000" w:rsidRDefault="00000000" w:rsidRPr="00000000" w14:paraId="00000017">
      <w:pPr>
        <w:ind w:right="-720"/>
        <w:rPr>
          <w:sz w:val="18"/>
          <w:szCs w:val="18"/>
        </w:rPr>
      </w:pPr>
      <w:r w:rsidDel="00000000" w:rsidR="00000000" w:rsidRPr="00000000">
        <w:rPr>
          <w:sz w:val="18"/>
          <w:szCs w:val="18"/>
          <w:rtl w:val="0"/>
        </w:rPr>
        <w:t xml:space="preserve">Vic Hockett introduced the RFAs that will be submitted to the legislature during the next session and seek approval from the board to move forward. Vic explained the methodology that goes into creating the direction for the RFAs. Convene, Collect, Assess and Act. </w:t>
      </w:r>
    </w:p>
    <w:p w:rsidR="00000000" w:rsidDel="00000000" w:rsidP="00000000" w:rsidRDefault="00000000" w:rsidRPr="00000000" w14:paraId="00000018">
      <w:pPr>
        <w:ind w:right="-720"/>
        <w:rPr>
          <w:sz w:val="18"/>
          <w:szCs w:val="18"/>
        </w:rPr>
      </w:pPr>
      <w:r w:rsidDel="00000000" w:rsidR="00000000" w:rsidRPr="00000000">
        <w:rPr>
          <w:rtl w:val="0"/>
        </w:rPr>
      </w:r>
    </w:p>
    <w:p w:rsidR="00000000" w:rsidDel="00000000" w:rsidP="00000000" w:rsidRDefault="00000000" w:rsidRPr="00000000" w14:paraId="00000019">
      <w:pPr>
        <w:ind w:right="-720"/>
        <w:rPr>
          <w:sz w:val="18"/>
          <w:szCs w:val="18"/>
        </w:rPr>
      </w:pPr>
      <w:r w:rsidDel="00000000" w:rsidR="00000000" w:rsidRPr="00000000">
        <w:rPr>
          <w:sz w:val="18"/>
          <w:szCs w:val="18"/>
          <w:rtl w:val="0"/>
        </w:rPr>
        <w:t xml:space="preserve">Derek Miller shared information from a US Chamber of Commerce meeting that may help with the direction of future projects. Alison Mahoney asked Derek if there was feedback on what was going well, or states that were doing well with workforce development. Derek explained that efforts in immigration was the focus, so there are no best practices to share at this time.</w:t>
      </w:r>
    </w:p>
    <w:p w:rsidR="00000000" w:rsidDel="00000000" w:rsidP="00000000" w:rsidRDefault="00000000" w:rsidRPr="00000000" w14:paraId="0000001A">
      <w:pPr>
        <w:ind w:right="-720"/>
        <w:rPr>
          <w:sz w:val="18"/>
          <w:szCs w:val="18"/>
        </w:rPr>
      </w:pPr>
      <w:r w:rsidDel="00000000" w:rsidR="00000000" w:rsidRPr="00000000">
        <w:rPr>
          <w:rtl w:val="0"/>
        </w:rPr>
      </w:r>
    </w:p>
    <w:p w:rsidR="00000000" w:rsidDel="00000000" w:rsidP="00000000" w:rsidRDefault="00000000" w:rsidRPr="00000000" w14:paraId="0000001B">
      <w:pPr>
        <w:ind w:right="-720"/>
        <w:rPr>
          <w:sz w:val="18"/>
          <w:szCs w:val="18"/>
        </w:rPr>
      </w:pPr>
      <w:r w:rsidDel="00000000" w:rsidR="00000000" w:rsidRPr="00000000">
        <w:rPr>
          <w:sz w:val="18"/>
          <w:szCs w:val="18"/>
          <w:rtl w:val="0"/>
        </w:rPr>
        <w:t xml:space="preserve">Vic continued by discussing the Life Sciences RFA. He mentioned that the Medical Innovation Pathway is being redeveloped and will be relaunched through the efforts of Rachelle Ackley and Amy Andre. </w:t>
      </w:r>
    </w:p>
    <w:p w:rsidR="00000000" w:rsidDel="00000000" w:rsidP="00000000" w:rsidRDefault="00000000" w:rsidRPr="00000000" w14:paraId="0000001C">
      <w:pPr>
        <w:ind w:right="-720"/>
        <w:rPr>
          <w:sz w:val="18"/>
          <w:szCs w:val="18"/>
        </w:rPr>
      </w:pPr>
      <w:r w:rsidDel="00000000" w:rsidR="00000000" w:rsidRPr="00000000">
        <w:rPr>
          <w:rtl w:val="0"/>
        </w:rPr>
      </w:r>
    </w:p>
    <w:p w:rsidR="00000000" w:rsidDel="00000000" w:rsidP="00000000" w:rsidRDefault="00000000" w:rsidRPr="00000000" w14:paraId="0000001D">
      <w:pPr>
        <w:ind w:right="-720"/>
        <w:rPr>
          <w:sz w:val="18"/>
          <w:szCs w:val="18"/>
        </w:rPr>
      </w:pPr>
      <w:r w:rsidDel="00000000" w:rsidR="00000000" w:rsidRPr="00000000">
        <w:rPr>
          <w:sz w:val="18"/>
          <w:szCs w:val="18"/>
          <w:rtl w:val="0"/>
        </w:rPr>
        <w:t xml:space="preserve">In Life Sciences the focus will not be on specific occupations, but on growing the ecosystem as a whole starting in K-12 and going up through PHD level. This will allow for the creation of a multi-level development for talent. Some of these opportunities will also include upskilling current workforce. </w:t>
      </w:r>
    </w:p>
    <w:p w:rsidR="00000000" w:rsidDel="00000000" w:rsidP="00000000" w:rsidRDefault="00000000" w:rsidRPr="00000000" w14:paraId="0000001E">
      <w:pPr>
        <w:ind w:right="-720"/>
        <w:rPr>
          <w:sz w:val="18"/>
          <w:szCs w:val="18"/>
        </w:rPr>
      </w:pPr>
      <w:r w:rsidDel="00000000" w:rsidR="00000000" w:rsidRPr="00000000">
        <w:rPr>
          <w:rtl w:val="0"/>
        </w:rPr>
      </w:r>
    </w:p>
    <w:p w:rsidR="00000000" w:rsidDel="00000000" w:rsidP="00000000" w:rsidRDefault="00000000" w:rsidRPr="00000000" w14:paraId="0000001F">
      <w:pPr>
        <w:ind w:right="-720"/>
        <w:rPr>
          <w:sz w:val="18"/>
          <w:szCs w:val="18"/>
        </w:rPr>
      </w:pPr>
      <w:r w:rsidDel="00000000" w:rsidR="00000000" w:rsidRPr="00000000">
        <w:rPr>
          <w:sz w:val="18"/>
          <w:szCs w:val="18"/>
          <w:rtl w:val="0"/>
        </w:rPr>
        <w:t xml:space="preserve">Alison added that AI and ML needs to be incorporated as this ecosystem is built.</w:t>
      </w:r>
    </w:p>
    <w:p w:rsidR="00000000" w:rsidDel="00000000" w:rsidP="00000000" w:rsidRDefault="00000000" w:rsidRPr="00000000" w14:paraId="00000020">
      <w:pPr>
        <w:ind w:right="-720"/>
        <w:rPr>
          <w:sz w:val="18"/>
          <w:szCs w:val="18"/>
        </w:rPr>
      </w:pPr>
      <w:r w:rsidDel="00000000" w:rsidR="00000000" w:rsidRPr="00000000">
        <w:rPr>
          <w:rtl w:val="0"/>
        </w:rPr>
      </w:r>
    </w:p>
    <w:p w:rsidR="00000000" w:rsidDel="00000000" w:rsidP="00000000" w:rsidRDefault="00000000" w:rsidRPr="00000000" w14:paraId="00000021">
      <w:pPr>
        <w:ind w:right="-720"/>
        <w:rPr>
          <w:sz w:val="18"/>
          <w:szCs w:val="18"/>
        </w:rPr>
      </w:pPr>
      <w:r w:rsidDel="00000000" w:rsidR="00000000" w:rsidRPr="00000000">
        <w:rPr>
          <w:sz w:val="18"/>
          <w:szCs w:val="18"/>
          <w:rtl w:val="0"/>
        </w:rPr>
        <w:t xml:space="preserve">The RFA for Life Sciences will request 7.125 million ongoing with 6 million in year one used to hire FTE.   The rest of the funds in year one will be utilized for equipment, curriculum develop and marketing. Starting in year 2, institutions will be able to submit proposals for additional funds. There are 50 FTE anticipated to be hired in the first year of funding. </w:t>
      </w:r>
    </w:p>
    <w:p w:rsidR="00000000" w:rsidDel="00000000" w:rsidP="00000000" w:rsidRDefault="00000000" w:rsidRPr="00000000" w14:paraId="00000022">
      <w:pPr>
        <w:ind w:right="-720"/>
        <w:rPr>
          <w:sz w:val="18"/>
          <w:szCs w:val="18"/>
        </w:rPr>
      </w:pPr>
      <w:r w:rsidDel="00000000" w:rsidR="00000000" w:rsidRPr="00000000">
        <w:rPr>
          <w:rtl w:val="0"/>
        </w:rPr>
      </w:r>
    </w:p>
    <w:p w:rsidR="00000000" w:rsidDel="00000000" w:rsidP="00000000" w:rsidRDefault="00000000" w:rsidRPr="00000000" w14:paraId="00000023">
      <w:pPr>
        <w:ind w:right="-720"/>
        <w:rPr>
          <w:sz w:val="18"/>
          <w:szCs w:val="18"/>
        </w:rPr>
      </w:pPr>
      <w:r w:rsidDel="00000000" w:rsidR="00000000" w:rsidRPr="00000000">
        <w:rPr>
          <w:sz w:val="18"/>
          <w:szCs w:val="18"/>
          <w:rtl w:val="0"/>
        </w:rPr>
        <w:t xml:space="preserve">Alison was asked if this would make an impactful difference. She answered that she would need to compare these numbers to what is currently being seen. Vic added that the comparison was made and would close the gap by 40-50%.</w:t>
      </w:r>
    </w:p>
    <w:p w:rsidR="00000000" w:rsidDel="00000000" w:rsidP="00000000" w:rsidRDefault="00000000" w:rsidRPr="00000000" w14:paraId="00000024">
      <w:pPr>
        <w:ind w:right="-720"/>
        <w:rPr>
          <w:sz w:val="18"/>
          <w:szCs w:val="18"/>
        </w:rPr>
      </w:pPr>
      <w:r w:rsidDel="00000000" w:rsidR="00000000" w:rsidRPr="00000000">
        <w:rPr>
          <w:rtl w:val="0"/>
        </w:rPr>
      </w:r>
    </w:p>
    <w:p w:rsidR="00000000" w:rsidDel="00000000" w:rsidP="00000000" w:rsidRDefault="00000000" w:rsidRPr="00000000" w14:paraId="00000025">
      <w:pPr>
        <w:ind w:right="-720"/>
        <w:rPr>
          <w:sz w:val="18"/>
          <w:szCs w:val="18"/>
        </w:rPr>
      </w:pPr>
      <w:r w:rsidDel="00000000" w:rsidR="00000000" w:rsidRPr="00000000">
        <w:rPr>
          <w:sz w:val="18"/>
          <w:szCs w:val="18"/>
          <w:rtl w:val="0"/>
        </w:rPr>
        <w:t xml:space="preserve">The next RFA presented was for a Behavioral Health Expansion. Last year, $800,000 was acquired to create the new credential in Behavior Health. The RFA being presented this year would focus on expanding capacity in bachelors, master and PHD level credentials in Behavioral Health. Talent Ready Utah is requesting 2.85million ongoing for this request. It is anticipated that 20 FTE will be hired in the first year. No questions or discussion was brought up regarding this RFA.</w:t>
      </w:r>
    </w:p>
    <w:p w:rsidR="00000000" w:rsidDel="00000000" w:rsidP="00000000" w:rsidRDefault="00000000" w:rsidRPr="00000000" w14:paraId="00000026">
      <w:pPr>
        <w:ind w:right="-720"/>
        <w:rPr>
          <w:sz w:val="18"/>
          <w:szCs w:val="18"/>
        </w:rPr>
      </w:pPr>
      <w:r w:rsidDel="00000000" w:rsidR="00000000" w:rsidRPr="00000000">
        <w:rPr>
          <w:rtl w:val="0"/>
        </w:rPr>
      </w:r>
    </w:p>
    <w:p w:rsidR="00000000" w:rsidDel="00000000" w:rsidP="00000000" w:rsidRDefault="00000000" w:rsidRPr="00000000" w14:paraId="00000027">
      <w:pPr>
        <w:ind w:right="-720"/>
        <w:rPr>
          <w:sz w:val="18"/>
          <w:szCs w:val="18"/>
        </w:rPr>
      </w:pPr>
      <w:r w:rsidDel="00000000" w:rsidR="00000000" w:rsidRPr="00000000">
        <w:rPr>
          <w:sz w:val="18"/>
          <w:szCs w:val="18"/>
          <w:rtl w:val="0"/>
        </w:rPr>
        <w:t xml:space="preserve">Vic then presented the Talent REady Connections RFA request. Vic provided a history of the Talent Ready Connections program and that the expansion would allow for more work based learning, apprenticeships, and internships across the state. The request for this expansion comes from a high demand from industry on the need for these types of programs. </w:t>
      </w:r>
    </w:p>
    <w:p w:rsidR="00000000" w:rsidDel="00000000" w:rsidP="00000000" w:rsidRDefault="00000000" w:rsidRPr="00000000" w14:paraId="00000028">
      <w:pPr>
        <w:ind w:right="-720"/>
        <w:rPr>
          <w:sz w:val="18"/>
          <w:szCs w:val="18"/>
        </w:rPr>
      </w:pPr>
      <w:r w:rsidDel="00000000" w:rsidR="00000000" w:rsidRPr="00000000">
        <w:rPr>
          <w:rtl w:val="0"/>
        </w:rPr>
      </w:r>
    </w:p>
    <w:p w:rsidR="00000000" w:rsidDel="00000000" w:rsidP="00000000" w:rsidRDefault="00000000" w:rsidRPr="00000000" w14:paraId="00000029">
      <w:pPr>
        <w:ind w:right="-720"/>
        <w:rPr>
          <w:sz w:val="18"/>
          <w:szCs w:val="18"/>
        </w:rPr>
      </w:pPr>
      <w:r w:rsidDel="00000000" w:rsidR="00000000" w:rsidRPr="00000000">
        <w:rPr>
          <w:sz w:val="18"/>
          <w:szCs w:val="18"/>
          <w:rtl w:val="0"/>
        </w:rPr>
        <w:t xml:space="preserve">Heather Brace asked if this was focused on any particular industry. Vic answered that it would be open to all industry clusters, but especially those that would benefit from non-conventional programs. </w:t>
      </w:r>
    </w:p>
    <w:p w:rsidR="00000000" w:rsidDel="00000000" w:rsidP="00000000" w:rsidRDefault="00000000" w:rsidRPr="00000000" w14:paraId="0000002A">
      <w:pPr>
        <w:ind w:right="-720"/>
        <w:rPr>
          <w:sz w:val="18"/>
          <w:szCs w:val="18"/>
        </w:rPr>
      </w:pPr>
      <w:r w:rsidDel="00000000" w:rsidR="00000000" w:rsidRPr="00000000">
        <w:rPr>
          <w:rtl w:val="0"/>
        </w:rPr>
      </w:r>
    </w:p>
    <w:p w:rsidR="00000000" w:rsidDel="00000000" w:rsidP="00000000" w:rsidRDefault="00000000" w:rsidRPr="00000000" w14:paraId="0000002B">
      <w:pPr>
        <w:ind w:right="-720"/>
        <w:rPr>
          <w:sz w:val="18"/>
          <w:szCs w:val="18"/>
        </w:rPr>
      </w:pPr>
      <w:r w:rsidDel="00000000" w:rsidR="00000000" w:rsidRPr="00000000">
        <w:rPr>
          <w:sz w:val="18"/>
          <w:szCs w:val="18"/>
          <w:rtl w:val="0"/>
        </w:rPr>
        <w:t xml:space="preserve">Margaret Busse asked for the prioritization of these RFAs. Vic responded that the order of prioritization is Life Sciences, Computer Science for All, Talent REady Connections, then Behavioral Health.</w:t>
      </w:r>
    </w:p>
    <w:p w:rsidR="00000000" w:rsidDel="00000000" w:rsidP="00000000" w:rsidRDefault="00000000" w:rsidRPr="00000000" w14:paraId="0000002C">
      <w:pPr>
        <w:ind w:right="-720"/>
        <w:rPr>
          <w:sz w:val="18"/>
          <w:szCs w:val="18"/>
        </w:rPr>
      </w:pPr>
      <w:r w:rsidDel="00000000" w:rsidR="00000000" w:rsidRPr="00000000">
        <w:rPr>
          <w:rtl w:val="0"/>
        </w:rPr>
      </w:r>
    </w:p>
    <w:p w:rsidR="00000000" w:rsidDel="00000000" w:rsidP="00000000" w:rsidRDefault="00000000" w:rsidRPr="00000000" w14:paraId="0000002D">
      <w:pPr>
        <w:ind w:right="-720"/>
        <w:rPr>
          <w:sz w:val="18"/>
          <w:szCs w:val="18"/>
        </w:rPr>
      </w:pPr>
      <w:r w:rsidDel="00000000" w:rsidR="00000000" w:rsidRPr="00000000">
        <w:rPr>
          <w:sz w:val="18"/>
          <w:szCs w:val="18"/>
          <w:rtl w:val="0"/>
        </w:rPr>
        <w:t xml:space="preserve">Margaret then asked how these are prioritized and if it is an “all or nothing” funding request for each. Vic clarified that when submitting an RFA, it is required to answer how/if the program would be affected if there was an increase or decrease in funding. </w:t>
      </w:r>
    </w:p>
    <w:p w:rsidR="00000000" w:rsidDel="00000000" w:rsidP="00000000" w:rsidRDefault="00000000" w:rsidRPr="00000000" w14:paraId="0000002E">
      <w:pPr>
        <w:ind w:right="-720"/>
        <w:rPr>
          <w:sz w:val="18"/>
          <w:szCs w:val="18"/>
        </w:rPr>
      </w:pPr>
      <w:r w:rsidDel="00000000" w:rsidR="00000000" w:rsidRPr="00000000">
        <w:rPr>
          <w:rtl w:val="0"/>
        </w:rPr>
      </w:r>
    </w:p>
    <w:p w:rsidR="00000000" w:rsidDel="00000000" w:rsidP="00000000" w:rsidRDefault="00000000" w:rsidRPr="00000000" w14:paraId="0000002F">
      <w:pPr>
        <w:ind w:right="-720"/>
        <w:rPr>
          <w:sz w:val="18"/>
          <w:szCs w:val="18"/>
        </w:rPr>
      </w:pPr>
      <w:r w:rsidDel="00000000" w:rsidR="00000000" w:rsidRPr="00000000">
        <w:rPr>
          <w:sz w:val="18"/>
          <w:szCs w:val="18"/>
          <w:rtl w:val="0"/>
        </w:rPr>
        <w:t xml:space="preserve">Margaret stated she would advocate for increasing the prioritization of Behavioral Health.</w:t>
      </w:r>
    </w:p>
    <w:p w:rsidR="00000000" w:rsidDel="00000000" w:rsidP="00000000" w:rsidRDefault="00000000" w:rsidRPr="00000000" w14:paraId="00000030">
      <w:pPr>
        <w:ind w:right="-720"/>
        <w:rPr>
          <w:sz w:val="18"/>
          <w:szCs w:val="18"/>
        </w:rPr>
      </w:pPr>
      <w:r w:rsidDel="00000000" w:rsidR="00000000" w:rsidRPr="00000000">
        <w:rPr>
          <w:rtl w:val="0"/>
        </w:rPr>
      </w:r>
    </w:p>
    <w:p w:rsidR="00000000" w:rsidDel="00000000" w:rsidP="00000000" w:rsidRDefault="00000000" w:rsidRPr="00000000" w14:paraId="00000031">
      <w:pPr>
        <w:ind w:right="-720"/>
        <w:rPr>
          <w:sz w:val="18"/>
          <w:szCs w:val="18"/>
        </w:rPr>
      </w:pPr>
      <w:r w:rsidDel="00000000" w:rsidR="00000000" w:rsidRPr="00000000">
        <w:rPr>
          <w:sz w:val="18"/>
          <w:szCs w:val="18"/>
          <w:rtl w:val="0"/>
        </w:rPr>
        <w:t xml:space="preserve">Senator Millner emphasized that there are a lot of needs in a lot of different areas in industry and higher ed. She also added that the requests submitted by Talenty Ready Utah are often heard by different committees because they impact other areas in commerce and economy. </w:t>
      </w:r>
    </w:p>
    <w:p w:rsidR="00000000" w:rsidDel="00000000" w:rsidP="00000000" w:rsidRDefault="00000000" w:rsidRPr="00000000" w14:paraId="00000032">
      <w:pPr>
        <w:ind w:right="-720"/>
        <w:rPr>
          <w:sz w:val="18"/>
          <w:szCs w:val="18"/>
        </w:rPr>
      </w:pPr>
      <w:r w:rsidDel="00000000" w:rsidR="00000000" w:rsidRPr="00000000">
        <w:rPr>
          <w:rtl w:val="0"/>
        </w:rPr>
      </w:r>
    </w:p>
    <w:p w:rsidR="00000000" w:rsidDel="00000000" w:rsidP="00000000" w:rsidRDefault="00000000" w:rsidRPr="00000000" w14:paraId="00000033">
      <w:pPr>
        <w:ind w:right="-720"/>
        <w:rPr>
          <w:sz w:val="18"/>
          <w:szCs w:val="18"/>
        </w:rPr>
      </w:pPr>
      <w:r w:rsidDel="00000000" w:rsidR="00000000" w:rsidRPr="00000000">
        <w:rPr>
          <w:sz w:val="18"/>
          <w:szCs w:val="18"/>
          <w:rtl w:val="0"/>
        </w:rPr>
        <w:t xml:space="preserve">Vic then presented the RFA for the Computer Science for All program. Last year there was an 8 million request, and 5 million was approved. Even with that appropriation, there is a very large gap in access to computer science programs across the state. Many districts and schools did not apply for this funding because they were unable to bring their facilities up to standard with only a one time funding award. Therefore, Talent Ready Utah is asking for 5 million of ongoing funding for K-12 programs and educators.</w:t>
      </w:r>
    </w:p>
    <w:p w:rsidR="00000000" w:rsidDel="00000000" w:rsidP="00000000" w:rsidRDefault="00000000" w:rsidRPr="00000000" w14:paraId="00000034">
      <w:pPr>
        <w:ind w:right="-720"/>
        <w:rPr>
          <w:sz w:val="18"/>
          <w:szCs w:val="18"/>
        </w:rPr>
      </w:pPr>
      <w:r w:rsidDel="00000000" w:rsidR="00000000" w:rsidRPr="00000000">
        <w:rPr>
          <w:rtl w:val="0"/>
        </w:rPr>
      </w:r>
    </w:p>
    <w:p w:rsidR="00000000" w:rsidDel="00000000" w:rsidP="00000000" w:rsidRDefault="00000000" w:rsidRPr="00000000" w14:paraId="00000035">
      <w:pPr>
        <w:ind w:right="-720"/>
        <w:rPr>
          <w:sz w:val="18"/>
          <w:szCs w:val="18"/>
        </w:rPr>
      </w:pPr>
      <w:r w:rsidDel="00000000" w:rsidR="00000000" w:rsidRPr="00000000">
        <w:rPr>
          <w:sz w:val="18"/>
          <w:szCs w:val="18"/>
          <w:rtl w:val="0"/>
        </w:rPr>
        <w:t xml:space="preserve">Alison asked if there was data on the disparity across school districts. Vic answered he did not have that information but Kristina Yamada should have that data and would get that to the board. </w:t>
      </w:r>
    </w:p>
    <w:p w:rsidR="00000000" w:rsidDel="00000000" w:rsidP="00000000" w:rsidRDefault="00000000" w:rsidRPr="00000000" w14:paraId="00000036">
      <w:pPr>
        <w:ind w:right="-720"/>
        <w:rPr>
          <w:sz w:val="18"/>
          <w:szCs w:val="18"/>
        </w:rPr>
      </w:pPr>
      <w:r w:rsidDel="00000000" w:rsidR="00000000" w:rsidRPr="00000000">
        <w:rPr>
          <w:rtl w:val="0"/>
        </w:rPr>
      </w:r>
    </w:p>
    <w:p w:rsidR="00000000" w:rsidDel="00000000" w:rsidP="00000000" w:rsidRDefault="00000000" w:rsidRPr="00000000" w14:paraId="00000037">
      <w:pPr>
        <w:ind w:right="-720"/>
        <w:rPr>
          <w:sz w:val="18"/>
          <w:szCs w:val="18"/>
        </w:rPr>
      </w:pPr>
      <w:r w:rsidDel="00000000" w:rsidR="00000000" w:rsidRPr="00000000">
        <w:rPr>
          <w:sz w:val="18"/>
          <w:szCs w:val="18"/>
          <w:rtl w:val="0"/>
        </w:rPr>
        <w:t xml:space="preserve">MOTION:</w:t>
      </w:r>
    </w:p>
    <w:p w:rsidR="00000000" w:rsidDel="00000000" w:rsidP="00000000" w:rsidRDefault="00000000" w:rsidRPr="00000000" w14:paraId="00000038">
      <w:pPr>
        <w:ind w:right="-720"/>
        <w:rPr>
          <w:sz w:val="18"/>
          <w:szCs w:val="18"/>
        </w:rPr>
      </w:pPr>
      <w:r w:rsidDel="00000000" w:rsidR="00000000" w:rsidRPr="00000000">
        <w:rPr>
          <w:sz w:val="18"/>
          <w:szCs w:val="18"/>
          <w:rtl w:val="0"/>
        </w:rPr>
        <w:t xml:space="preserve">Motion to support the presented recommendation for legislative funds to expand the targeted workforce efforts for Life Sciences, Computer Science for All, Talent Ready Connections and Behavioral Health. The motion carried unanimously.</w:t>
      </w:r>
    </w:p>
    <w:p w:rsidR="00000000" w:rsidDel="00000000" w:rsidP="00000000" w:rsidRDefault="00000000" w:rsidRPr="00000000" w14:paraId="00000039">
      <w:pPr>
        <w:ind w:right="-720"/>
        <w:rPr>
          <w:sz w:val="18"/>
          <w:szCs w:val="18"/>
        </w:rPr>
      </w:pPr>
      <w:r w:rsidDel="00000000" w:rsidR="00000000" w:rsidRPr="00000000">
        <w:rPr>
          <w:rtl w:val="0"/>
        </w:rPr>
      </w:r>
    </w:p>
    <w:p w:rsidR="00000000" w:rsidDel="00000000" w:rsidP="00000000" w:rsidRDefault="00000000" w:rsidRPr="00000000" w14:paraId="0000003A">
      <w:pPr>
        <w:ind w:right="-720"/>
        <w:rPr>
          <w:sz w:val="18"/>
          <w:szCs w:val="18"/>
        </w:rPr>
      </w:pPr>
      <w:r w:rsidDel="00000000" w:rsidR="00000000" w:rsidRPr="00000000">
        <w:rPr>
          <w:sz w:val="18"/>
          <w:szCs w:val="18"/>
          <w:rtl w:val="0"/>
        </w:rPr>
        <w:t xml:space="preserve">Margaret added that Behavioral Health should be prioritized higher. Senator Millner encouraged Margaret to also advocate for the prioritization of behavioral health in all of the committees she, and other board members, participate in.</w:t>
      </w:r>
    </w:p>
    <w:p w:rsidR="00000000" w:rsidDel="00000000" w:rsidP="00000000" w:rsidRDefault="00000000" w:rsidRPr="00000000" w14:paraId="0000003B">
      <w:pPr>
        <w:ind w:right="-720"/>
        <w:rPr>
          <w:sz w:val="18"/>
          <w:szCs w:val="18"/>
        </w:rPr>
      </w:pPr>
      <w:r w:rsidDel="00000000" w:rsidR="00000000" w:rsidRPr="00000000">
        <w:rPr>
          <w:rtl w:val="0"/>
        </w:rPr>
      </w:r>
    </w:p>
    <w:p w:rsidR="00000000" w:rsidDel="00000000" w:rsidP="00000000" w:rsidRDefault="00000000" w:rsidRPr="00000000" w14:paraId="0000003C">
      <w:pPr>
        <w:ind w:right="-720"/>
        <w:rPr>
          <w:b w:val="1"/>
          <w:sz w:val="18"/>
          <w:szCs w:val="18"/>
          <w:u w:val="single"/>
        </w:rPr>
      </w:pPr>
      <w:r w:rsidDel="00000000" w:rsidR="00000000" w:rsidRPr="00000000">
        <w:rPr>
          <w:b w:val="1"/>
          <w:sz w:val="18"/>
          <w:szCs w:val="18"/>
          <w:u w:val="single"/>
          <w:rtl w:val="0"/>
        </w:rPr>
        <w:t xml:space="preserve">Governor’s Policy Academy Update</w:t>
      </w:r>
    </w:p>
    <w:p w:rsidR="00000000" w:rsidDel="00000000" w:rsidP="00000000" w:rsidRDefault="00000000" w:rsidRPr="00000000" w14:paraId="0000003D">
      <w:pPr>
        <w:ind w:right="-720"/>
        <w:rPr>
          <w:sz w:val="18"/>
          <w:szCs w:val="18"/>
        </w:rPr>
      </w:pPr>
      <w:r w:rsidDel="00000000" w:rsidR="00000000" w:rsidRPr="00000000">
        <w:rPr>
          <w:rtl w:val="0"/>
        </w:rPr>
      </w:r>
    </w:p>
    <w:p w:rsidR="00000000" w:rsidDel="00000000" w:rsidP="00000000" w:rsidRDefault="00000000" w:rsidRPr="00000000" w14:paraId="0000003E">
      <w:pPr>
        <w:ind w:right="-720"/>
        <w:rPr>
          <w:sz w:val="18"/>
          <w:szCs w:val="18"/>
        </w:rPr>
      </w:pPr>
      <w:r w:rsidDel="00000000" w:rsidR="00000000" w:rsidRPr="00000000">
        <w:rPr>
          <w:sz w:val="18"/>
          <w:szCs w:val="18"/>
          <w:rtl w:val="0"/>
        </w:rPr>
        <w:t xml:space="preserve">Rachelle Ackley gave an update on the Policy Academy in the National Governor;s Association. Utah will participate in this program for the next year. The state will receive additional support to meet state wide goals in work based learning. Governor Cox is the chairman of the NGA and Board Member Cummins is also part of the team that will participate in this initiative. Melisa Starks, the Statewide Director of Work-based Learning programs will be part of this team.</w:t>
      </w:r>
    </w:p>
    <w:p w:rsidR="00000000" w:rsidDel="00000000" w:rsidP="00000000" w:rsidRDefault="00000000" w:rsidRPr="00000000" w14:paraId="0000003F">
      <w:pPr>
        <w:ind w:right="-720"/>
        <w:rPr>
          <w:sz w:val="18"/>
          <w:szCs w:val="18"/>
        </w:rPr>
      </w:pPr>
      <w:r w:rsidDel="00000000" w:rsidR="00000000" w:rsidRPr="00000000">
        <w:rPr>
          <w:rtl w:val="0"/>
        </w:rPr>
      </w:r>
    </w:p>
    <w:p w:rsidR="00000000" w:rsidDel="00000000" w:rsidP="00000000" w:rsidRDefault="00000000" w:rsidRPr="00000000" w14:paraId="00000040">
      <w:pPr>
        <w:ind w:right="-720"/>
        <w:rPr>
          <w:sz w:val="18"/>
          <w:szCs w:val="18"/>
        </w:rPr>
      </w:pPr>
      <w:r w:rsidDel="00000000" w:rsidR="00000000" w:rsidRPr="00000000">
        <w:rPr>
          <w:sz w:val="18"/>
          <w:szCs w:val="18"/>
          <w:rtl w:val="0"/>
        </w:rPr>
        <w:t xml:space="preserve">At the moment, there is a state governance structure being created for youth apprenticeship. Methodologies around data collection and analysis will also be developed to ensure the ongoing success of work based learning based on previous programs. FInally, the group will look at financial, regulatory and logistical barriers for students and industry partners to participate in work based learning.</w:t>
      </w:r>
    </w:p>
    <w:p w:rsidR="00000000" w:rsidDel="00000000" w:rsidP="00000000" w:rsidRDefault="00000000" w:rsidRPr="00000000" w14:paraId="00000041">
      <w:pPr>
        <w:ind w:right="-720"/>
        <w:rPr>
          <w:sz w:val="18"/>
          <w:szCs w:val="18"/>
        </w:rPr>
      </w:pPr>
      <w:r w:rsidDel="00000000" w:rsidR="00000000" w:rsidRPr="00000000">
        <w:rPr>
          <w:rtl w:val="0"/>
        </w:rPr>
      </w:r>
    </w:p>
    <w:p w:rsidR="00000000" w:rsidDel="00000000" w:rsidP="00000000" w:rsidRDefault="00000000" w:rsidRPr="00000000" w14:paraId="00000042">
      <w:pPr>
        <w:ind w:right="-720"/>
        <w:rPr>
          <w:sz w:val="18"/>
          <w:szCs w:val="18"/>
        </w:rPr>
      </w:pPr>
      <w:r w:rsidDel="00000000" w:rsidR="00000000" w:rsidRPr="00000000">
        <w:rPr>
          <w:sz w:val="18"/>
          <w:szCs w:val="18"/>
          <w:rtl w:val="0"/>
        </w:rPr>
        <w:t xml:space="preserve">This core team will bring forth the results of the analysis above in order to present these recommendations to the board for approval.</w:t>
      </w:r>
    </w:p>
    <w:p w:rsidR="00000000" w:rsidDel="00000000" w:rsidP="00000000" w:rsidRDefault="00000000" w:rsidRPr="00000000" w14:paraId="00000043">
      <w:pPr>
        <w:ind w:right="-720"/>
        <w:rPr>
          <w:sz w:val="18"/>
          <w:szCs w:val="18"/>
        </w:rPr>
      </w:pPr>
      <w:r w:rsidDel="00000000" w:rsidR="00000000" w:rsidRPr="00000000">
        <w:rPr>
          <w:rtl w:val="0"/>
        </w:rPr>
      </w:r>
    </w:p>
    <w:p w:rsidR="00000000" w:rsidDel="00000000" w:rsidP="00000000" w:rsidRDefault="00000000" w:rsidRPr="00000000" w14:paraId="00000044">
      <w:pPr>
        <w:ind w:right="-720"/>
        <w:rPr>
          <w:sz w:val="18"/>
          <w:szCs w:val="18"/>
        </w:rPr>
      </w:pPr>
      <w:r w:rsidDel="00000000" w:rsidR="00000000" w:rsidRPr="00000000">
        <w:rPr>
          <w:rtl w:val="0"/>
        </w:rPr>
      </w:r>
    </w:p>
    <w:p w:rsidR="00000000" w:rsidDel="00000000" w:rsidP="00000000" w:rsidRDefault="00000000" w:rsidRPr="00000000" w14:paraId="00000045">
      <w:pPr>
        <w:ind w:right="-720"/>
        <w:rPr>
          <w:b w:val="1"/>
          <w:sz w:val="18"/>
          <w:szCs w:val="18"/>
          <w:u w:val="single"/>
        </w:rPr>
      </w:pPr>
      <w:r w:rsidDel="00000000" w:rsidR="00000000" w:rsidRPr="00000000">
        <w:rPr>
          <w:b w:val="1"/>
          <w:sz w:val="18"/>
          <w:szCs w:val="18"/>
          <w:u w:val="single"/>
          <w:rtl w:val="0"/>
        </w:rPr>
        <w:t xml:space="preserve">Open Board Discussion</w:t>
      </w:r>
    </w:p>
    <w:p w:rsidR="00000000" w:rsidDel="00000000" w:rsidP="00000000" w:rsidRDefault="00000000" w:rsidRPr="00000000" w14:paraId="00000046">
      <w:pPr>
        <w:ind w:right="-720"/>
        <w:rPr>
          <w:sz w:val="18"/>
          <w:szCs w:val="18"/>
        </w:rPr>
      </w:pPr>
      <w:r w:rsidDel="00000000" w:rsidR="00000000" w:rsidRPr="00000000">
        <w:rPr>
          <w:sz w:val="18"/>
          <w:szCs w:val="18"/>
          <w:rtl w:val="0"/>
        </w:rPr>
        <w:t xml:space="preserve">Senator Millner mentioned that there will be an additional Board meeting on the 24th of this month to review and approve the grants from the latest review cycle. </w:t>
      </w:r>
    </w:p>
    <w:p w:rsidR="00000000" w:rsidDel="00000000" w:rsidP="00000000" w:rsidRDefault="00000000" w:rsidRPr="00000000" w14:paraId="00000047">
      <w:pPr>
        <w:pBdr>
          <w:top w:space="0" w:sz="0" w:val="nil"/>
          <w:left w:space="0" w:sz="0" w:val="nil"/>
          <w:bottom w:space="0" w:sz="0" w:val="nil"/>
          <w:right w:space="0" w:sz="0" w:val="nil"/>
          <w:between w:space="0" w:sz="0" w:val="nil"/>
        </w:pBdr>
        <w:rPr>
          <w:sz w:val="18"/>
          <w:szCs w:val="18"/>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b w:val="1"/>
          <w:sz w:val="18"/>
          <w:szCs w:val="18"/>
          <w:u w:val="single"/>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b w:val="1"/>
          <w:sz w:val="18"/>
          <w:szCs w:val="18"/>
          <w:u w:val="single"/>
        </w:rPr>
      </w:pPr>
      <w:r w:rsidDel="00000000" w:rsidR="00000000" w:rsidRPr="00000000">
        <w:rPr>
          <w:b w:val="1"/>
          <w:sz w:val="18"/>
          <w:szCs w:val="18"/>
          <w:u w:val="single"/>
          <w:rtl w:val="0"/>
        </w:rPr>
        <w:t xml:space="preserve">Motion to Adjourn</w:t>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18"/>
          <w:szCs w:val="18"/>
        </w:rPr>
      </w:pPr>
      <w:r w:rsidDel="00000000" w:rsidR="00000000" w:rsidRPr="00000000">
        <w:rPr>
          <w:sz w:val="18"/>
          <w:szCs w:val="18"/>
          <w:rtl w:val="0"/>
        </w:rPr>
        <w:t xml:space="preserve">Sen. Millner dismissed the meeting. </w:t>
      </w:r>
      <w:r w:rsidDel="00000000" w:rsidR="00000000" w:rsidRPr="00000000">
        <w:rPr>
          <w:rtl w:val="0"/>
        </w:rPr>
      </w:r>
    </w:p>
    <w:sectPr>
      <w:headerReference r:id="rId7"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ambria"/>
  <w:font w:name="Arial"/>
  <w:font w:name="Gungsuh"/>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76" w:lineRule="auto"/>
      <w:rPr>
        <w:color w:val="000000"/>
        <w:sz w:val="18"/>
        <w:szCs w:val="18"/>
        <w:vertAlign w:val="superscript"/>
      </w:rPr>
    </w:pPr>
    <w:r w:rsidDel="00000000" w:rsidR="00000000" w:rsidRPr="00000000">
      <w:rPr>
        <w:rtl w:val="0"/>
      </w:rPr>
    </w:r>
  </w:p>
  <w:tbl>
    <w:tblPr>
      <w:tblStyle w:val="Table2"/>
      <w:tblW w:w="9590.0" w:type="dxa"/>
      <w:jc w:val="left"/>
      <w:tblBorders>
        <w:bottom w:color="808080" w:space="0" w:sz="18" w:val="single"/>
        <w:insideV w:color="808080" w:space="0" w:sz="18" w:val="single"/>
      </w:tblBorders>
      <w:tblLayout w:type="fixed"/>
      <w:tblLook w:val="0400"/>
    </w:tblPr>
    <w:tblGrid>
      <w:gridCol w:w="8395"/>
      <w:gridCol w:w="1195"/>
      <w:tblGridChange w:id="0">
        <w:tblGrid>
          <w:gridCol w:w="8395"/>
          <w:gridCol w:w="1195"/>
        </w:tblGrid>
      </w:tblGridChange>
    </w:tblGrid>
    <w:tr>
      <w:trPr>
        <w:cantSplit w:val="0"/>
        <w:trHeight w:val="280" w:hRule="atLeast"/>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jc w:val="right"/>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Talent, Education &amp; Industry Alignment                         </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680"/>
              <w:tab w:val="right" w:leader="none" w:pos="9360"/>
            </w:tabs>
            <w:rPr>
              <w:rFonts w:ascii="Cambria" w:cs="Cambria" w:eastAsia="Cambria" w:hAnsi="Cambria"/>
              <w:b w:val="1"/>
              <w:color w:val="4f81bd"/>
              <w:sz w:val="36"/>
              <w:szCs w:val="36"/>
            </w:rPr>
          </w:pPr>
          <w:r w:rsidDel="00000000" w:rsidR="00000000" w:rsidRPr="00000000">
            <w:rPr>
              <w:rFonts w:ascii="Cambria" w:cs="Cambria" w:eastAsia="Cambria" w:hAnsi="Cambria"/>
              <w:b w:val="1"/>
              <w:color w:val="000000"/>
              <w:sz w:val="36"/>
              <w:szCs w:val="36"/>
              <w:rtl w:val="0"/>
            </w:rPr>
            <w:t xml:space="preserve">202</w:t>
          </w:r>
          <w:r w:rsidDel="00000000" w:rsidR="00000000" w:rsidRPr="00000000">
            <w:rPr>
              <w:rFonts w:ascii="Cambria" w:cs="Cambria" w:eastAsia="Cambria" w:hAnsi="Cambria"/>
              <w:b w:val="1"/>
              <w:sz w:val="36"/>
              <w:szCs w:val="36"/>
              <w:rtl w:val="0"/>
            </w:rPr>
            <w:t xml:space="preserve">3</w:t>
          </w:r>
          <w:r w:rsidDel="00000000" w:rsidR="00000000" w:rsidRPr="00000000">
            <w:rPr>
              <w:rtl w:val="0"/>
            </w:rPr>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mbria" w:cs="Cambria" w:eastAsia="Cambria" w:hAnsi="Cambria"/>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1120"/>
        <w:tab w:val="left" w:leader="none" w:pos="-720"/>
        <w:tab w:val="left" w:leader="none" w:pos="0"/>
        <w:tab w:val="left" w:leader="none" w:pos="474"/>
        <w:tab w:val="left" w:leader="none" w:pos="720"/>
        <w:tab w:val="left" w:leader="none" w:pos="1081"/>
      </w:tabs>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mbria" w:cs="Cambria" w:eastAsia="Cambria" w:hAnsi="Cambria"/>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1120"/>
        <w:tab w:val="left" w:leader="none" w:pos="-720"/>
        <w:tab w:val="left" w:leader="none" w:pos="0"/>
        <w:tab w:val="left" w:leader="none" w:pos="474"/>
        <w:tab w:val="left" w:leader="none" w:pos="720"/>
        <w:tab w:val="left" w:leader="none" w:pos="1081"/>
      </w:tabs>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mbria" w:cs="Cambria" w:eastAsia="Cambria" w:hAnsi="Cambria"/>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1120"/>
        <w:tab w:val="left" w:leader="none" w:pos="-720"/>
        <w:tab w:val="left" w:leader="none" w:pos="0"/>
        <w:tab w:val="left" w:leader="none" w:pos="474"/>
        <w:tab w:val="left" w:leader="none" w:pos="720"/>
        <w:tab w:val="left" w:leader="none" w:pos="1081"/>
      </w:tabs>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mbria" w:cs="Cambria" w:eastAsia="Cambria" w:hAnsi="Cambria"/>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1120"/>
        <w:tab w:val="left" w:leader="none" w:pos="-720"/>
        <w:tab w:val="left" w:leader="none" w:pos="0"/>
        <w:tab w:val="left" w:leader="none" w:pos="474"/>
        <w:tab w:val="left" w:leader="none" w:pos="720"/>
        <w:tab w:val="left" w:leader="none" w:pos="1081"/>
      </w:tabs>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mbria" w:cs="Cambria" w:eastAsia="Cambria" w:hAnsi="Cambria"/>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1120"/>
        <w:tab w:val="left" w:leader="none" w:pos="-720"/>
        <w:tab w:val="left" w:leader="none" w:pos="0"/>
        <w:tab w:val="left" w:leader="none" w:pos="474"/>
        <w:tab w:val="left" w:leader="none" w:pos="720"/>
        <w:tab w:val="left" w:leader="none" w:pos="1081"/>
      </w:tabs>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mbria" w:cs="Cambria" w:eastAsia="Cambria" w:hAnsi="Cambria"/>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pos="-1120"/>
        <w:tab w:val="left" w:pos="-720"/>
        <w:tab w:val="left" w:pos="0"/>
        <w:tab w:val="left" w:pos="474"/>
        <w:tab w:val="left" w:pos="720"/>
        <w:tab w:val="left" w:pos="1081"/>
      </w:tabs>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Cambria" w:cs="Cambria" w:eastAsia="Cambria" w:hAnsi="Cambria"/>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pos="-1120"/>
        <w:tab w:val="left" w:pos="-720"/>
        <w:tab w:val="left" w:pos="0"/>
        <w:tab w:val="left" w:pos="474"/>
        <w:tab w:val="left" w:pos="720"/>
        <w:tab w:val="left" w:pos="1081"/>
      </w:tabs>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Heading1">
    <w:name w:val="heading 1"/>
    <w:basedOn w:val="Normal1"/>
    <w:next w:val="Normal1"/>
    <w:uiPriority w:val="9"/>
    <w:qFormat w:val="1"/>
    <w:pPr>
      <w:keepNext w:val="1"/>
      <w:keepLines w:val="1"/>
      <w:pBdr>
        <w:top w:space="0" w:sz="0" w:val="nil"/>
        <w:left w:space="0" w:sz="0" w:val="nil"/>
        <w:bottom w:space="0" w:sz="0" w:val="nil"/>
        <w:right w:space="0" w:sz="0" w:val="nil"/>
        <w:between w:space="0" w:sz="0" w:val="nil"/>
      </w:pBdr>
      <w:spacing w:after="120" w:before="480"/>
      <w:outlineLvl w:val="0"/>
    </w:pPr>
    <w:rPr>
      <w:b w:val="1"/>
      <w:color w:val="000000"/>
      <w:sz w:val="48"/>
      <w:szCs w:val="48"/>
    </w:rPr>
  </w:style>
  <w:style w:type="paragraph" w:styleId="Heading2">
    <w:name w:val="heading 2"/>
    <w:basedOn w:val="Normal1"/>
    <w:next w:val="Normal1"/>
    <w:uiPriority w:val="9"/>
    <w:semiHidden w:val="1"/>
    <w:unhideWhenUsed w:val="1"/>
    <w:qFormat w:val="1"/>
    <w:pPr>
      <w:keepNext w:val="1"/>
      <w:keepLines w:val="1"/>
      <w:pBdr>
        <w:top w:space="0" w:sz="0" w:val="nil"/>
        <w:left w:space="0" w:sz="0" w:val="nil"/>
        <w:bottom w:space="0" w:sz="0" w:val="nil"/>
        <w:right w:space="0" w:sz="0" w:val="nil"/>
        <w:between w:space="0" w:sz="0" w:val="nil"/>
      </w:pBdr>
      <w:spacing w:after="80" w:before="360"/>
      <w:outlineLvl w:val="1"/>
    </w:pPr>
    <w:rPr>
      <w:b w:val="1"/>
      <w:color w:val="000000"/>
      <w:sz w:val="36"/>
      <w:szCs w:val="36"/>
    </w:rPr>
  </w:style>
  <w:style w:type="paragraph" w:styleId="Heading3">
    <w:name w:val="heading 3"/>
    <w:basedOn w:val="Normal1"/>
    <w:next w:val="Normal1"/>
    <w:uiPriority w:val="9"/>
    <w:semiHidden w:val="1"/>
    <w:unhideWhenUsed w:val="1"/>
    <w:qFormat w:val="1"/>
    <w:pPr>
      <w:keepNext w:val="1"/>
      <w:keepLines w:val="1"/>
      <w:pBdr>
        <w:top w:space="0" w:sz="0" w:val="nil"/>
        <w:left w:space="0" w:sz="0" w:val="nil"/>
        <w:bottom w:space="0" w:sz="0" w:val="nil"/>
        <w:right w:space="0" w:sz="0" w:val="nil"/>
        <w:between w:space="0" w:sz="0" w:val="nil"/>
      </w:pBdr>
      <w:spacing w:before="200"/>
      <w:outlineLvl w:val="2"/>
    </w:pPr>
    <w:rPr>
      <w:rFonts w:ascii="Cambria" w:cs="Cambria" w:eastAsia="Cambria" w:hAnsi="Cambria"/>
      <w:b w:val="1"/>
      <w:color w:val="4f81bd"/>
    </w:rPr>
  </w:style>
  <w:style w:type="paragraph" w:styleId="Heading4">
    <w:name w:val="heading 4"/>
    <w:basedOn w:val="Normal1"/>
    <w:next w:val="Normal1"/>
    <w:uiPriority w:val="9"/>
    <w:semiHidden w:val="1"/>
    <w:unhideWhenUsed w:val="1"/>
    <w:qFormat w:val="1"/>
    <w:pPr>
      <w:keepNext w:val="1"/>
      <w:widowControl w:val="0"/>
      <w:pBdr>
        <w:top w:space="0" w:sz="0" w:val="nil"/>
        <w:left w:space="0" w:sz="0" w:val="nil"/>
        <w:bottom w:space="0" w:sz="0" w:val="nil"/>
        <w:right w:space="0" w:sz="0" w:val="nil"/>
        <w:between w:space="0" w:sz="0" w:val="nil"/>
      </w:pBdr>
      <w:tabs>
        <w:tab w:val="left" w:pos="-1120"/>
        <w:tab w:val="left" w:pos="-720"/>
        <w:tab w:val="left" w:pos="0"/>
        <w:tab w:val="left" w:pos="474"/>
        <w:tab w:val="left" w:pos="720"/>
        <w:tab w:val="left" w:pos="1081"/>
      </w:tabs>
      <w:outlineLvl w:val="3"/>
    </w:pPr>
    <w:rPr>
      <w:b w:val="1"/>
      <w:color w:val="000000"/>
    </w:rPr>
  </w:style>
  <w:style w:type="paragraph" w:styleId="Heading5">
    <w:name w:val="heading 5"/>
    <w:basedOn w:val="Normal1"/>
    <w:next w:val="Normal1"/>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20"/>
      <w:outlineLvl w:val="4"/>
    </w:pPr>
    <w:rPr>
      <w:b w:val="1"/>
      <w:color w:val="000000"/>
      <w:sz w:val="22"/>
      <w:szCs w:val="22"/>
    </w:rPr>
  </w:style>
  <w:style w:type="paragraph" w:styleId="Heading6">
    <w:name w:val="heading 6"/>
    <w:basedOn w:val="Normal1"/>
    <w:next w:val="Normal1"/>
    <w:uiPriority w:val="9"/>
    <w:semiHidden w:val="1"/>
    <w:unhideWhenUsed w:val="1"/>
    <w:qFormat w:val="1"/>
    <w:pPr>
      <w:keepNext w:val="1"/>
      <w:keepLines w:val="1"/>
      <w:pBdr>
        <w:top w:space="0" w:sz="0" w:val="nil"/>
        <w:left w:space="0" w:sz="0" w:val="nil"/>
        <w:bottom w:space="0" w:sz="0" w:val="nil"/>
        <w:right w:space="0" w:sz="0" w:val="nil"/>
        <w:between w:space="0" w:sz="0" w:val="nil"/>
      </w:pBdr>
      <w:spacing w:after="40" w:before="200"/>
      <w:outlineLvl w:val="5"/>
    </w:pPr>
    <w:rPr>
      <w:b w:val="1"/>
      <w:color w:val="00000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1"/>
    <w:next w:val="Normal1"/>
    <w:uiPriority w:val="10"/>
    <w:qFormat w:val="1"/>
    <w:pPr>
      <w:keepNext w:val="1"/>
      <w:keepLines w:val="1"/>
      <w:pBdr>
        <w:top w:space="0" w:sz="0" w:val="nil"/>
        <w:left w:space="0" w:sz="0" w:val="nil"/>
        <w:bottom w:space="0" w:sz="0" w:val="nil"/>
        <w:right w:space="0" w:sz="0" w:val="nil"/>
        <w:between w:space="0" w:sz="0" w:val="nil"/>
      </w:pBdr>
      <w:spacing w:after="120" w:before="480"/>
    </w:pPr>
    <w:rPr>
      <w:b w:val="1"/>
      <w:color w:val="000000"/>
      <w:sz w:val="72"/>
      <w:szCs w:val="72"/>
    </w:rPr>
  </w:style>
  <w:style w:type="paragraph" w:styleId="Normal1" w:customStyle="1">
    <w:name w:val="Normal1"/>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60"/>
      <w:jc w:val="center"/>
    </w:pPr>
    <w:rPr>
      <w:rFonts w:ascii="Arial" w:cs="Arial" w:eastAsia="Arial" w:hAnsi="Arial"/>
      <w:color w:val="000000"/>
    </w:rPr>
  </w:style>
  <w:style w:type="table" w:styleId="a" w:customStyle="1">
    <w:basedOn w:val="TableNormal"/>
    <w:tblPr>
      <w:tblStyleRowBandSize w:val="1"/>
      <w:tblStyleColBandSize w:val="1"/>
      <w:tblCellMar>
        <w:top w:w="72.0" w:type="dxa"/>
        <w:left w:w="115.0" w:type="dxa"/>
        <w:bottom w:w="72.0" w:type="dxa"/>
        <w:right w:w="115.0" w:type="dxa"/>
      </w:tblCellMar>
    </w:tblPr>
  </w:style>
  <w:style w:type="table" w:styleId="a0" w:customStyle="1">
    <w:basedOn w:val="TableNormal"/>
    <w:tblPr>
      <w:tblStyleRowBandSize w:val="1"/>
      <w:tblStyleColBandSize w:val="1"/>
      <w:tblCellMar>
        <w:top w:w="72.0" w:type="dxa"/>
        <w:left w:w="115.0" w:type="dxa"/>
        <w:bottom w:w="72.0" w:type="dxa"/>
        <w:right w:w="115.0" w:type="dxa"/>
      </w:tblCellMar>
    </w:tblPr>
  </w:style>
  <w:style w:type="paragraph" w:styleId="BalloonText">
    <w:name w:val="Balloon Text"/>
    <w:basedOn w:val="Normal"/>
    <w:link w:val="BalloonTextChar"/>
    <w:uiPriority w:val="99"/>
    <w:semiHidden w:val="1"/>
    <w:unhideWhenUsed w:val="1"/>
    <w:rsid w:val="00B5033D"/>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B5033D"/>
    <w:rPr>
      <w:rFonts w:ascii="Lucida Grande" w:cs="Lucida Grande" w:hAnsi="Lucida Grande"/>
      <w:sz w:val="18"/>
      <w:szCs w:val="18"/>
    </w:rPr>
  </w:style>
  <w:style w:type="paragraph" w:styleId="Header">
    <w:name w:val="header"/>
    <w:basedOn w:val="Normal"/>
    <w:link w:val="HeaderChar"/>
    <w:uiPriority w:val="99"/>
    <w:unhideWhenUsed w:val="1"/>
    <w:rsid w:val="00E8302C"/>
    <w:pPr>
      <w:tabs>
        <w:tab w:val="center" w:pos="4680"/>
        <w:tab w:val="right" w:pos="9360"/>
      </w:tabs>
    </w:pPr>
  </w:style>
  <w:style w:type="character" w:styleId="HeaderChar" w:customStyle="1">
    <w:name w:val="Header Char"/>
    <w:basedOn w:val="DefaultParagraphFont"/>
    <w:link w:val="Header"/>
    <w:uiPriority w:val="99"/>
    <w:rsid w:val="00E8302C"/>
  </w:style>
  <w:style w:type="paragraph" w:styleId="Footer">
    <w:name w:val="footer"/>
    <w:basedOn w:val="Normal"/>
    <w:link w:val="FooterChar"/>
    <w:uiPriority w:val="99"/>
    <w:unhideWhenUsed w:val="1"/>
    <w:rsid w:val="00E8302C"/>
    <w:pPr>
      <w:tabs>
        <w:tab w:val="center" w:pos="4680"/>
        <w:tab w:val="right" w:pos="9360"/>
      </w:tabs>
    </w:pPr>
  </w:style>
  <w:style w:type="character" w:styleId="FooterChar" w:customStyle="1">
    <w:name w:val="Footer Char"/>
    <w:basedOn w:val="DefaultParagraphFont"/>
    <w:link w:val="Footer"/>
    <w:uiPriority w:val="99"/>
    <w:rsid w:val="00E8302C"/>
  </w:style>
  <w:style w:type="table" w:styleId="a1" w:customStyle="1">
    <w:basedOn w:val="TableNormal"/>
    <w:tblPr>
      <w:tblStyleRowBandSize w:val="1"/>
      <w:tblStyleColBandSize w:val="1"/>
      <w:tblCellMar>
        <w:top w:w="72.0" w:type="dxa"/>
        <w:left w:w="115.0" w:type="dxa"/>
        <w:bottom w:w="72.0" w:type="dxa"/>
        <w:right w:w="115.0" w:type="dxa"/>
      </w:tblCellMar>
    </w:tblPr>
  </w:style>
  <w:style w:type="table" w:styleId="a2" w:customStyle="1">
    <w:basedOn w:val="TableNormal"/>
    <w:tblPr>
      <w:tblStyleRowBandSize w:val="1"/>
      <w:tblStyleColBandSize w:val="1"/>
      <w:tblCellMar>
        <w:top w:w="72.0" w:type="dxa"/>
        <w:left w:w="115.0" w:type="dxa"/>
        <w:bottom w:w="72.0" w:type="dxa"/>
        <w:right w:w="115.0" w:type="dxa"/>
      </w:tblCellMar>
    </w:tblPr>
  </w:style>
  <w:style w:type="table" w:styleId="a3" w:customStyle="1">
    <w:basedOn w:val="TableNormal"/>
    <w:tblPr>
      <w:tblStyleRowBandSize w:val="1"/>
      <w:tblStyleColBandSize w:val="1"/>
      <w:tblCellMar>
        <w:top w:w="72.0" w:type="dxa"/>
        <w:left w:w="115.0" w:type="dxa"/>
        <w:bottom w:w="72.0" w:type="dxa"/>
        <w:right w:w="115.0" w:type="dxa"/>
      </w:tblCellMar>
    </w:tblPr>
  </w:style>
  <w:style w:type="table" w:styleId="a4" w:customStyle="1">
    <w:basedOn w:val="TableNormal"/>
    <w:tblPr>
      <w:tblStyleRowBandSize w:val="1"/>
      <w:tblStyleColBandSize w:val="1"/>
      <w:tblCellMar>
        <w:top w:w="72.0" w:type="dxa"/>
        <w:left w:w="115.0" w:type="dxa"/>
        <w:bottom w:w="72.0" w:type="dxa"/>
        <w:right w:w="115.0" w:type="dxa"/>
      </w:tblCellMar>
    </w:tblPr>
  </w:style>
  <w:style w:type="table" w:styleId="a5" w:customStyle="1">
    <w:basedOn w:val="TableNormal"/>
    <w:tblPr>
      <w:tblStyleRowBandSize w:val="1"/>
      <w:tblStyleColBandSize w:val="1"/>
      <w:tblCellMar>
        <w:top w:w="72.0" w:type="dxa"/>
        <w:left w:w="115.0" w:type="dxa"/>
        <w:bottom w:w="72.0" w:type="dxa"/>
        <w:right w:w="115.0" w:type="dxa"/>
      </w:tblCellMar>
    </w:tblPr>
  </w:style>
  <w:style w:type="table" w:styleId="a6" w:customStyle="1">
    <w:basedOn w:val="TableNormal"/>
    <w:tblPr>
      <w:tblStyleRowBandSize w:val="1"/>
      <w:tblStyleColBandSize w:val="1"/>
      <w:tblCellMar>
        <w:top w:w="72.0" w:type="dxa"/>
        <w:left w:w="115.0" w:type="dxa"/>
        <w:bottom w:w="72.0" w:type="dxa"/>
        <w:right w:w="115.0" w:type="dxa"/>
      </w:tblCellMar>
    </w:tblPr>
  </w:style>
  <w:style w:type="table" w:styleId="a7" w:customStyle="1">
    <w:basedOn w:val="TableNormal"/>
    <w:tblPr>
      <w:tblStyleRowBandSize w:val="1"/>
      <w:tblStyleColBandSize w:val="1"/>
      <w:tblCellMar>
        <w:top w:w="72.0" w:type="dxa"/>
        <w:left w:w="115.0" w:type="dxa"/>
        <w:bottom w:w="72.0" w:type="dxa"/>
        <w:right w:w="115.0" w:type="dxa"/>
      </w:tblCellMar>
    </w:tblPr>
  </w:style>
  <w:style w:type="table" w:styleId="a8" w:customStyle="1">
    <w:basedOn w:val="TableNormal"/>
    <w:tblPr>
      <w:tblStyleRowBandSize w:val="1"/>
      <w:tblStyleColBandSize w:val="1"/>
      <w:tblCellMar>
        <w:top w:w="72.0" w:type="dxa"/>
        <w:left w:w="115.0" w:type="dxa"/>
        <w:bottom w:w="72.0" w:type="dxa"/>
        <w:right w:w="115.0" w:type="dxa"/>
      </w:tblCellMar>
    </w:tblPr>
  </w:style>
  <w:style w:type="table" w:styleId="a9" w:customStyle="1">
    <w:basedOn w:val="TableNormal"/>
    <w:tblPr>
      <w:tblStyleRowBandSize w:val="1"/>
      <w:tblStyleColBandSize w:val="1"/>
      <w:tblCellMar>
        <w:top w:w="72.0" w:type="dxa"/>
        <w:left w:w="115.0" w:type="dxa"/>
        <w:bottom w:w="72.0" w:type="dxa"/>
        <w:right w:w="115.0" w:type="dxa"/>
      </w:tblCellMar>
    </w:tblPr>
  </w:style>
  <w:style w:type="table" w:styleId="aa" w:customStyle="1">
    <w:basedOn w:val="TableNormal"/>
    <w:tblPr>
      <w:tblStyleRowBandSize w:val="1"/>
      <w:tblStyleColBandSize w:val="1"/>
      <w:tblCellMar>
        <w:top w:w="72.0" w:type="dxa"/>
        <w:left w:w="115.0" w:type="dxa"/>
        <w:bottom w:w="72.0" w:type="dxa"/>
        <w:right w:w="115.0" w:type="dxa"/>
      </w:tblCellMar>
    </w:tblPr>
  </w:style>
  <w:style w:type="table" w:styleId="ab" w:customStyle="1">
    <w:basedOn w:val="TableNormal"/>
    <w:tblPr>
      <w:tblStyleRowBandSize w:val="1"/>
      <w:tblStyleColBandSize w:val="1"/>
      <w:tblCellMar>
        <w:top w:w="72.0" w:type="dxa"/>
        <w:left w:w="115.0" w:type="dxa"/>
        <w:bottom w:w="72.0" w:type="dxa"/>
        <w:right w:w="115.0" w:type="dxa"/>
      </w:tblCellMar>
    </w:tblPr>
  </w:style>
  <w:style w:type="table" w:styleId="ac" w:customStyle="1">
    <w:basedOn w:val="TableNormal"/>
    <w:tblPr>
      <w:tblStyleRowBandSize w:val="1"/>
      <w:tblStyleColBandSize w:val="1"/>
      <w:tblCellMar>
        <w:top w:w="72.0" w:type="dxa"/>
        <w:left w:w="115.0" w:type="dxa"/>
        <w:bottom w:w="72.0" w:type="dxa"/>
        <w:right w:w="115.0" w:type="dxa"/>
      </w:tblCellMar>
    </w:tblPr>
  </w:style>
  <w:style w:type="table" w:styleId="ad" w:customStyle="1">
    <w:basedOn w:val="TableNormal"/>
    <w:tblPr>
      <w:tblStyleRowBandSize w:val="1"/>
      <w:tblStyleColBandSize w:val="1"/>
      <w:tblCellMar>
        <w:top w:w="72.0" w:type="dxa"/>
        <w:left w:w="115.0" w:type="dxa"/>
        <w:bottom w:w="72.0" w:type="dxa"/>
        <w:right w:w="115.0" w:type="dxa"/>
      </w:tblCellMar>
    </w:tblPr>
  </w:style>
  <w:style w:type="table" w:styleId="ae" w:customStyle="1">
    <w:basedOn w:val="TableNormal"/>
    <w:tblPr>
      <w:tblStyleRowBandSize w:val="1"/>
      <w:tblStyleColBandSize w:val="1"/>
      <w:tblCellMar>
        <w:top w:w="72.0" w:type="dxa"/>
        <w:left w:w="115.0" w:type="dxa"/>
        <w:bottom w:w="72.0" w:type="dxa"/>
        <w:right w:w="115.0" w:type="dxa"/>
      </w:tblCellMar>
    </w:tblPr>
  </w:style>
  <w:style w:type="table" w:styleId="af" w:customStyle="1">
    <w:basedOn w:val="TableNormal"/>
    <w:tblPr>
      <w:tblStyleRowBandSize w:val="1"/>
      <w:tblStyleColBandSize w:val="1"/>
      <w:tblCellMar>
        <w:top w:w="72.0" w:type="dxa"/>
        <w:left w:w="115.0" w:type="dxa"/>
        <w:bottom w:w="72.0" w:type="dxa"/>
        <w:right w:w="115.0" w:type="dxa"/>
      </w:tblCellMar>
    </w:tblPr>
  </w:style>
  <w:style w:type="table" w:styleId="af0" w:customStyle="1">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color w:val="000000"/>
    </w:rPr>
  </w:style>
  <w:style w:type="table" w:styleId="Table1">
    <w:basedOn w:val="TableNormal"/>
    <w:tblPr>
      <w:tblStyleRowBandSize w:val="1"/>
      <w:tblStyleColBandSize w:val="1"/>
      <w:tblCellMar>
        <w:top w:w="72.0" w:type="dxa"/>
        <w:left w:w="115.0" w:type="dxa"/>
        <w:bottom w:w="72.0" w:type="dxa"/>
        <w:right w:w="115.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color w:val="000000"/>
    </w:rPr>
  </w:style>
  <w:style w:type="table" w:styleId="Table1">
    <w:basedOn w:val="TableNormal"/>
    <w:tblPr>
      <w:tblStyleRowBandSize w:val="1"/>
      <w:tblStyleColBandSize w:val="1"/>
      <w:tblCellMar>
        <w:top w:w="72.0" w:type="dxa"/>
        <w:left w:w="115.0" w:type="dxa"/>
        <w:bottom w:w="72.0" w:type="dxa"/>
        <w:right w:w="115.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color w:val="000000"/>
    </w:rPr>
  </w:style>
  <w:style w:type="table" w:styleId="Table1">
    <w:basedOn w:val="TableNormal"/>
    <w:tblPr>
      <w:tblStyleRowBandSize w:val="1"/>
      <w:tblStyleColBandSize w:val="1"/>
      <w:tblCellMar>
        <w:top w:w="72.0" w:type="dxa"/>
        <w:left w:w="115.0" w:type="dxa"/>
        <w:bottom w:w="72.0" w:type="dxa"/>
        <w:right w:w="115.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color w:val="000000"/>
    </w:rPr>
  </w:style>
  <w:style w:type="table" w:styleId="Table1">
    <w:basedOn w:val="TableNormal"/>
    <w:tblPr>
      <w:tblStyleRowBandSize w:val="1"/>
      <w:tblStyleColBandSize w:val="1"/>
      <w:tblCellMar>
        <w:top w:w="72.0" w:type="dxa"/>
        <w:left w:w="115.0" w:type="dxa"/>
        <w:bottom w:w="72.0" w:type="dxa"/>
        <w:right w:w="115.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color w:val="000000"/>
    </w:rPr>
  </w:style>
  <w:style w:type="table" w:styleId="Table1">
    <w:basedOn w:val="TableNormal"/>
    <w:tblPr>
      <w:tblStyleRowBandSize w:val="1"/>
      <w:tblStyleColBandSize w:val="1"/>
      <w:tblCellMar>
        <w:top w:w="72.0" w:type="dxa"/>
        <w:left w:w="115.0" w:type="dxa"/>
        <w:bottom w:w="72.0" w:type="dxa"/>
        <w:right w:w="115.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color w:val="000000"/>
    </w:rPr>
  </w:style>
  <w:style w:type="table" w:styleId="Table1">
    <w:basedOn w:val="TableNormal"/>
    <w:tblPr>
      <w:tblStyleRowBandSize w:val="1"/>
      <w:tblStyleColBandSize w:val="1"/>
      <w:tblCellMar>
        <w:top w:w="72.0" w:type="dxa"/>
        <w:left w:w="115.0" w:type="dxa"/>
        <w:bottom w:w="72.0" w:type="dxa"/>
        <w:right w:w="115.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color w:val="000000"/>
    </w:rPr>
  </w:style>
  <w:style w:type="table" w:styleId="Table1">
    <w:basedOn w:val="TableNormal"/>
    <w:tblPr>
      <w:tblStyleRowBandSize w:val="1"/>
      <w:tblStyleColBandSize w:val="1"/>
      <w:tblCellMar>
        <w:top w:w="72.0" w:type="dxa"/>
        <w:left w:w="115.0" w:type="dxa"/>
        <w:bottom w:w="72.0" w:type="dxa"/>
        <w:right w:w="115.0" w:type="dxa"/>
      </w:tblCellMar>
    </w:tblPr>
  </w:style>
  <w:style w:type="table" w:styleId="Table2">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oJmLTExSEOkjUfwLipFc5jdFZA==">CgMxLjA4AHIhMVhRcjdlb3lNSlV6MkZnYkpINXFIV3Y5QnNvLUVPaWpB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2021-08-16T18:25:00Z</dcterms:created>
  <dc:creator>Deneise Coughlin</dc:creator>
</cp:coreProperties>
</file>