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66EA0" w14:textId="77777777" w:rsidR="0086166A" w:rsidRPr="00FD4E36" w:rsidRDefault="0086166A" w:rsidP="0086166A">
      <w:pPr>
        <w:jc w:val="center"/>
        <w:rPr>
          <w:sz w:val="22"/>
          <w:szCs w:val="22"/>
        </w:rPr>
      </w:pPr>
      <w:r w:rsidRPr="00FD4E36">
        <w:rPr>
          <w:sz w:val="22"/>
          <w:szCs w:val="22"/>
        </w:rPr>
        <w:t>NOTICE OF PUBLIC HEARING AND BONDS TO BE ISSUED</w:t>
      </w:r>
    </w:p>
    <w:p w14:paraId="265EE923" w14:textId="77777777" w:rsidR="0086166A" w:rsidRPr="00FD4E36" w:rsidRDefault="0086166A" w:rsidP="0086166A">
      <w:pPr>
        <w:rPr>
          <w:sz w:val="22"/>
          <w:szCs w:val="22"/>
        </w:rPr>
      </w:pPr>
    </w:p>
    <w:p w14:paraId="2222A4AE" w14:textId="77777777" w:rsidR="0086166A" w:rsidRPr="00FD4E36" w:rsidRDefault="0086166A" w:rsidP="0086166A">
      <w:pPr>
        <w:pStyle w:val="BodyText5"/>
        <w:rPr>
          <w:sz w:val="22"/>
          <w:szCs w:val="22"/>
        </w:rPr>
      </w:pPr>
      <w:r w:rsidRPr="00FD4E36">
        <w:rPr>
          <w:sz w:val="22"/>
          <w:szCs w:val="22"/>
        </w:rPr>
        <w:t xml:space="preserve">PUBLIC NOTICE IS HEREBY GIVEN pursuant to the provisions of the </w:t>
      </w:r>
      <w:r>
        <w:rPr>
          <w:sz w:val="22"/>
          <w:szCs w:val="22"/>
        </w:rPr>
        <w:t xml:space="preserve">Local </w:t>
      </w:r>
      <w:r w:rsidRPr="00FD4E36">
        <w:rPr>
          <w:sz w:val="22"/>
          <w:szCs w:val="22"/>
        </w:rPr>
        <w:t xml:space="preserve">Building Authority Act, Title 17D, Chapter 2, Utah Code Annotated 1953, as </w:t>
      </w:r>
      <w:r>
        <w:rPr>
          <w:sz w:val="22"/>
          <w:szCs w:val="22"/>
        </w:rPr>
        <w:t>amended, and</w:t>
      </w:r>
      <w:r w:rsidRPr="00FD4E36">
        <w:rPr>
          <w:sz w:val="22"/>
          <w:szCs w:val="22"/>
        </w:rPr>
        <w:t xml:space="preserve"> the Local Government Bonding Act, Title 11, Chapter 14, Utah Code</w:t>
      </w:r>
      <w:r>
        <w:rPr>
          <w:sz w:val="22"/>
          <w:szCs w:val="22"/>
        </w:rPr>
        <w:t>, as amended (together</w:t>
      </w:r>
      <w:r w:rsidRPr="00FD4E36">
        <w:rPr>
          <w:sz w:val="22"/>
          <w:szCs w:val="22"/>
        </w:rPr>
        <w:t xml:space="preserve">, the “Act”), that on </w:t>
      </w:r>
      <w:r>
        <w:rPr>
          <w:sz w:val="22"/>
          <w:szCs w:val="22"/>
        </w:rPr>
        <w:t>September 12, 2023</w:t>
      </w:r>
      <w:r w:rsidRPr="00FD4E36">
        <w:rPr>
          <w:sz w:val="22"/>
          <w:szCs w:val="22"/>
        </w:rPr>
        <w:t xml:space="preserve">, the Governing Board (the “Governing Board”) of the </w:t>
      </w:r>
      <w:r>
        <w:rPr>
          <w:sz w:val="22"/>
          <w:szCs w:val="22"/>
        </w:rPr>
        <w:t>Municipal Building</w:t>
      </w:r>
      <w:r w:rsidRPr="00FD4E36">
        <w:rPr>
          <w:sz w:val="22"/>
          <w:szCs w:val="22"/>
        </w:rPr>
        <w:t xml:space="preserve"> Authority of </w:t>
      </w:r>
      <w:r>
        <w:rPr>
          <w:sz w:val="22"/>
          <w:szCs w:val="22"/>
        </w:rPr>
        <w:t>Syracuse City</w:t>
      </w:r>
      <w:r w:rsidRPr="00FD4E36">
        <w:rPr>
          <w:sz w:val="22"/>
          <w:szCs w:val="22"/>
        </w:rPr>
        <w:t xml:space="preserve">, Utah (the “Authority”) </w:t>
      </w:r>
      <w:r>
        <w:rPr>
          <w:sz w:val="22"/>
          <w:szCs w:val="22"/>
        </w:rPr>
        <w:t xml:space="preserve">adopted </w:t>
      </w:r>
      <w:r w:rsidRPr="00FD4E36">
        <w:rPr>
          <w:sz w:val="22"/>
          <w:szCs w:val="22"/>
        </w:rPr>
        <w:t>a resolution (the “Resolution”) declaring its intention to issue its Lease Revenue</w:t>
      </w:r>
      <w:r>
        <w:rPr>
          <w:sz w:val="22"/>
          <w:szCs w:val="22"/>
        </w:rPr>
        <w:t xml:space="preserve"> </w:t>
      </w:r>
      <w:r w:rsidRPr="00FD4E36">
        <w:rPr>
          <w:sz w:val="22"/>
          <w:szCs w:val="22"/>
        </w:rPr>
        <w:t xml:space="preserve">Bonds, </w:t>
      </w:r>
      <w:r>
        <w:rPr>
          <w:sz w:val="22"/>
          <w:szCs w:val="22"/>
        </w:rPr>
        <w:t>Series 2023</w:t>
      </w:r>
      <w:r w:rsidRPr="00FD4E36">
        <w:rPr>
          <w:sz w:val="22"/>
          <w:szCs w:val="22"/>
        </w:rPr>
        <w:t xml:space="preserve"> (the “Bonds”), and calling a public hearing to receive input from the public with respect to the issuance of the Bonds.</w:t>
      </w:r>
    </w:p>
    <w:p w14:paraId="26146D32" w14:textId="77777777" w:rsidR="0086166A" w:rsidRPr="00FD4E36" w:rsidRDefault="0086166A" w:rsidP="0086166A">
      <w:pPr>
        <w:jc w:val="center"/>
        <w:rPr>
          <w:sz w:val="22"/>
          <w:szCs w:val="22"/>
        </w:rPr>
      </w:pPr>
      <w:r w:rsidRPr="00FD4E36">
        <w:rPr>
          <w:sz w:val="22"/>
          <w:szCs w:val="22"/>
        </w:rPr>
        <w:t>TIME, PLACE AND LOCATION OF PUBLIC HEARING</w:t>
      </w:r>
    </w:p>
    <w:p w14:paraId="78ADE3AA" w14:textId="77777777" w:rsidR="0086166A" w:rsidRPr="00FD4E36" w:rsidRDefault="0086166A" w:rsidP="0086166A">
      <w:pPr>
        <w:rPr>
          <w:sz w:val="22"/>
          <w:szCs w:val="22"/>
        </w:rPr>
      </w:pPr>
    </w:p>
    <w:p w14:paraId="4203DC0E" w14:textId="77777777" w:rsidR="0086166A" w:rsidRPr="00FD4E36" w:rsidRDefault="0086166A" w:rsidP="0086166A">
      <w:pPr>
        <w:pStyle w:val="BodyText5"/>
        <w:rPr>
          <w:sz w:val="22"/>
          <w:szCs w:val="22"/>
        </w:rPr>
      </w:pPr>
      <w:r w:rsidRPr="00FD4E36">
        <w:rPr>
          <w:sz w:val="22"/>
          <w:szCs w:val="22"/>
        </w:rPr>
        <w:t xml:space="preserve">The Authority shall hold a public hearing on </w:t>
      </w:r>
      <w:r>
        <w:rPr>
          <w:sz w:val="22"/>
          <w:szCs w:val="22"/>
        </w:rPr>
        <w:t>Tuesday October 10, 2023</w:t>
      </w:r>
      <w:r w:rsidRPr="00FD4E36">
        <w:rPr>
          <w:sz w:val="22"/>
          <w:szCs w:val="22"/>
        </w:rPr>
        <w:t xml:space="preserve">, at the hour of </w:t>
      </w:r>
      <w:r>
        <w:rPr>
          <w:sz w:val="22"/>
          <w:szCs w:val="22"/>
        </w:rPr>
        <w:t>6:00</w:t>
      </w:r>
      <w:r w:rsidRPr="00FD4E36">
        <w:rPr>
          <w:sz w:val="22"/>
          <w:szCs w:val="22"/>
        </w:rPr>
        <w:t xml:space="preserve"> p.m.  The location of the public hearing is at the City offices of </w:t>
      </w:r>
      <w:r>
        <w:rPr>
          <w:sz w:val="22"/>
          <w:szCs w:val="22"/>
        </w:rPr>
        <w:t>Syracuse City</w:t>
      </w:r>
      <w:r w:rsidRPr="00FD4E36">
        <w:rPr>
          <w:sz w:val="22"/>
          <w:szCs w:val="22"/>
        </w:rPr>
        <w:t>, Utah (the “City”) located at</w:t>
      </w:r>
      <w:r>
        <w:rPr>
          <w:sz w:val="22"/>
          <w:szCs w:val="22"/>
        </w:rPr>
        <w:t xml:space="preserve"> 1979 West 1900 South</w:t>
      </w:r>
      <w:r w:rsidRPr="000B6430">
        <w:rPr>
          <w:sz w:val="22"/>
          <w:szCs w:val="22"/>
        </w:rPr>
        <w:t xml:space="preserve">, </w:t>
      </w:r>
      <w:r>
        <w:rPr>
          <w:sz w:val="22"/>
          <w:szCs w:val="22"/>
        </w:rPr>
        <w:t>Syracuse</w:t>
      </w:r>
      <w:r w:rsidRPr="000B6430">
        <w:rPr>
          <w:sz w:val="22"/>
          <w:szCs w:val="22"/>
        </w:rPr>
        <w:t>, Utah</w:t>
      </w:r>
      <w:r w:rsidRPr="00FD4E36">
        <w:rPr>
          <w:sz w:val="22"/>
          <w:szCs w:val="22"/>
        </w:rPr>
        <w:t xml:space="preserve">.  The purpose of the hearing is to receive input from the public with respect to: (a) the proposed Bonds, and (b) any potential economic impact that the improvements, </w:t>
      </w:r>
      <w:proofErr w:type="gramStart"/>
      <w:r w:rsidRPr="00FD4E36">
        <w:rPr>
          <w:sz w:val="22"/>
          <w:szCs w:val="22"/>
        </w:rPr>
        <w:t>facility</w:t>
      </w:r>
      <w:proofErr w:type="gramEnd"/>
      <w:r w:rsidRPr="00FD4E36">
        <w:rPr>
          <w:sz w:val="22"/>
          <w:szCs w:val="22"/>
        </w:rPr>
        <w:t xml:space="preserve"> or property financed in whole or in part with the proceeds of the Bonds may have on the private sector.  All members of the public are invited to attend and participate. </w:t>
      </w:r>
    </w:p>
    <w:p w14:paraId="291DE31F" w14:textId="77777777" w:rsidR="0086166A" w:rsidRPr="00FD4E36" w:rsidRDefault="0086166A" w:rsidP="0086166A">
      <w:pPr>
        <w:keepNext/>
        <w:keepLines/>
        <w:jc w:val="center"/>
        <w:rPr>
          <w:sz w:val="22"/>
          <w:szCs w:val="22"/>
        </w:rPr>
      </w:pPr>
      <w:r w:rsidRPr="00FD4E36">
        <w:rPr>
          <w:sz w:val="22"/>
          <w:szCs w:val="22"/>
        </w:rPr>
        <w:t>PURPOSE FOR ISSUING BONDS</w:t>
      </w:r>
    </w:p>
    <w:p w14:paraId="7A9EF486" w14:textId="77777777" w:rsidR="0086166A" w:rsidRPr="00FD4E36" w:rsidRDefault="0086166A" w:rsidP="0086166A">
      <w:pPr>
        <w:keepNext/>
        <w:keepLines/>
        <w:rPr>
          <w:sz w:val="22"/>
          <w:szCs w:val="22"/>
        </w:rPr>
      </w:pPr>
    </w:p>
    <w:p w14:paraId="3F17B7D5" w14:textId="77777777" w:rsidR="0086166A" w:rsidRPr="00FD4E36" w:rsidRDefault="0086166A" w:rsidP="0086166A">
      <w:pPr>
        <w:pStyle w:val="BodyText5"/>
        <w:rPr>
          <w:sz w:val="22"/>
          <w:szCs w:val="22"/>
        </w:rPr>
      </w:pPr>
      <w:r w:rsidRPr="00FD4E36">
        <w:rPr>
          <w:sz w:val="22"/>
          <w:szCs w:val="22"/>
        </w:rPr>
        <w:t xml:space="preserve">The Authority intends to issue the Bonds to provide funds to </w:t>
      </w:r>
      <w:r w:rsidRPr="002D1129">
        <w:rPr>
          <w:sz w:val="22"/>
          <w:szCs w:val="22"/>
        </w:rPr>
        <w:fldChar w:fldCharType="begin"/>
      </w:r>
      <w:r w:rsidRPr="002D1129">
        <w:rPr>
          <w:sz w:val="22"/>
          <w:szCs w:val="22"/>
        </w:rPr>
        <w:instrText xml:space="preserve"> LISTNUM NumberDefault \l5 \s1 \* MERGEFORMAT </w:instrText>
      </w:r>
      <w:r w:rsidRPr="002D1129">
        <w:rPr>
          <w:sz w:val="22"/>
          <w:szCs w:val="22"/>
        </w:rPr>
        <w:fldChar w:fldCharType="end"/>
      </w:r>
      <w:r>
        <w:rPr>
          <w:sz w:val="22"/>
          <w:szCs w:val="22"/>
        </w:rPr>
        <w:t xml:space="preserve"> </w:t>
      </w:r>
      <w:r w:rsidRPr="00875A01">
        <w:rPr>
          <w:sz w:val="22"/>
          <w:szCs w:val="22"/>
        </w:rPr>
        <w:t xml:space="preserve">finance the acquisition and construction of, </w:t>
      </w:r>
      <w:r>
        <w:rPr>
          <w:sz w:val="22"/>
          <w:szCs w:val="22"/>
        </w:rPr>
        <w:t xml:space="preserve">and </w:t>
      </w:r>
      <w:r w:rsidRPr="00875A01">
        <w:rPr>
          <w:sz w:val="22"/>
          <w:szCs w:val="22"/>
        </w:rPr>
        <w:t>furnishing and equipping of improvements to, a new fire station and related improvements</w:t>
      </w:r>
      <w:r w:rsidRPr="00DB1748">
        <w:t xml:space="preserve"> </w:t>
      </w:r>
      <w:r w:rsidRPr="00C73880">
        <w:rPr>
          <w:sz w:val="22"/>
          <w:szCs w:val="22"/>
        </w:rPr>
        <w:t>(collectively, the “</w:t>
      </w:r>
      <w:r>
        <w:rPr>
          <w:sz w:val="22"/>
          <w:szCs w:val="22"/>
        </w:rPr>
        <w:t>2023</w:t>
      </w:r>
      <w:r w:rsidRPr="00C73880">
        <w:rPr>
          <w:sz w:val="22"/>
          <w:szCs w:val="22"/>
        </w:rPr>
        <w:t xml:space="preserve"> Project”); </w:t>
      </w:r>
      <w:r w:rsidRPr="00C73880">
        <w:rPr>
          <w:sz w:val="22"/>
          <w:szCs w:val="22"/>
        </w:rPr>
        <w:fldChar w:fldCharType="begin"/>
      </w:r>
      <w:r w:rsidRPr="00C73880">
        <w:rPr>
          <w:sz w:val="22"/>
          <w:szCs w:val="22"/>
        </w:rPr>
        <w:instrText xml:space="preserve"> LISTNUM  </w:instrText>
      </w:r>
      <w:r w:rsidRPr="00C73880">
        <w:rPr>
          <w:sz w:val="22"/>
          <w:szCs w:val="22"/>
        </w:rPr>
        <w:fldChar w:fldCharType="end"/>
      </w:r>
      <w:r w:rsidRPr="00C73880">
        <w:rPr>
          <w:sz w:val="22"/>
          <w:szCs w:val="22"/>
        </w:rPr>
        <w:t xml:space="preserve"> fund any required deposits to a debt service reserve fund; and (</w:t>
      </w:r>
      <w:r>
        <w:rPr>
          <w:sz w:val="22"/>
          <w:szCs w:val="22"/>
        </w:rPr>
        <w:t>c</w:t>
      </w:r>
      <w:r w:rsidRPr="00C73880">
        <w:rPr>
          <w:sz w:val="22"/>
          <w:szCs w:val="22"/>
        </w:rPr>
        <w:t>) pay costs associated with the issuance of the Bonds</w:t>
      </w:r>
      <w:r w:rsidRPr="00FD4E36">
        <w:rPr>
          <w:sz w:val="22"/>
          <w:szCs w:val="22"/>
        </w:rPr>
        <w:t xml:space="preserve">.  </w:t>
      </w:r>
    </w:p>
    <w:p w14:paraId="0BF449AA" w14:textId="77777777" w:rsidR="0086166A" w:rsidRPr="00FD4E36" w:rsidRDefault="0086166A" w:rsidP="0086166A">
      <w:pPr>
        <w:pStyle w:val="BodyText5"/>
        <w:ind w:firstLine="0"/>
        <w:jc w:val="center"/>
        <w:rPr>
          <w:sz w:val="22"/>
          <w:szCs w:val="22"/>
        </w:rPr>
      </w:pPr>
      <w:r w:rsidRPr="00FD4E36">
        <w:rPr>
          <w:sz w:val="22"/>
          <w:szCs w:val="22"/>
        </w:rPr>
        <w:t>PARAMETERS OF THE BONDS</w:t>
      </w:r>
    </w:p>
    <w:p w14:paraId="35BAA5B9" w14:textId="77777777" w:rsidR="0086166A" w:rsidRPr="00FD4E36" w:rsidRDefault="0086166A" w:rsidP="0086166A">
      <w:pPr>
        <w:pStyle w:val="BodyText5"/>
        <w:rPr>
          <w:sz w:val="22"/>
          <w:szCs w:val="22"/>
        </w:rPr>
      </w:pPr>
      <w:r w:rsidRPr="00FD4E36">
        <w:rPr>
          <w:sz w:val="22"/>
          <w:szCs w:val="22"/>
        </w:rPr>
        <w:t xml:space="preserve">The Authority intends to issue the Bonds in </w:t>
      </w:r>
      <w:r>
        <w:rPr>
          <w:sz w:val="22"/>
          <w:szCs w:val="22"/>
        </w:rPr>
        <w:t>a</w:t>
      </w:r>
      <w:r w:rsidRPr="00FD4E36">
        <w:rPr>
          <w:sz w:val="22"/>
          <w:szCs w:val="22"/>
        </w:rPr>
        <w:t xml:space="preserve"> principal amount of not to exceed </w:t>
      </w:r>
      <w:r>
        <w:rPr>
          <w:sz w:val="22"/>
          <w:szCs w:val="22"/>
        </w:rPr>
        <w:t xml:space="preserve">Thirteen Million </w:t>
      </w:r>
      <w:r w:rsidRPr="00FD4E36">
        <w:rPr>
          <w:sz w:val="22"/>
          <w:szCs w:val="22"/>
        </w:rPr>
        <w:t>Dollars ($</w:t>
      </w:r>
      <w:r>
        <w:rPr>
          <w:sz w:val="22"/>
          <w:szCs w:val="22"/>
        </w:rPr>
        <w:t>13,000,000</w:t>
      </w:r>
      <w:r w:rsidRPr="00FD4E36">
        <w:rPr>
          <w:sz w:val="22"/>
          <w:szCs w:val="22"/>
        </w:rPr>
        <w:t xml:space="preserve">), to bear interest at a rate or rates of not to exceed </w:t>
      </w:r>
      <w:r>
        <w:rPr>
          <w:sz w:val="22"/>
          <w:szCs w:val="22"/>
        </w:rPr>
        <w:t xml:space="preserve">five and one-half </w:t>
      </w:r>
      <w:r w:rsidRPr="00FD4E36">
        <w:rPr>
          <w:sz w:val="22"/>
          <w:szCs w:val="22"/>
        </w:rPr>
        <w:t>percent (</w:t>
      </w:r>
      <w:r>
        <w:rPr>
          <w:sz w:val="22"/>
          <w:szCs w:val="22"/>
        </w:rPr>
        <w:t>5.5</w:t>
      </w:r>
      <w:r w:rsidRPr="00FD4E36">
        <w:rPr>
          <w:sz w:val="22"/>
          <w:szCs w:val="22"/>
        </w:rPr>
        <w:t xml:space="preserve">0%) per annum, to mature in not more than </w:t>
      </w:r>
      <w:r>
        <w:rPr>
          <w:sz w:val="22"/>
          <w:szCs w:val="22"/>
        </w:rPr>
        <w:t>twenty-six</w:t>
      </w:r>
      <w:r w:rsidRPr="00FD4E36">
        <w:rPr>
          <w:sz w:val="22"/>
          <w:szCs w:val="22"/>
        </w:rPr>
        <w:t xml:space="preserve"> (</w:t>
      </w:r>
      <w:r>
        <w:rPr>
          <w:sz w:val="22"/>
          <w:szCs w:val="22"/>
        </w:rPr>
        <w:t>26</w:t>
      </w:r>
      <w:r w:rsidRPr="00FD4E36">
        <w:rPr>
          <w:sz w:val="22"/>
          <w:szCs w:val="22"/>
        </w:rPr>
        <w:t>) years from their date or dates, and to be sold at a price not less than ninety-</w:t>
      </w:r>
      <w:r>
        <w:rPr>
          <w:sz w:val="22"/>
          <w:szCs w:val="22"/>
        </w:rPr>
        <w:t>eight</w:t>
      </w:r>
      <w:r w:rsidRPr="00FD4E36">
        <w:rPr>
          <w:sz w:val="22"/>
          <w:szCs w:val="22"/>
        </w:rPr>
        <w:t xml:space="preserve"> percent (9</w:t>
      </w:r>
      <w:r>
        <w:rPr>
          <w:sz w:val="22"/>
          <w:szCs w:val="22"/>
        </w:rPr>
        <w:t>8</w:t>
      </w:r>
      <w:r w:rsidRPr="00FD4E36">
        <w:rPr>
          <w:sz w:val="22"/>
          <w:szCs w:val="22"/>
        </w:rPr>
        <w:t>%) of the total principal amount thereof, plus accrued interest</w:t>
      </w:r>
      <w:r>
        <w:rPr>
          <w:sz w:val="22"/>
          <w:szCs w:val="22"/>
        </w:rPr>
        <w:t>, if any,</w:t>
      </w:r>
      <w:r w:rsidRPr="00FD4E36">
        <w:rPr>
          <w:sz w:val="22"/>
          <w:szCs w:val="22"/>
        </w:rPr>
        <w:t xml:space="preserve"> to the date of delivery</w:t>
      </w:r>
      <w:r>
        <w:rPr>
          <w:sz w:val="22"/>
          <w:szCs w:val="22"/>
        </w:rPr>
        <w:t xml:space="preserve"> of the Bonds</w:t>
      </w:r>
      <w:r w:rsidRPr="00FD4E36">
        <w:rPr>
          <w:sz w:val="22"/>
          <w:szCs w:val="22"/>
        </w:rPr>
        <w:t>.</w:t>
      </w:r>
      <w:r>
        <w:rPr>
          <w:sz w:val="22"/>
          <w:szCs w:val="22"/>
        </w:rPr>
        <w:t xml:space="preserve">  </w:t>
      </w:r>
    </w:p>
    <w:p w14:paraId="54746F11" w14:textId="77777777" w:rsidR="0086166A" w:rsidRDefault="0086166A" w:rsidP="0086166A">
      <w:pPr>
        <w:pStyle w:val="BodyText5"/>
        <w:rPr>
          <w:sz w:val="22"/>
          <w:szCs w:val="22"/>
        </w:rPr>
      </w:pPr>
      <w:r w:rsidRPr="00FD4E36">
        <w:rPr>
          <w:sz w:val="22"/>
          <w:szCs w:val="22"/>
        </w:rPr>
        <w:t xml:space="preserve">The Bonds are to be issued and sold by the Authority pursuant to the Resolution, including as attachments to said Resolution a </w:t>
      </w:r>
      <w:r>
        <w:rPr>
          <w:sz w:val="22"/>
          <w:szCs w:val="22"/>
        </w:rPr>
        <w:t xml:space="preserve">form of the </w:t>
      </w:r>
      <w:r w:rsidRPr="00FD4E36">
        <w:rPr>
          <w:sz w:val="22"/>
          <w:szCs w:val="22"/>
        </w:rPr>
        <w:t xml:space="preserve">General Indenture of Trust and </w:t>
      </w:r>
      <w:r>
        <w:rPr>
          <w:sz w:val="22"/>
          <w:szCs w:val="22"/>
        </w:rPr>
        <w:t xml:space="preserve">First </w:t>
      </w:r>
      <w:r w:rsidRPr="00FD4E36">
        <w:rPr>
          <w:sz w:val="22"/>
          <w:szCs w:val="22"/>
        </w:rPr>
        <w:t xml:space="preserve">Supplemental Indenture of Trust (collectively, the “Indenture”) and a form of a </w:t>
      </w:r>
      <w:r>
        <w:rPr>
          <w:sz w:val="22"/>
          <w:szCs w:val="22"/>
        </w:rPr>
        <w:t>Mas</w:t>
      </w:r>
      <w:r w:rsidRPr="00FD4E36">
        <w:rPr>
          <w:sz w:val="22"/>
          <w:szCs w:val="22"/>
        </w:rPr>
        <w:t>ter Lease Agreement (the “Lease”), which were before the Governing Board at the time of the adoption of the Resolution.  The</w:t>
      </w:r>
      <w:r>
        <w:rPr>
          <w:sz w:val="22"/>
          <w:szCs w:val="22"/>
        </w:rPr>
        <w:t xml:space="preserve"> </w:t>
      </w:r>
      <w:r w:rsidRPr="00FD4E36">
        <w:rPr>
          <w:sz w:val="22"/>
          <w:szCs w:val="22"/>
        </w:rPr>
        <w:t>Indenture and the</w:t>
      </w:r>
      <w:r>
        <w:rPr>
          <w:sz w:val="22"/>
          <w:szCs w:val="22"/>
        </w:rPr>
        <w:t xml:space="preserve"> </w:t>
      </w:r>
      <w:r w:rsidRPr="00FD4E36">
        <w:rPr>
          <w:sz w:val="22"/>
          <w:szCs w:val="22"/>
        </w:rPr>
        <w:t>Lease</w:t>
      </w:r>
      <w:r>
        <w:rPr>
          <w:sz w:val="22"/>
          <w:szCs w:val="22"/>
        </w:rPr>
        <w:t xml:space="preserve"> </w:t>
      </w:r>
      <w:r w:rsidRPr="00FD4E36">
        <w:rPr>
          <w:sz w:val="22"/>
          <w:szCs w:val="22"/>
        </w:rPr>
        <w:t xml:space="preserve">are to be executed by the Authority and/or the City with such terms and provisions and any changes thereto </w:t>
      </w:r>
      <w:r>
        <w:rPr>
          <w:sz w:val="22"/>
          <w:szCs w:val="22"/>
        </w:rPr>
        <w:t>as authorized by the Resolution.</w:t>
      </w:r>
    </w:p>
    <w:p w14:paraId="11D5B63F" w14:textId="77777777" w:rsidR="0086166A" w:rsidRPr="00FD4E36" w:rsidRDefault="0086166A" w:rsidP="0086166A">
      <w:pPr>
        <w:jc w:val="center"/>
        <w:rPr>
          <w:sz w:val="22"/>
          <w:szCs w:val="22"/>
        </w:rPr>
      </w:pPr>
      <w:r w:rsidRPr="00FD4E36">
        <w:rPr>
          <w:sz w:val="22"/>
          <w:szCs w:val="22"/>
        </w:rPr>
        <w:t>SECURITY FOR THE BONDS</w:t>
      </w:r>
    </w:p>
    <w:p w14:paraId="4EBD44E9" w14:textId="77777777" w:rsidR="0086166A" w:rsidRPr="00FD4E36" w:rsidRDefault="0086166A" w:rsidP="0086166A">
      <w:pPr>
        <w:jc w:val="center"/>
        <w:rPr>
          <w:sz w:val="22"/>
          <w:szCs w:val="22"/>
        </w:rPr>
      </w:pPr>
    </w:p>
    <w:p w14:paraId="4E09770F" w14:textId="77777777" w:rsidR="0086166A" w:rsidRDefault="0086166A" w:rsidP="0086166A">
      <w:pPr>
        <w:pStyle w:val="BodyText5"/>
        <w:rPr>
          <w:sz w:val="22"/>
          <w:szCs w:val="22"/>
        </w:rPr>
      </w:pPr>
      <w:r w:rsidRPr="00FD4E36">
        <w:rPr>
          <w:sz w:val="22"/>
          <w:szCs w:val="22"/>
        </w:rPr>
        <w:t xml:space="preserve">The Bonds are payable solely from the rents, revenues and other income received by the Authority from the leasing of the </w:t>
      </w:r>
      <w:r>
        <w:rPr>
          <w:sz w:val="22"/>
          <w:szCs w:val="22"/>
        </w:rPr>
        <w:t>2023 Project</w:t>
      </w:r>
      <w:r w:rsidRPr="00FD4E36">
        <w:rPr>
          <w:sz w:val="22"/>
          <w:szCs w:val="22"/>
        </w:rPr>
        <w:t xml:space="preserve"> to the City on an annually renewable basis (the “Lease Revenues”).</w:t>
      </w:r>
    </w:p>
    <w:p w14:paraId="5C29612D" w14:textId="77777777" w:rsidR="0086166A" w:rsidRPr="00FD4E36" w:rsidRDefault="0086166A" w:rsidP="0086166A">
      <w:pPr>
        <w:keepNext/>
        <w:jc w:val="center"/>
        <w:rPr>
          <w:sz w:val="22"/>
          <w:szCs w:val="22"/>
        </w:rPr>
      </w:pPr>
      <w:r w:rsidRPr="00FD4E36">
        <w:rPr>
          <w:sz w:val="22"/>
          <w:szCs w:val="22"/>
        </w:rPr>
        <w:t>OUTSTANDING BONDS SECURED BY LEASE REVENUES</w:t>
      </w:r>
    </w:p>
    <w:p w14:paraId="3A81D650" w14:textId="77777777" w:rsidR="0086166A" w:rsidRPr="00FD4E36" w:rsidRDefault="0086166A" w:rsidP="0086166A">
      <w:pPr>
        <w:jc w:val="center"/>
        <w:rPr>
          <w:sz w:val="22"/>
          <w:szCs w:val="22"/>
        </w:rPr>
      </w:pPr>
    </w:p>
    <w:p w14:paraId="2207822C" w14:textId="77777777" w:rsidR="0086166A" w:rsidRPr="00FD4E36" w:rsidRDefault="0086166A" w:rsidP="0086166A">
      <w:pPr>
        <w:ind w:firstLine="720"/>
        <w:jc w:val="both"/>
        <w:rPr>
          <w:sz w:val="22"/>
          <w:szCs w:val="22"/>
        </w:rPr>
      </w:pPr>
      <w:bookmarkStart w:id="0" w:name="_Hlk522525709"/>
      <w:r w:rsidRPr="00FD4E36">
        <w:rPr>
          <w:sz w:val="22"/>
          <w:szCs w:val="22"/>
        </w:rPr>
        <w:t>The Authority currently ha</w:t>
      </w:r>
      <w:r>
        <w:rPr>
          <w:sz w:val="22"/>
          <w:szCs w:val="22"/>
        </w:rPr>
        <w:t>s</w:t>
      </w:r>
      <w:r w:rsidRPr="00FD4E36">
        <w:rPr>
          <w:sz w:val="22"/>
          <w:szCs w:val="22"/>
        </w:rPr>
        <w:t xml:space="preserve"> </w:t>
      </w:r>
      <w:r>
        <w:rPr>
          <w:sz w:val="22"/>
          <w:szCs w:val="22"/>
        </w:rPr>
        <w:t xml:space="preserve">no </w:t>
      </w:r>
      <w:r w:rsidRPr="00FD4E36">
        <w:rPr>
          <w:sz w:val="22"/>
          <w:szCs w:val="22"/>
        </w:rPr>
        <w:t>bonds outstanding secured by Lease Revenues.</w:t>
      </w:r>
    </w:p>
    <w:p w14:paraId="151993ED" w14:textId="77777777" w:rsidR="0086166A" w:rsidRPr="00FD4E36" w:rsidRDefault="0086166A" w:rsidP="0086166A">
      <w:pPr>
        <w:jc w:val="center"/>
        <w:rPr>
          <w:sz w:val="22"/>
          <w:szCs w:val="22"/>
        </w:rPr>
      </w:pPr>
    </w:p>
    <w:bookmarkEnd w:id="0"/>
    <w:p w14:paraId="114C9895" w14:textId="77777777" w:rsidR="0086166A" w:rsidRPr="00FD4E36" w:rsidRDefault="0086166A" w:rsidP="0086166A">
      <w:pPr>
        <w:jc w:val="center"/>
        <w:rPr>
          <w:sz w:val="22"/>
          <w:szCs w:val="22"/>
        </w:rPr>
      </w:pPr>
      <w:r w:rsidRPr="00FD4E36">
        <w:rPr>
          <w:sz w:val="22"/>
          <w:szCs w:val="22"/>
        </w:rPr>
        <w:t>OTHER OUTSTANDING BONDS OF THE AUTHORITY</w:t>
      </w:r>
    </w:p>
    <w:p w14:paraId="4286496C" w14:textId="77777777" w:rsidR="0086166A" w:rsidRPr="00FD4E36" w:rsidRDefault="0086166A" w:rsidP="0086166A">
      <w:pPr>
        <w:jc w:val="center"/>
        <w:rPr>
          <w:sz w:val="22"/>
          <w:szCs w:val="22"/>
        </w:rPr>
      </w:pPr>
    </w:p>
    <w:p w14:paraId="34BB7E0A" w14:textId="77777777" w:rsidR="0086166A" w:rsidRPr="00FD4E36" w:rsidRDefault="0086166A" w:rsidP="0086166A">
      <w:pPr>
        <w:rPr>
          <w:sz w:val="22"/>
          <w:szCs w:val="22"/>
        </w:rPr>
      </w:pPr>
      <w:r w:rsidRPr="00FD4E36">
        <w:rPr>
          <w:sz w:val="22"/>
          <w:szCs w:val="22"/>
        </w:rPr>
        <w:t xml:space="preserve">Information regarding all of the Authority’s outstanding bonds may be found in the City’s audited financial report (the “Financial Report”) </w:t>
      </w:r>
      <w:r w:rsidRPr="00EF167E">
        <w:rPr>
          <w:sz w:val="22"/>
          <w:szCs w:val="22"/>
        </w:rPr>
        <w:t xml:space="preserve">at </w:t>
      </w:r>
      <w:hyperlink r:id="rId7" w:history="1">
        <w:r w:rsidRPr="00EF167E">
          <w:rPr>
            <w:rStyle w:val="Hyperlink"/>
            <w:sz w:val="22"/>
            <w:szCs w:val="22"/>
          </w:rPr>
          <w:t>https://reporting.auditor.utah.gov/searchreports/s/</w:t>
        </w:r>
      </w:hyperlink>
      <w:r>
        <w:t>.</w:t>
      </w:r>
      <w:r w:rsidRPr="00FD4E36">
        <w:rPr>
          <w:sz w:val="22"/>
          <w:szCs w:val="22"/>
        </w:rPr>
        <w:t>For additional information, including any more recent than as of the date of the Financial Report please contact</w:t>
      </w:r>
      <w:r w:rsidRPr="00875A01">
        <w:rPr>
          <w:sz w:val="22"/>
          <w:szCs w:val="22"/>
        </w:rPr>
        <w:t xml:space="preserve"> </w:t>
      </w:r>
      <w:r>
        <w:rPr>
          <w:sz w:val="22"/>
          <w:szCs w:val="22"/>
        </w:rPr>
        <w:t xml:space="preserve">Brody </w:t>
      </w:r>
      <w:proofErr w:type="spellStart"/>
      <w:r>
        <w:rPr>
          <w:sz w:val="22"/>
          <w:szCs w:val="22"/>
        </w:rPr>
        <w:t>Bovero</w:t>
      </w:r>
      <w:proofErr w:type="spellEnd"/>
      <w:r>
        <w:rPr>
          <w:sz w:val="22"/>
          <w:szCs w:val="22"/>
        </w:rPr>
        <w:t xml:space="preserve">, City Manager </w:t>
      </w:r>
      <w:r w:rsidRPr="00C20C44">
        <w:rPr>
          <w:color w:val="000000"/>
          <w:sz w:val="22"/>
          <w:szCs w:val="22"/>
        </w:rPr>
        <w:t> at (</w:t>
      </w:r>
      <w:r>
        <w:rPr>
          <w:color w:val="000000"/>
          <w:sz w:val="22"/>
          <w:szCs w:val="22"/>
        </w:rPr>
        <w:t>801</w:t>
      </w:r>
      <w:r w:rsidRPr="00C20C44">
        <w:rPr>
          <w:color w:val="000000"/>
          <w:sz w:val="22"/>
          <w:szCs w:val="22"/>
        </w:rPr>
        <w:t xml:space="preserve">) </w:t>
      </w:r>
      <w:r>
        <w:rPr>
          <w:color w:val="000000"/>
          <w:sz w:val="22"/>
          <w:szCs w:val="22"/>
        </w:rPr>
        <w:t>825-1477</w:t>
      </w:r>
      <w:r w:rsidRPr="00FD4E36">
        <w:rPr>
          <w:sz w:val="22"/>
          <w:szCs w:val="22"/>
        </w:rPr>
        <w:t>.</w:t>
      </w:r>
    </w:p>
    <w:p w14:paraId="17DF1C41" w14:textId="77777777" w:rsidR="0086166A" w:rsidRPr="00FD4E36" w:rsidRDefault="0086166A" w:rsidP="0086166A">
      <w:pPr>
        <w:rPr>
          <w:sz w:val="22"/>
          <w:szCs w:val="22"/>
        </w:rPr>
      </w:pPr>
    </w:p>
    <w:p w14:paraId="654B9C30" w14:textId="77777777" w:rsidR="0086166A" w:rsidRPr="00FD4E36" w:rsidRDefault="0086166A" w:rsidP="0086166A">
      <w:pPr>
        <w:jc w:val="center"/>
        <w:rPr>
          <w:sz w:val="22"/>
          <w:szCs w:val="22"/>
        </w:rPr>
      </w:pPr>
      <w:r w:rsidRPr="00FD4E36">
        <w:rPr>
          <w:sz w:val="22"/>
          <w:szCs w:val="22"/>
        </w:rPr>
        <w:t>TOTAL ESTIMATED COST</w:t>
      </w:r>
    </w:p>
    <w:p w14:paraId="20B3CE95" w14:textId="77777777" w:rsidR="0086166A" w:rsidRPr="00FD4E36" w:rsidRDefault="0086166A" w:rsidP="0086166A">
      <w:pPr>
        <w:jc w:val="center"/>
        <w:rPr>
          <w:sz w:val="22"/>
          <w:szCs w:val="22"/>
        </w:rPr>
      </w:pPr>
    </w:p>
    <w:p w14:paraId="2D08E83F" w14:textId="77777777" w:rsidR="0086166A" w:rsidRPr="00FD4E36" w:rsidRDefault="0086166A" w:rsidP="0086166A">
      <w:pPr>
        <w:ind w:firstLine="720"/>
        <w:rPr>
          <w:sz w:val="22"/>
          <w:szCs w:val="22"/>
        </w:rPr>
      </w:pPr>
      <w:bookmarkStart w:id="1" w:name="_Hlk531599161"/>
      <w:bookmarkStart w:id="2" w:name="_Hlk20833299"/>
      <w:bookmarkStart w:id="3" w:name="_Hlk522525714"/>
      <w:r w:rsidRPr="00FD4E36">
        <w:rPr>
          <w:sz w:val="22"/>
          <w:szCs w:val="22"/>
        </w:rPr>
        <w:t>Based on an estimate of the current interest rate and financing plan, the estimated total debt service cost of the Bonds, if held until maturity</w:t>
      </w:r>
      <w:r>
        <w:rPr>
          <w:sz w:val="22"/>
          <w:szCs w:val="22"/>
        </w:rPr>
        <w:t>, is $</w:t>
      </w:r>
      <w:bookmarkEnd w:id="1"/>
      <w:bookmarkEnd w:id="2"/>
      <w:r>
        <w:rPr>
          <w:sz w:val="22"/>
          <w:szCs w:val="22"/>
        </w:rPr>
        <w:t>24,739,200.</w:t>
      </w:r>
    </w:p>
    <w:bookmarkEnd w:id="3"/>
    <w:p w14:paraId="49C2829E" w14:textId="77777777" w:rsidR="0086166A" w:rsidRPr="00FD4E36" w:rsidRDefault="0086166A" w:rsidP="0086166A">
      <w:pPr>
        <w:ind w:firstLine="720"/>
        <w:rPr>
          <w:sz w:val="22"/>
          <w:szCs w:val="22"/>
        </w:rPr>
      </w:pPr>
    </w:p>
    <w:p w14:paraId="4619B70C" w14:textId="77777777" w:rsidR="0086166A" w:rsidRPr="00FD4E36" w:rsidRDefault="0086166A" w:rsidP="0086166A">
      <w:pPr>
        <w:pStyle w:val="BodyText5"/>
        <w:rPr>
          <w:sz w:val="22"/>
          <w:szCs w:val="22"/>
        </w:rPr>
      </w:pPr>
      <w:r w:rsidRPr="00FD4E36">
        <w:rPr>
          <w:sz w:val="22"/>
          <w:szCs w:val="22"/>
        </w:rPr>
        <w:t>A copy of the Resolution and the forms of Indenture and the Lease are on file in the City offices, located at</w:t>
      </w:r>
      <w:r>
        <w:rPr>
          <w:sz w:val="22"/>
          <w:szCs w:val="22"/>
        </w:rPr>
        <w:t xml:space="preserve"> 1979 West 1900 South</w:t>
      </w:r>
      <w:r w:rsidRPr="00FD4E36">
        <w:rPr>
          <w:sz w:val="22"/>
          <w:szCs w:val="22"/>
        </w:rPr>
        <w:t xml:space="preserve">, in </w:t>
      </w:r>
      <w:r>
        <w:rPr>
          <w:sz w:val="22"/>
          <w:szCs w:val="22"/>
        </w:rPr>
        <w:t>Syracuse City</w:t>
      </w:r>
      <w:r w:rsidRPr="00FD4E36">
        <w:rPr>
          <w:sz w:val="22"/>
          <w:szCs w:val="22"/>
        </w:rPr>
        <w:t xml:space="preserve">, Utah, where they may be examined during regular business hours from </w:t>
      </w:r>
      <w:r>
        <w:rPr>
          <w:sz w:val="22"/>
          <w:szCs w:val="22"/>
        </w:rPr>
        <w:t>8:00</w:t>
      </w:r>
      <w:r w:rsidRPr="00FD4E36">
        <w:rPr>
          <w:sz w:val="22"/>
          <w:szCs w:val="22"/>
        </w:rPr>
        <w:t xml:space="preserve"> a.m. to </w:t>
      </w:r>
      <w:r>
        <w:rPr>
          <w:sz w:val="22"/>
          <w:szCs w:val="22"/>
        </w:rPr>
        <w:t>5</w:t>
      </w:r>
      <w:r w:rsidRPr="00FD4E36">
        <w:rPr>
          <w:sz w:val="22"/>
          <w:szCs w:val="22"/>
        </w:rPr>
        <w:t>:00 p.m.</w:t>
      </w:r>
      <w:r>
        <w:rPr>
          <w:sz w:val="22"/>
          <w:szCs w:val="22"/>
        </w:rPr>
        <w:t xml:space="preserve">, Monday through Friday </w:t>
      </w:r>
      <w:r w:rsidRPr="00FD4E36">
        <w:rPr>
          <w:sz w:val="22"/>
          <w:szCs w:val="22"/>
        </w:rPr>
        <w:t xml:space="preserve">for a period of at least thirty (30) days from and after the last date of </w:t>
      </w:r>
      <w:r>
        <w:rPr>
          <w:sz w:val="22"/>
          <w:szCs w:val="22"/>
        </w:rPr>
        <w:t xml:space="preserve">posting </w:t>
      </w:r>
      <w:r w:rsidRPr="00FD4E36">
        <w:rPr>
          <w:sz w:val="22"/>
          <w:szCs w:val="22"/>
        </w:rPr>
        <w:t>of this notice.</w:t>
      </w:r>
    </w:p>
    <w:p w14:paraId="6390246B" w14:textId="77777777" w:rsidR="0086166A" w:rsidRPr="00FD4E36" w:rsidRDefault="0086166A" w:rsidP="0086166A">
      <w:pPr>
        <w:pStyle w:val="BodyText5"/>
        <w:rPr>
          <w:sz w:val="22"/>
          <w:szCs w:val="22"/>
        </w:rPr>
      </w:pPr>
      <w:r w:rsidRPr="00FD4E36">
        <w:rPr>
          <w:sz w:val="22"/>
          <w:szCs w:val="22"/>
        </w:rPr>
        <w:t>NOTICE IS FURTHER GIVEN that a period of thirty (30) days from and after the date of the publication of this notice is provided by law during which (</w:t>
      </w:r>
      <w:proofErr w:type="spellStart"/>
      <w:r w:rsidRPr="00FD4E36">
        <w:rPr>
          <w:sz w:val="22"/>
          <w:szCs w:val="22"/>
        </w:rPr>
        <w:t>i</w:t>
      </w:r>
      <w:proofErr w:type="spellEnd"/>
      <w:r w:rsidRPr="00FD4E36">
        <w:rPr>
          <w:sz w:val="22"/>
          <w:szCs w:val="22"/>
        </w:rPr>
        <w:t>) any person in interest shall have the right to contest the legality of the Resolution, the</w:t>
      </w:r>
      <w:r>
        <w:rPr>
          <w:sz w:val="22"/>
          <w:szCs w:val="22"/>
        </w:rPr>
        <w:t xml:space="preserve"> </w:t>
      </w:r>
      <w:r w:rsidRPr="00FD4E36">
        <w:rPr>
          <w:sz w:val="22"/>
          <w:szCs w:val="22"/>
        </w:rPr>
        <w:t xml:space="preserve">Indenture, the </w:t>
      </w:r>
      <w:r>
        <w:rPr>
          <w:sz w:val="22"/>
          <w:szCs w:val="22"/>
        </w:rPr>
        <w:t>L</w:t>
      </w:r>
      <w:r w:rsidRPr="00FD4E36">
        <w:rPr>
          <w:sz w:val="22"/>
          <w:szCs w:val="22"/>
        </w:rPr>
        <w:t>ease, or the Bonds, or any provision made for the security and payment of the Bonds, and after such time, no one shall have any cause of action to contest the regularity, formality or legality thereof for any cause whatsoever, and (ii) active voters (as defined in Section 20A-1-102 of the Utah Code) within the City may sign a written petition requesting an election to authorize the issuance of the Bonds.  If written petitions which have been signed by at least twenty percent (20%) of the active voters of the City are filed with the Authority during said 30-day period, the Authority shall be required to hold an election to obtain voter authorization prior to the issuance of the Bonds.  If fewer than twenty percent (20%) of the active voters of the City file a written petition during said 30-day period, the Authority may proceed to issue the Bonds without an election.</w:t>
      </w:r>
    </w:p>
    <w:p w14:paraId="2BD20DA4" w14:textId="77777777" w:rsidR="0086166A" w:rsidRPr="00FD4E36" w:rsidRDefault="0086166A" w:rsidP="0086166A">
      <w:pPr>
        <w:pStyle w:val="BodyText5"/>
        <w:rPr>
          <w:sz w:val="22"/>
          <w:szCs w:val="22"/>
        </w:rPr>
      </w:pPr>
      <w:r w:rsidRPr="00FD4E36">
        <w:rPr>
          <w:sz w:val="22"/>
          <w:szCs w:val="22"/>
        </w:rPr>
        <w:t xml:space="preserve">DATED this </w:t>
      </w:r>
      <w:r>
        <w:rPr>
          <w:sz w:val="22"/>
          <w:szCs w:val="22"/>
        </w:rPr>
        <w:t>September 12, 2023</w:t>
      </w:r>
      <w:r w:rsidRPr="00FD4E36">
        <w:rPr>
          <w:sz w:val="22"/>
          <w:szCs w:val="22"/>
        </w:rPr>
        <w:t xml:space="preserve">. </w:t>
      </w:r>
    </w:p>
    <w:p w14:paraId="34620E37" w14:textId="77777777" w:rsidR="0086166A" w:rsidRPr="00FD4E36" w:rsidRDefault="0086166A" w:rsidP="0086166A">
      <w:pPr>
        <w:tabs>
          <w:tab w:val="center" w:pos="6480"/>
          <w:tab w:val="right" w:pos="8640"/>
        </w:tabs>
        <w:ind w:left="4320"/>
        <w:rPr>
          <w:sz w:val="22"/>
          <w:szCs w:val="22"/>
          <w:u w:val="single"/>
        </w:rPr>
      </w:pPr>
      <w:r w:rsidRPr="00FD4E36">
        <w:rPr>
          <w:sz w:val="22"/>
          <w:szCs w:val="22"/>
          <w:u w:val="single"/>
        </w:rPr>
        <w:tab/>
        <w:t>/s/</w:t>
      </w:r>
      <w:r w:rsidRPr="006D1883">
        <w:rPr>
          <w:sz w:val="22"/>
          <w:szCs w:val="22"/>
          <w:u w:val="single"/>
        </w:rPr>
        <w:t>Cassie Brown</w:t>
      </w:r>
      <w:r w:rsidRPr="00FD4E36">
        <w:rPr>
          <w:sz w:val="22"/>
          <w:szCs w:val="22"/>
          <w:u w:val="single"/>
        </w:rPr>
        <w:tab/>
      </w:r>
    </w:p>
    <w:p w14:paraId="392340CB" w14:textId="30C83251" w:rsidR="00225F58" w:rsidRDefault="0086166A" w:rsidP="0086166A">
      <w:r>
        <w:rPr>
          <w:sz w:val="22"/>
          <w:szCs w:val="22"/>
        </w:rPr>
        <w:tab/>
      </w:r>
      <w:r w:rsidRPr="00FD4E36">
        <w:rPr>
          <w:sz w:val="22"/>
          <w:szCs w:val="22"/>
        </w:rPr>
        <w:t>Secretary-Treasurer</w:t>
      </w:r>
      <w:r w:rsidRPr="00D21973">
        <w:br/>
      </w:r>
    </w:p>
    <w:sectPr w:rsidR="00225F58" w:rsidSect="0086166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54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718569" w14:textId="77777777" w:rsidR="0086166A" w:rsidRDefault="0086166A" w:rsidP="0086166A">
      <w:r>
        <w:separator/>
      </w:r>
    </w:p>
  </w:endnote>
  <w:endnote w:type="continuationSeparator" w:id="0">
    <w:p w14:paraId="47FFD99A" w14:textId="77777777" w:rsidR="0086166A" w:rsidRDefault="0086166A" w:rsidP="00861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C45CB" w14:textId="77777777" w:rsidR="0086166A" w:rsidRDefault="008616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946E4" w14:textId="5055028D" w:rsidR="0086166A" w:rsidRDefault="0086166A" w:rsidP="0086166A">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Pr="0086166A">
      <w:rPr>
        <w:rFonts w:ascii="Arial" w:hAnsi="Arial" w:cs="Arial"/>
        <w:sz w:val="16"/>
      </w:rPr>
      <w:t>4877-9346-0607, v. 1</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E3266" w14:textId="77777777" w:rsidR="0086166A" w:rsidRDefault="008616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453210" w14:textId="77777777" w:rsidR="0086166A" w:rsidRDefault="0086166A" w:rsidP="0086166A">
      <w:r>
        <w:separator/>
      </w:r>
    </w:p>
  </w:footnote>
  <w:footnote w:type="continuationSeparator" w:id="0">
    <w:p w14:paraId="61E290C8" w14:textId="77777777" w:rsidR="0086166A" w:rsidRDefault="0086166A" w:rsidP="008616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3A5B9" w14:textId="77777777" w:rsidR="0086166A" w:rsidRDefault="008616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29725" w14:textId="77777777" w:rsidR="0086166A" w:rsidRDefault="008616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68833" w14:textId="77777777" w:rsidR="0086166A" w:rsidRDefault="008616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F966AF"/>
    <w:multiLevelType w:val="multilevel"/>
    <w:tmpl w:val="1136A004"/>
    <w:styleLink w:val="Style2"/>
    <w:lvl w:ilvl="0">
      <w:start w:val="1"/>
      <w:numFmt w:val="decimal"/>
      <w:lvlText w:val="%1)"/>
      <w:lvlJc w:val="left"/>
      <w:pPr>
        <w:ind w:left="720" w:hanging="360"/>
      </w:pPr>
      <w:rPr>
        <w:rFonts w:hint="default"/>
      </w:rPr>
    </w:lvl>
    <w:lvl w:ilvl="1">
      <w:start w:val="1"/>
      <w:numFmt w:val="decimal"/>
      <w:lvlText w:val="%2.%1"/>
      <w:lvlJc w:val="left"/>
      <w:pPr>
        <w:ind w:left="0" w:firstLine="720"/>
      </w:pPr>
      <w:rPr>
        <w:rFonts w:ascii="Times New Roman" w:hAnsi="Times New Roman" w:hint="default"/>
        <w:sz w:val="24"/>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 w15:restartNumberingAfterBreak="0">
    <w:nsid w:val="36A505E8"/>
    <w:multiLevelType w:val="hybridMultilevel"/>
    <w:tmpl w:val="424A5B1C"/>
    <w:lvl w:ilvl="0" w:tplc="B74668C4">
      <w:start w:val="1"/>
      <w:numFmt w:val="decimal"/>
      <w:pStyle w:val="00NumberList"/>
      <w:lvlText w:val="%1."/>
      <w:lvlJc w:val="left"/>
      <w:pPr>
        <w:tabs>
          <w:tab w:val="num" w:pos="1440"/>
        </w:tabs>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ED6554"/>
    <w:multiLevelType w:val="multilevel"/>
    <w:tmpl w:val="DD44091E"/>
    <w:lvl w:ilvl="0">
      <w:start w:val="1"/>
      <w:numFmt w:val="upperRoman"/>
      <w:pStyle w:val="Heading1"/>
      <w:lvlText w:val="Article %1."/>
      <w:lvlJc w:val="left"/>
      <w:pPr>
        <w:ind w:left="0" w:firstLine="0"/>
      </w:pPr>
      <w:rPr>
        <w:rFonts w:hint="default"/>
        <w:b w:val="0"/>
        <w:i w:val="0"/>
        <w:caps/>
        <w:color w:val="010000"/>
        <w:sz w:val="24"/>
        <w:u w:val="none"/>
      </w:rPr>
    </w:lvl>
    <w:lvl w:ilvl="1">
      <w:start w:val="1"/>
      <w:numFmt w:val="decimalZero"/>
      <w:isLgl/>
      <w:lvlText w:val="Section %1.%2"/>
      <w:lvlJc w:val="left"/>
      <w:pPr>
        <w:ind w:left="0" w:firstLine="0"/>
      </w:pPr>
      <w:rPr>
        <w:rFonts w:hint="default"/>
        <w:caps w:val="0"/>
        <w:color w:val="010000"/>
        <w:u w:val="none"/>
      </w:rPr>
    </w:lvl>
    <w:lvl w:ilvl="2">
      <w:start w:val="1"/>
      <w:numFmt w:val="lowerLetter"/>
      <w:lvlText w:val="(%3)"/>
      <w:lvlJc w:val="left"/>
      <w:pPr>
        <w:ind w:left="720" w:firstLine="720"/>
      </w:pPr>
      <w:rPr>
        <w:rFonts w:hint="default"/>
        <w:caps w:val="0"/>
        <w:color w:val="010000"/>
        <w:u w:val="none"/>
      </w:rPr>
    </w:lvl>
    <w:lvl w:ilvl="3">
      <w:start w:val="1"/>
      <w:numFmt w:val="lowerRoman"/>
      <w:lvlText w:val="(%4)"/>
      <w:lvlJc w:val="right"/>
      <w:pPr>
        <w:ind w:left="864" w:hanging="144"/>
      </w:pPr>
      <w:rPr>
        <w:rFonts w:hint="default"/>
        <w:caps w:val="0"/>
        <w:color w:val="010000"/>
        <w:u w:val="none"/>
      </w:rPr>
    </w:lvl>
    <w:lvl w:ilvl="4">
      <w:start w:val="1"/>
      <w:numFmt w:val="decimal"/>
      <w:lvlText w:val="%5)"/>
      <w:lvlJc w:val="left"/>
      <w:pPr>
        <w:ind w:left="1008" w:hanging="432"/>
      </w:pPr>
      <w:rPr>
        <w:rFonts w:hint="default"/>
        <w:caps w:val="0"/>
        <w:color w:val="010000"/>
        <w:u w:val="none"/>
      </w:rPr>
    </w:lvl>
    <w:lvl w:ilvl="5">
      <w:start w:val="1"/>
      <w:numFmt w:val="lowerLetter"/>
      <w:lvlText w:val="%6)"/>
      <w:lvlJc w:val="left"/>
      <w:pPr>
        <w:ind w:left="1152" w:hanging="432"/>
      </w:pPr>
      <w:rPr>
        <w:rFonts w:hint="default"/>
        <w:caps w:val="0"/>
        <w:color w:val="010000"/>
        <w:u w:val="none"/>
      </w:rPr>
    </w:lvl>
    <w:lvl w:ilvl="6">
      <w:start w:val="1"/>
      <w:numFmt w:val="lowerRoman"/>
      <w:lvlText w:val="%7)"/>
      <w:lvlJc w:val="right"/>
      <w:pPr>
        <w:ind w:left="1296" w:hanging="288"/>
      </w:pPr>
      <w:rPr>
        <w:rFonts w:hint="default"/>
        <w:caps w:val="0"/>
        <w:color w:val="010000"/>
        <w:u w:val="none"/>
      </w:rPr>
    </w:lvl>
    <w:lvl w:ilvl="7">
      <w:start w:val="1"/>
      <w:numFmt w:val="lowerLetter"/>
      <w:lvlText w:val="%8."/>
      <w:lvlJc w:val="left"/>
      <w:pPr>
        <w:ind w:left="1440" w:hanging="432"/>
      </w:pPr>
      <w:rPr>
        <w:rFonts w:hint="default"/>
        <w:caps w:val="0"/>
        <w:color w:val="010000"/>
        <w:u w:val="none"/>
      </w:rPr>
    </w:lvl>
    <w:lvl w:ilvl="8">
      <w:start w:val="1"/>
      <w:numFmt w:val="lowerRoman"/>
      <w:lvlText w:val="%9."/>
      <w:lvlJc w:val="right"/>
      <w:pPr>
        <w:ind w:left="1584" w:hanging="144"/>
      </w:pPr>
      <w:rPr>
        <w:rFonts w:hint="default"/>
        <w:caps w:val="0"/>
        <w:color w:val="010000"/>
        <w:u w:val="none"/>
      </w:rPr>
    </w:lvl>
  </w:abstractNum>
  <w:abstractNum w:abstractNumId="4" w15:restartNumberingAfterBreak="0">
    <w:nsid w:val="575518DE"/>
    <w:multiLevelType w:val="hybridMultilevel"/>
    <w:tmpl w:val="06B2500E"/>
    <w:lvl w:ilvl="0" w:tplc="886E45DA">
      <w:start w:val="1"/>
      <w:numFmt w:val="bullet"/>
      <w:pStyle w:val="00BulletList"/>
      <w:lvlText w:val=""/>
      <w:lvlJc w:val="left"/>
      <w:pPr>
        <w:ind w:left="1440" w:hanging="720"/>
      </w:pPr>
      <w:rPr>
        <w:rFonts w:ascii="Symbol" w:hAnsi="Symbol" w:hint="default"/>
      </w:rPr>
    </w:lvl>
    <w:lvl w:ilvl="1" w:tplc="04090003" w:tentative="1">
      <w:start w:val="1"/>
      <w:numFmt w:val="bullet"/>
      <w:pStyle w:val="Article2L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5793296"/>
    <w:multiLevelType w:val="hybridMultilevel"/>
    <w:tmpl w:val="5E6CC38E"/>
    <w:lvl w:ilvl="0" w:tplc="6A941AA4">
      <w:start w:val="1"/>
      <w:numFmt w:val="decimal"/>
      <w:pStyle w:val="ListParagraph"/>
      <w:lvlText w:val="%1."/>
      <w:lvlJc w:val="left"/>
      <w:pPr>
        <w:ind w:left="720" w:hanging="360"/>
      </w:pPr>
      <w:rPr>
        <w:rFonts w:hint="default"/>
        <w:b w:val="0"/>
        <w:i w:val="0"/>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E7B3282"/>
    <w:multiLevelType w:val="multilevel"/>
    <w:tmpl w:val="B69880F2"/>
    <w:lvl w:ilvl="0">
      <w:start w:val="1"/>
      <w:numFmt w:val="upperRoman"/>
      <w:suff w:val="space"/>
      <w:lvlText w:val="ARTICLE %1"/>
      <w:lvlJc w:val="center"/>
      <w:pPr>
        <w:ind w:left="0" w:firstLine="0"/>
      </w:pPr>
      <w:rPr>
        <w:rFonts w:ascii="Times New Roman" w:hAnsi="Times New Roman" w:hint="default"/>
        <w:b w:val="0"/>
        <w:i w:val="0"/>
        <w:caps/>
        <w:vanish w:val="0"/>
        <w:color w:val="000000"/>
        <w:sz w:val="24"/>
        <w:u w:val="none"/>
      </w:rPr>
    </w:lvl>
    <w:lvl w:ilvl="1">
      <w:start w:val="1"/>
      <w:numFmt w:val="decimal"/>
      <w:pStyle w:val="Heading2"/>
      <w:isLgl/>
      <w:lvlText w:val="Section %1.%2"/>
      <w:lvlJc w:val="left"/>
      <w:pPr>
        <w:ind w:left="0" w:firstLine="720"/>
      </w:pPr>
      <w:rPr>
        <w:rFonts w:hint="default"/>
        <w:vanish w:val="0"/>
        <w:color w:val="000000"/>
      </w:rPr>
    </w:lvl>
    <w:lvl w:ilvl="2">
      <w:start w:val="1"/>
      <w:numFmt w:val="lowerLetter"/>
      <w:pStyle w:val="Heading3"/>
      <w:lvlText w:val="(%3)"/>
      <w:lvlJc w:val="left"/>
      <w:pPr>
        <w:ind w:left="720" w:firstLine="720"/>
      </w:pPr>
      <w:rPr>
        <w:rFonts w:hint="default"/>
        <w:vanish w:val="0"/>
        <w:color w:val="000000"/>
      </w:rPr>
    </w:lvl>
    <w:lvl w:ilvl="3">
      <w:start w:val="1"/>
      <w:numFmt w:val="lowerRoman"/>
      <w:pStyle w:val="Heading4"/>
      <w:lvlText w:val="(%4)"/>
      <w:lvlJc w:val="left"/>
      <w:pPr>
        <w:ind w:left="1350" w:firstLine="720"/>
      </w:pPr>
      <w:rPr>
        <w:rFonts w:hint="default"/>
        <w:vanish w:val="0"/>
        <w:color w:val="000000"/>
      </w:rPr>
    </w:lvl>
    <w:lvl w:ilvl="4">
      <w:start w:val="1"/>
      <w:numFmt w:val="upperLetter"/>
      <w:pStyle w:val="Heading5"/>
      <w:lvlText w:val="(%5)"/>
      <w:lvlJc w:val="left"/>
      <w:pPr>
        <w:ind w:left="2160" w:firstLine="720"/>
      </w:pPr>
      <w:rPr>
        <w:rFonts w:hint="default"/>
        <w:vanish w:val="0"/>
      </w:rPr>
    </w:lvl>
    <w:lvl w:ilvl="5">
      <w:start w:val="1"/>
      <w:numFmt w:val="decimal"/>
      <w:pStyle w:val="Heading6"/>
      <w:lvlText w:val="(%6)"/>
      <w:lvlJc w:val="left"/>
      <w:pPr>
        <w:ind w:left="2880" w:firstLine="720"/>
      </w:pPr>
      <w:rPr>
        <w:rFonts w:hint="default"/>
        <w:vanish w:val="0"/>
      </w:rPr>
    </w:lvl>
    <w:lvl w:ilvl="6">
      <w:start w:val="1"/>
      <w:numFmt w:val="decimal"/>
      <w:pStyle w:val="Heading7"/>
      <w:lvlText w:val="(%7)"/>
      <w:lvlJc w:val="left"/>
      <w:pPr>
        <w:tabs>
          <w:tab w:val="num" w:pos="5400"/>
        </w:tabs>
        <w:ind w:left="0" w:firstLine="5040"/>
      </w:pPr>
      <w:rPr>
        <w:rFonts w:hint="default"/>
        <w:vanish w:val="0"/>
      </w:rPr>
    </w:lvl>
    <w:lvl w:ilvl="7">
      <w:start w:val="1"/>
      <w:numFmt w:val="lowerLetter"/>
      <w:pStyle w:val="Heading8"/>
      <w:lvlText w:val="%8."/>
      <w:lvlJc w:val="left"/>
      <w:pPr>
        <w:tabs>
          <w:tab w:val="num" w:pos="6120"/>
        </w:tabs>
        <w:ind w:left="0" w:firstLine="5760"/>
      </w:pPr>
      <w:rPr>
        <w:rFonts w:hint="default"/>
        <w:vanish w:val="0"/>
      </w:rPr>
    </w:lvl>
    <w:lvl w:ilvl="8">
      <w:start w:val="1"/>
      <w:numFmt w:val="lowerRoman"/>
      <w:pStyle w:val="Heading9"/>
      <w:lvlText w:val="%9."/>
      <w:lvlJc w:val="left"/>
      <w:pPr>
        <w:tabs>
          <w:tab w:val="num" w:pos="7200"/>
        </w:tabs>
        <w:ind w:left="0" w:firstLine="6480"/>
      </w:pPr>
      <w:rPr>
        <w:rFonts w:hint="default"/>
        <w:vanish w:val="0"/>
      </w:rPr>
    </w:lvl>
  </w:abstractNum>
  <w:num w:numId="1" w16cid:durableId="240720329">
    <w:abstractNumId w:val="4"/>
  </w:num>
  <w:num w:numId="2" w16cid:durableId="1788232600">
    <w:abstractNumId w:val="2"/>
  </w:num>
  <w:num w:numId="3" w16cid:durableId="1303460421">
    <w:abstractNumId w:val="4"/>
  </w:num>
  <w:num w:numId="4" w16cid:durableId="904532987">
    <w:abstractNumId w:val="6"/>
  </w:num>
  <w:num w:numId="5" w16cid:durableId="683900195">
    <w:abstractNumId w:val="3"/>
  </w:num>
  <w:num w:numId="6" w16cid:durableId="2110808050">
    <w:abstractNumId w:val="6"/>
  </w:num>
  <w:num w:numId="7" w16cid:durableId="247814015">
    <w:abstractNumId w:val="6"/>
  </w:num>
  <w:num w:numId="8" w16cid:durableId="1987512305">
    <w:abstractNumId w:val="6"/>
  </w:num>
  <w:num w:numId="9" w16cid:durableId="1683781051">
    <w:abstractNumId w:val="6"/>
  </w:num>
  <w:num w:numId="10" w16cid:durableId="1638414209">
    <w:abstractNumId w:val="6"/>
  </w:num>
  <w:num w:numId="11" w16cid:durableId="528488948">
    <w:abstractNumId w:val="6"/>
  </w:num>
  <w:num w:numId="12" w16cid:durableId="1427581659">
    <w:abstractNumId w:val="6"/>
  </w:num>
  <w:num w:numId="13" w16cid:durableId="635306419">
    <w:abstractNumId w:val="5"/>
  </w:num>
  <w:num w:numId="14" w16cid:durableId="14991515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dGeneratedStamp" w:val="4877-9346-0607, v. 1"/>
    <w:docVar w:name="ndGeneratedStampLocation" w:val="ExceptFirst"/>
  </w:docVars>
  <w:rsids>
    <w:rsidRoot w:val="0086166A"/>
    <w:rsid w:val="00084482"/>
    <w:rsid w:val="00225F58"/>
    <w:rsid w:val="0086166A"/>
    <w:rsid w:val="00A608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A09F9"/>
  <w15:chartTrackingRefBased/>
  <w15:docId w15:val="{DAC9FA34-1F24-4934-B842-922635380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66A"/>
    <w:pPr>
      <w:spacing w:after="0" w:line="240" w:lineRule="auto"/>
    </w:pPr>
    <w:rPr>
      <w:rFonts w:ascii="Times New Roman" w:hAnsi="Times New Roman" w:cs="Times New Roman"/>
      <w:sz w:val="24"/>
      <w:szCs w:val="24"/>
    </w:rPr>
  </w:style>
  <w:style w:type="paragraph" w:styleId="Heading1">
    <w:name w:val="heading 1"/>
    <w:basedOn w:val="00Center"/>
    <w:link w:val="Heading1Char"/>
    <w:qFormat/>
    <w:rsid w:val="00A6084C"/>
    <w:pPr>
      <w:widowControl/>
      <w:numPr>
        <w:numId w:val="5"/>
      </w:numPr>
      <w:outlineLvl w:val="0"/>
    </w:pPr>
  </w:style>
  <w:style w:type="paragraph" w:styleId="Heading2">
    <w:name w:val="heading 2"/>
    <w:basedOn w:val="Normal"/>
    <w:next w:val="00BodyText5"/>
    <w:link w:val="Heading2Char"/>
    <w:qFormat/>
    <w:rsid w:val="00A6084C"/>
    <w:pPr>
      <w:numPr>
        <w:ilvl w:val="1"/>
        <w:numId w:val="12"/>
      </w:numPr>
      <w:spacing w:after="240"/>
      <w:jc w:val="both"/>
      <w:outlineLvl w:val="1"/>
    </w:pPr>
    <w:rPr>
      <w:rFonts w:eastAsiaTheme="majorEastAsia"/>
      <w:bCs/>
      <w:color w:val="000000"/>
      <w:szCs w:val="26"/>
    </w:rPr>
  </w:style>
  <w:style w:type="paragraph" w:styleId="Heading3">
    <w:name w:val="heading 3"/>
    <w:basedOn w:val="Normal"/>
    <w:next w:val="00BodyText5"/>
    <w:link w:val="Heading3Char"/>
    <w:qFormat/>
    <w:rsid w:val="00A6084C"/>
    <w:pPr>
      <w:numPr>
        <w:ilvl w:val="2"/>
        <w:numId w:val="12"/>
      </w:numPr>
      <w:tabs>
        <w:tab w:val="left" w:pos="2160"/>
      </w:tabs>
      <w:spacing w:after="240"/>
      <w:jc w:val="both"/>
      <w:outlineLvl w:val="2"/>
    </w:pPr>
    <w:rPr>
      <w:rFonts w:eastAsiaTheme="majorEastAsia"/>
      <w:bCs/>
      <w:color w:val="000000"/>
      <w:szCs w:val="20"/>
    </w:rPr>
  </w:style>
  <w:style w:type="paragraph" w:styleId="Heading4">
    <w:name w:val="heading 4"/>
    <w:basedOn w:val="Normal"/>
    <w:next w:val="00BodyText1"/>
    <w:link w:val="Heading4Char"/>
    <w:unhideWhenUsed/>
    <w:qFormat/>
    <w:rsid w:val="00A6084C"/>
    <w:pPr>
      <w:numPr>
        <w:ilvl w:val="3"/>
        <w:numId w:val="12"/>
      </w:numPr>
      <w:tabs>
        <w:tab w:val="left" w:pos="2880"/>
      </w:tabs>
      <w:spacing w:after="240"/>
      <w:ind w:right="720"/>
      <w:jc w:val="both"/>
      <w:outlineLvl w:val="3"/>
    </w:pPr>
    <w:rPr>
      <w:rFonts w:eastAsiaTheme="majorEastAsia"/>
      <w:bCs/>
      <w:iCs/>
      <w:color w:val="000000"/>
      <w:szCs w:val="20"/>
    </w:rPr>
  </w:style>
  <w:style w:type="paragraph" w:styleId="Heading5">
    <w:name w:val="heading 5"/>
    <w:basedOn w:val="Normal"/>
    <w:next w:val="00BodyText1"/>
    <w:link w:val="Heading5Char"/>
    <w:semiHidden/>
    <w:unhideWhenUsed/>
    <w:qFormat/>
    <w:rsid w:val="00A6084C"/>
    <w:pPr>
      <w:numPr>
        <w:ilvl w:val="4"/>
        <w:numId w:val="12"/>
      </w:numPr>
      <w:jc w:val="both"/>
      <w:outlineLvl w:val="4"/>
    </w:pPr>
    <w:rPr>
      <w:rFonts w:eastAsiaTheme="majorEastAsia"/>
      <w:color w:val="000000"/>
      <w:szCs w:val="20"/>
    </w:rPr>
  </w:style>
  <w:style w:type="paragraph" w:styleId="Heading6">
    <w:name w:val="heading 6"/>
    <w:basedOn w:val="Normal"/>
    <w:next w:val="00BodyText1"/>
    <w:link w:val="Heading6Char"/>
    <w:semiHidden/>
    <w:unhideWhenUsed/>
    <w:qFormat/>
    <w:rsid w:val="00A6084C"/>
    <w:pPr>
      <w:numPr>
        <w:ilvl w:val="5"/>
        <w:numId w:val="12"/>
      </w:numPr>
      <w:jc w:val="both"/>
      <w:outlineLvl w:val="5"/>
    </w:pPr>
    <w:rPr>
      <w:rFonts w:eastAsiaTheme="majorEastAsia"/>
      <w:iCs/>
      <w:color w:val="000000"/>
      <w:szCs w:val="20"/>
    </w:rPr>
  </w:style>
  <w:style w:type="paragraph" w:styleId="Heading7">
    <w:name w:val="heading 7"/>
    <w:basedOn w:val="Normal"/>
    <w:next w:val="00BodyText1"/>
    <w:link w:val="Heading7Char"/>
    <w:semiHidden/>
    <w:unhideWhenUsed/>
    <w:qFormat/>
    <w:rsid w:val="00A6084C"/>
    <w:pPr>
      <w:numPr>
        <w:ilvl w:val="6"/>
        <w:numId w:val="12"/>
      </w:numPr>
      <w:jc w:val="both"/>
      <w:outlineLvl w:val="6"/>
    </w:pPr>
    <w:rPr>
      <w:rFonts w:eastAsiaTheme="majorEastAsia"/>
      <w:iCs/>
      <w:color w:val="000000"/>
      <w:szCs w:val="20"/>
    </w:rPr>
  </w:style>
  <w:style w:type="paragraph" w:styleId="Heading8">
    <w:name w:val="heading 8"/>
    <w:basedOn w:val="Normal"/>
    <w:next w:val="00BodyText1"/>
    <w:link w:val="Heading8Char"/>
    <w:semiHidden/>
    <w:unhideWhenUsed/>
    <w:qFormat/>
    <w:rsid w:val="00A6084C"/>
    <w:pPr>
      <w:numPr>
        <w:ilvl w:val="7"/>
        <w:numId w:val="12"/>
      </w:numPr>
      <w:jc w:val="both"/>
      <w:outlineLvl w:val="7"/>
    </w:pPr>
    <w:rPr>
      <w:rFonts w:eastAsiaTheme="majorEastAsia"/>
      <w:color w:val="000000"/>
      <w:szCs w:val="20"/>
    </w:rPr>
  </w:style>
  <w:style w:type="paragraph" w:styleId="Heading9">
    <w:name w:val="heading 9"/>
    <w:basedOn w:val="Normal"/>
    <w:next w:val="00BodyText1"/>
    <w:link w:val="Heading9Char"/>
    <w:semiHidden/>
    <w:unhideWhenUsed/>
    <w:qFormat/>
    <w:rsid w:val="00A6084C"/>
    <w:pPr>
      <w:numPr>
        <w:ilvl w:val="8"/>
        <w:numId w:val="12"/>
      </w:numPr>
      <w:jc w:val="both"/>
      <w:outlineLvl w:val="8"/>
    </w:pPr>
    <w:rPr>
      <w:rFonts w:eastAsiaTheme="majorEastAsia"/>
      <w:iCs/>
      <w:color w:val="00000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BlockInd5">
    <w:name w:val="00 Block Ind .5"/>
    <w:basedOn w:val="Normal"/>
    <w:qFormat/>
    <w:rsid w:val="00A6084C"/>
    <w:pPr>
      <w:spacing w:after="240"/>
      <w:ind w:left="720" w:right="720"/>
      <w:jc w:val="both"/>
    </w:pPr>
    <w:rPr>
      <w:szCs w:val="20"/>
    </w:rPr>
  </w:style>
  <w:style w:type="paragraph" w:customStyle="1" w:styleId="00BlockInd1">
    <w:name w:val="00 Block Ind 1"/>
    <w:basedOn w:val="Normal"/>
    <w:qFormat/>
    <w:rsid w:val="00A6084C"/>
    <w:pPr>
      <w:spacing w:after="240"/>
      <w:ind w:left="1440" w:right="1440"/>
      <w:jc w:val="both"/>
    </w:pPr>
    <w:rPr>
      <w:szCs w:val="20"/>
    </w:rPr>
  </w:style>
  <w:style w:type="paragraph" w:customStyle="1" w:styleId="00BodyText5">
    <w:name w:val="00 Body Text .5"/>
    <w:basedOn w:val="Normal"/>
    <w:link w:val="00BodyText5Char"/>
    <w:qFormat/>
    <w:rsid w:val="00A6084C"/>
    <w:pPr>
      <w:suppressAutoHyphens/>
      <w:spacing w:after="240"/>
      <w:ind w:firstLine="720"/>
      <w:jc w:val="both"/>
    </w:pPr>
  </w:style>
  <w:style w:type="character" w:customStyle="1" w:styleId="00BodyText5Char">
    <w:name w:val="00 Body Text .5 Char"/>
    <w:link w:val="00BodyText5"/>
    <w:rsid w:val="00A6084C"/>
    <w:rPr>
      <w:rFonts w:ascii="Times New Roman" w:eastAsia="Times New Roman" w:hAnsi="Times New Roman" w:cs="Times New Roman"/>
      <w:sz w:val="24"/>
      <w:szCs w:val="24"/>
    </w:rPr>
  </w:style>
  <w:style w:type="paragraph" w:customStyle="1" w:styleId="00BodyText1">
    <w:name w:val="00 Body Text 1"/>
    <w:basedOn w:val="Normal"/>
    <w:qFormat/>
    <w:rsid w:val="00A6084C"/>
    <w:pPr>
      <w:spacing w:after="240"/>
      <w:ind w:firstLine="1440"/>
    </w:pPr>
    <w:rPr>
      <w:szCs w:val="20"/>
    </w:rPr>
  </w:style>
  <w:style w:type="paragraph" w:customStyle="1" w:styleId="00BodyText15">
    <w:name w:val="00 Body Text 1.5"/>
    <w:basedOn w:val="Normal"/>
    <w:qFormat/>
    <w:rsid w:val="00A6084C"/>
    <w:pPr>
      <w:spacing w:line="360" w:lineRule="auto"/>
      <w:ind w:firstLine="1440"/>
    </w:pPr>
    <w:rPr>
      <w:szCs w:val="20"/>
    </w:rPr>
  </w:style>
  <w:style w:type="paragraph" w:customStyle="1" w:styleId="00BodyTextDbl">
    <w:name w:val="00 Body Text Dbl"/>
    <w:basedOn w:val="Normal"/>
    <w:qFormat/>
    <w:rsid w:val="00A6084C"/>
    <w:pPr>
      <w:spacing w:line="480" w:lineRule="auto"/>
      <w:ind w:firstLine="1440"/>
    </w:pPr>
    <w:rPr>
      <w:szCs w:val="20"/>
    </w:rPr>
  </w:style>
  <w:style w:type="paragraph" w:customStyle="1" w:styleId="00BulletList">
    <w:name w:val="00 Bullet List"/>
    <w:basedOn w:val="Normal"/>
    <w:qFormat/>
    <w:rsid w:val="00A6084C"/>
    <w:pPr>
      <w:numPr>
        <w:numId w:val="3"/>
      </w:numPr>
      <w:spacing w:after="240"/>
    </w:pPr>
    <w:rPr>
      <w:szCs w:val="20"/>
    </w:rPr>
  </w:style>
  <w:style w:type="paragraph" w:customStyle="1" w:styleId="00Center">
    <w:name w:val="00 Center"/>
    <w:basedOn w:val="Normal"/>
    <w:qFormat/>
    <w:rsid w:val="00A6084C"/>
    <w:pPr>
      <w:keepNext/>
      <w:widowControl w:val="0"/>
      <w:suppressAutoHyphens/>
      <w:spacing w:after="240"/>
      <w:jc w:val="center"/>
    </w:pPr>
    <w:rPr>
      <w:rFonts w:eastAsiaTheme="minorHAnsi" w:cstheme="minorBidi"/>
      <w:szCs w:val="22"/>
    </w:rPr>
  </w:style>
  <w:style w:type="paragraph" w:customStyle="1" w:styleId="00Double">
    <w:name w:val="00 Double"/>
    <w:basedOn w:val="Normal"/>
    <w:qFormat/>
    <w:rsid w:val="00A6084C"/>
    <w:pPr>
      <w:spacing w:line="480" w:lineRule="auto"/>
    </w:pPr>
    <w:rPr>
      <w:szCs w:val="20"/>
    </w:rPr>
  </w:style>
  <w:style w:type="paragraph" w:customStyle="1" w:styleId="00HangingIndent">
    <w:name w:val="00 Hanging Indent"/>
    <w:basedOn w:val="Normal"/>
    <w:qFormat/>
    <w:rsid w:val="00A6084C"/>
    <w:pPr>
      <w:ind w:left="2880" w:hanging="2160"/>
    </w:pPr>
    <w:rPr>
      <w:szCs w:val="20"/>
    </w:rPr>
  </w:style>
  <w:style w:type="paragraph" w:customStyle="1" w:styleId="00JBodyText1">
    <w:name w:val="00 J Body Text 1"/>
    <w:basedOn w:val="Normal"/>
    <w:qFormat/>
    <w:rsid w:val="00A6084C"/>
    <w:pPr>
      <w:ind w:firstLine="1440"/>
      <w:jc w:val="both"/>
    </w:pPr>
    <w:rPr>
      <w:szCs w:val="20"/>
    </w:rPr>
  </w:style>
  <w:style w:type="paragraph" w:customStyle="1" w:styleId="00LeftIndent5">
    <w:name w:val="00 Left Indent .5"/>
    <w:basedOn w:val="Normal"/>
    <w:qFormat/>
    <w:rsid w:val="00A6084C"/>
    <w:pPr>
      <w:spacing w:after="240"/>
      <w:ind w:left="720"/>
    </w:pPr>
    <w:rPr>
      <w:szCs w:val="20"/>
    </w:rPr>
  </w:style>
  <w:style w:type="paragraph" w:customStyle="1" w:styleId="00LeftIndent10">
    <w:name w:val="00 Left Indent 1.0"/>
    <w:basedOn w:val="Normal"/>
    <w:qFormat/>
    <w:rsid w:val="00A6084C"/>
    <w:pPr>
      <w:ind w:left="1440"/>
    </w:pPr>
    <w:rPr>
      <w:szCs w:val="20"/>
    </w:rPr>
  </w:style>
  <w:style w:type="paragraph" w:customStyle="1" w:styleId="00LeftIndent15">
    <w:name w:val="00 Left Indent 1.5"/>
    <w:basedOn w:val="Normal"/>
    <w:qFormat/>
    <w:rsid w:val="00A6084C"/>
    <w:pPr>
      <w:ind w:left="2160"/>
    </w:pPr>
    <w:rPr>
      <w:szCs w:val="20"/>
    </w:rPr>
  </w:style>
  <w:style w:type="paragraph" w:customStyle="1" w:styleId="00Normal">
    <w:name w:val="00 Normal"/>
    <w:basedOn w:val="Normal"/>
    <w:autoRedefine/>
    <w:qFormat/>
    <w:rsid w:val="00084482"/>
    <w:pPr>
      <w:spacing w:after="240"/>
      <w:jc w:val="both"/>
    </w:pPr>
    <w:rPr>
      <w:szCs w:val="20"/>
    </w:rPr>
  </w:style>
  <w:style w:type="paragraph" w:customStyle="1" w:styleId="00NumberList">
    <w:name w:val="00 Number List"/>
    <w:basedOn w:val="Normal"/>
    <w:qFormat/>
    <w:rsid w:val="00A6084C"/>
    <w:pPr>
      <w:numPr>
        <w:numId w:val="2"/>
      </w:numPr>
      <w:spacing w:after="240"/>
      <w:jc w:val="both"/>
    </w:pPr>
    <w:rPr>
      <w:rFonts w:eastAsiaTheme="minorHAnsi" w:cstheme="minorBidi"/>
      <w:szCs w:val="20"/>
    </w:rPr>
  </w:style>
  <w:style w:type="paragraph" w:customStyle="1" w:styleId="00PlainText">
    <w:name w:val="00 Plain Text"/>
    <w:basedOn w:val="Normal"/>
    <w:qFormat/>
    <w:rsid w:val="00A6084C"/>
    <w:rPr>
      <w:szCs w:val="20"/>
    </w:rPr>
  </w:style>
  <w:style w:type="paragraph" w:customStyle="1" w:styleId="00TitleC">
    <w:name w:val="00 Title C"/>
    <w:basedOn w:val="Normal"/>
    <w:qFormat/>
    <w:rsid w:val="00A6084C"/>
    <w:pPr>
      <w:keepNext/>
      <w:spacing w:after="240"/>
      <w:jc w:val="center"/>
    </w:pPr>
    <w:rPr>
      <w:b/>
      <w:szCs w:val="20"/>
    </w:rPr>
  </w:style>
  <w:style w:type="paragraph" w:customStyle="1" w:styleId="00TitleL">
    <w:name w:val="00 Title L"/>
    <w:basedOn w:val="Normal"/>
    <w:qFormat/>
    <w:rsid w:val="00A6084C"/>
    <w:pPr>
      <w:keepNext/>
      <w:spacing w:after="240"/>
    </w:pPr>
    <w:rPr>
      <w:b/>
      <w:szCs w:val="20"/>
    </w:rPr>
  </w:style>
  <w:style w:type="paragraph" w:customStyle="1" w:styleId="00TitleLU">
    <w:name w:val="00 Title LU"/>
    <w:basedOn w:val="00Normal"/>
    <w:link w:val="00TitleLUChar"/>
    <w:qFormat/>
    <w:rsid w:val="00A6084C"/>
    <w:rPr>
      <w:u w:val="single"/>
    </w:rPr>
  </w:style>
  <w:style w:type="character" w:customStyle="1" w:styleId="00TitleLUChar">
    <w:name w:val="00 Title LU Char"/>
    <w:basedOn w:val="DefaultParagraphFont"/>
    <w:link w:val="00TitleLU"/>
    <w:rsid w:val="00A6084C"/>
    <w:rPr>
      <w:rFonts w:ascii="Times New Roman" w:eastAsia="Times New Roman" w:hAnsi="Times New Roman" w:cs="Times New Roman"/>
      <w:sz w:val="24"/>
      <w:szCs w:val="20"/>
      <w:u w:val="single"/>
    </w:rPr>
  </w:style>
  <w:style w:type="paragraph" w:customStyle="1" w:styleId="05BodyText12pt">
    <w:name w:val="05 Body Text 12 pt"/>
    <w:basedOn w:val="Normal"/>
    <w:link w:val="05BodyText12ptChar"/>
    <w:qFormat/>
    <w:rsid w:val="00A6084C"/>
    <w:pPr>
      <w:jc w:val="both"/>
    </w:pPr>
    <w:rPr>
      <w:szCs w:val="20"/>
    </w:rPr>
  </w:style>
  <w:style w:type="character" w:customStyle="1" w:styleId="05BodyText12ptChar">
    <w:name w:val="05 Body Text 12 pt Char"/>
    <w:basedOn w:val="DefaultParagraphFont"/>
    <w:link w:val="05BodyText12pt"/>
    <w:rsid w:val="00A6084C"/>
    <w:rPr>
      <w:rFonts w:ascii="Times New Roman" w:eastAsia="Times New Roman" w:hAnsi="Times New Roman" w:cs="Times New Roman"/>
      <w:sz w:val="24"/>
      <w:szCs w:val="20"/>
    </w:rPr>
  </w:style>
  <w:style w:type="paragraph" w:customStyle="1" w:styleId="Article2L2">
    <w:name w:val="Article2_L2"/>
    <w:basedOn w:val="Normal"/>
    <w:next w:val="BodyText"/>
    <w:link w:val="Article2L2Char"/>
    <w:rsid w:val="00A6084C"/>
    <w:pPr>
      <w:numPr>
        <w:ilvl w:val="1"/>
        <w:numId w:val="3"/>
      </w:numPr>
      <w:tabs>
        <w:tab w:val="num" w:pos="2340"/>
      </w:tabs>
      <w:spacing w:after="240"/>
      <w:jc w:val="both"/>
      <w:outlineLvl w:val="1"/>
    </w:pPr>
  </w:style>
  <w:style w:type="character" w:customStyle="1" w:styleId="Article2L2Char">
    <w:name w:val="Article2_L2 Char"/>
    <w:basedOn w:val="BodyTextChar"/>
    <w:link w:val="Article2L2"/>
    <w:rsid w:val="00A6084C"/>
    <w:rPr>
      <w:rFonts w:ascii="Times New Roman" w:eastAsia="Times New Roman" w:hAnsi="Times New Roman" w:cs="Times New Roman"/>
      <w:sz w:val="24"/>
      <w:szCs w:val="20"/>
    </w:rPr>
  </w:style>
  <w:style w:type="paragraph" w:styleId="BodyText">
    <w:name w:val="Body Text"/>
    <w:basedOn w:val="Normal"/>
    <w:link w:val="BodyTextChar"/>
    <w:uiPriority w:val="99"/>
    <w:semiHidden/>
    <w:unhideWhenUsed/>
    <w:rsid w:val="00A6084C"/>
    <w:pPr>
      <w:spacing w:after="120"/>
    </w:pPr>
    <w:rPr>
      <w:szCs w:val="20"/>
    </w:rPr>
  </w:style>
  <w:style w:type="character" w:customStyle="1" w:styleId="BodyTextChar">
    <w:name w:val="Body Text Char"/>
    <w:basedOn w:val="DefaultParagraphFont"/>
    <w:link w:val="BodyText"/>
    <w:uiPriority w:val="99"/>
    <w:semiHidden/>
    <w:rsid w:val="00A6084C"/>
    <w:rPr>
      <w:rFonts w:ascii="Times New Roman" w:eastAsia="Times New Roman" w:hAnsi="Times New Roman" w:cs="Times New Roman"/>
      <w:sz w:val="24"/>
      <w:szCs w:val="20"/>
    </w:rPr>
  </w:style>
  <w:style w:type="paragraph" w:customStyle="1" w:styleId="Exhibit">
    <w:name w:val="Exhibit"/>
    <w:basedOn w:val="00TitleC"/>
    <w:link w:val="ExhibitChar"/>
    <w:qFormat/>
    <w:rsid w:val="00A6084C"/>
    <w:pPr>
      <w:outlineLvl w:val="0"/>
    </w:pPr>
    <w:rPr>
      <w:b w:val="0"/>
      <w:u w:val="single"/>
    </w:rPr>
  </w:style>
  <w:style w:type="character" w:customStyle="1" w:styleId="ExhibitChar">
    <w:name w:val="Exhibit Char"/>
    <w:basedOn w:val="DefaultParagraphFont"/>
    <w:link w:val="Exhibit"/>
    <w:rsid w:val="00A6084C"/>
    <w:rPr>
      <w:rFonts w:ascii="Times New Roman" w:eastAsia="Times New Roman" w:hAnsi="Times New Roman" w:cs="Times New Roman"/>
      <w:sz w:val="24"/>
      <w:szCs w:val="20"/>
      <w:u w:val="single"/>
    </w:rPr>
  </w:style>
  <w:style w:type="paragraph" w:styleId="Footer">
    <w:name w:val="footer"/>
    <w:basedOn w:val="Normal"/>
    <w:link w:val="FooterChar"/>
    <w:uiPriority w:val="99"/>
    <w:unhideWhenUsed/>
    <w:rsid w:val="00A6084C"/>
    <w:pPr>
      <w:tabs>
        <w:tab w:val="center" w:pos="4680"/>
        <w:tab w:val="right" w:pos="9360"/>
      </w:tabs>
    </w:pPr>
    <w:rPr>
      <w:szCs w:val="20"/>
    </w:rPr>
  </w:style>
  <w:style w:type="character" w:customStyle="1" w:styleId="FooterChar">
    <w:name w:val="Footer Char"/>
    <w:basedOn w:val="DefaultParagraphFont"/>
    <w:link w:val="Footer"/>
    <w:uiPriority w:val="99"/>
    <w:rsid w:val="00A6084C"/>
    <w:rPr>
      <w:rFonts w:ascii="Times New Roman" w:eastAsia="Times New Roman" w:hAnsi="Times New Roman" w:cs="Times New Roman"/>
      <w:sz w:val="24"/>
      <w:szCs w:val="20"/>
    </w:rPr>
  </w:style>
  <w:style w:type="character" w:customStyle="1" w:styleId="Heading2Char">
    <w:name w:val="Heading 2 Char"/>
    <w:basedOn w:val="DefaultParagraphFont"/>
    <w:link w:val="Heading2"/>
    <w:rsid w:val="00A6084C"/>
    <w:rPr>
      <w:rFonts w:ascii="Times New Roman" w:eastAsiaTheme="majorEastAsia" w:hAnsi="Times New Roman" w:cs="Times New Roman"/>
      <w:bCs/>
      <w:color w:val="000000"/>
      <w:sz w:val="24"/>
      <w:szCs w:val="26"/>
    </w:rPr>
  </w:style>
  <w:style w:type="paragraph" w:customStyle="1" w:styleId="Hdng2Alt">
    <w:name w:val="Hdng 2Alt"/>
    <w:basedOn w:val="Heading2"/>
    <w:next w:val="00LeftIndent5"/>
    <w:link w:val="Hdng2AltChar"/>
    <w:qFormat/>
    <w:rsid w:val="00A6084C"/>
    <w:pPr>
      <w:numPr>
        <w:ilvl w:val="0"/>
        <w:numId w:val="0"/>
      </w:numPr>
    </w:pPr>
  </w:style>
  <w:style w:type="character" w:customStyle="1" w:styleId="Hdng2AltChar">
    <w:name w:val="Hdng 2Alt Char"/>
    <w:basedOn w:val="Heading2Char"/>
    <w:link w:val="Hdng2Alt"/>
    <w:rsid w:val="00A6084C"/>
    <w:rPr>
      <w:rFonts w:ascii="Times New Roman" w:eastAsiaTheme="majorEastAsia" w:hAnsi="Times New Roman" w:cs="Times New Roman"/>
      <w:bCs/>
      <w:color w:val="000000"/>
      <w:sz w:val="24"/>
      <w:szCs w:val="26"/>
    </w:rPr>
  </w:style>
  <w:style w:type="paragraph" w:styleId="Header">
    <w:name w:val="header"/>
    <w:basedOn w:val="Normal"/>
    <w:link w:val="HeaderChar"/>
    <w:uiPriority w:val="99"/>
    <w:unhideWhenUsed/>
    <w:rsid w:val="00A6084C"/>
    <w:pPr>
      <w:tabs>
        <w:tab w:val="center" w:pos="4680"/>
        <w:tab w:val="right" w:pos="9360"/>
      </w:tabs>
    </w:pPr>
    <w:rPr>
      <w:szCs w:val="20"/>
    </w:rPr>
  </w:style>
  <w:style w:type="character" w:customStyle="1" w:styleId="HeaderChar">
    <w:name w:val="Header Char"/>
    <w:basedOn w:val="DefaultParagraphFont"/>
    <w:link w:val="Header"/>
    <w:uiPriority w:val="99"/>
    <w:rsid w:val="00A6084C"/>
    <w:rPr>
      <w:rFonts w:ascii="Times New Roman" w:eastAsia="Times New Roman" w:hAnsi="Times New Roman" w:cs="Times New Roman"/>
      <w:sz w:val="24"/>
      <w:szCs w:val="20"/>
    </w:rPr>
  </w:style>
  <w:style w:type="character" w:customStyle="1" w:styleId="Heading1Char">
    <w:name w:val="Heading 1 Char"/>
    <w:basedOn w:val="DefaultParagraphFont"/>
    <w:link w:val="Heading1"/>
    <w:rsid w:val="00A6084C"/>
    <w:rPr>
      <w:rFonts w:ascii="Times New Roman" w:hAnsi="Times New Roman"/>
      <w:sz w:val="24"/>
    </w:rPr>
  </w:style>
  <w:style w:type="character" w:customStyle="1" w:styleId="Heading3Char">
    <w:name w:val="Heading 3 Char"/>
    <w:basedOn w:val="DefaultParagraphFont"/>
    <w:link w:val="Heading3"/>
    <w:rsid w:val="00A6084C"/>
    <w:rPr>
      <w:rFonts w:ascii="Times New Roman" w:eastAsiaTheme="majorEastAsia" w:hAnsi="Times New Roman" w:cs="Times New Roman"/>
      <w:bCs/>
      <w:color w:val="000000"/>
      <w:sz w:val="24"/>
      <w:szCs w:val="20"/>
    </w:rPr>
  </w:style>
  <w:style w:type="character" w:customStyle="1" w:styleId="Heading4Char">
    <w:name w:val="Heading 4 Char"/>
    <w:basedOn w:val="DefaultParagraphFont"/>
    <w:link w:val="Heading4"/>
    <w:rsid w:val="00A6084C"/>
    <w:rPr>
      <w:rFonts w:ascii="Times New Roman" w:eastAsiaTheme="majorEastAsia" w:hAnsi="Times New Roman" w:cs="Times New Roman"/>
      <w:bCs/>
      <w:iCs/>
      <w:color w:val="000000"/>
      <w:sz w:val="24"/>
      <w:szCs w:val="20"/>
    </w:rPr>
  </w:style>
  <w:style w:type="character" w:customStyle="1" w:styleId="Heading5Char">
    <w:name w:val="Heading 5 Char"/>
    <w:basedOn w:val="DefaultParagraphFont"/>
    <w:link w:val="Heading5"/>
    <w:semiHidden/>
    <w:rsid w:val="00A6084C"/>
    <w:rPr>
      <w:rFonts w:ascii="Times New Roman" w:eastAsiaTheme="majorEastAsia" w:hAnsi="Times New Roman" w:cs="Times New Roman"/>
      <w:color w:val="000000"/>
      <w:sz w:val="24"/>
      <w:szCs w:val="20"/>
    </w:rPr>
  </w:style>
  <w:style w:type="character" w:customStyle="1" w:styleId="Heading6Char">
    <w:name w:val="Heading 6 Char"/>
    <w:basedOn w:val="DefaultParagraphFont"/>
    <w:link w:val="Heading6"/>
    <w:semiHidden/>
    <w:rsid w:val="00A6084C"/>
    <w:rPr>
      <w:rFonts w:ascii="Times New Roman" w:eastAsiaTheme="majorEastAsia" w:hAnsi="Times New Roman" w:cs="Times New Roman"/>
      <w:iCs/>
      <w:color w:val="000000"/>
      <w:sz w:val="24"/>
      <w:szCs w:val="20"/>
    </w:rPr>
  </w:style>
  <w:style w:type="character" w:customStyle="1" w:styleId="Heading7Char">
    <w:name w:val="Heading 7 Char"/>
    <w:basedOn w:val="DefaultParagraphFont"/>
    <w:link w:val="Heading7"/>
    <w:semiHidden/>
    <w:rsid w:val="00A6084C"/>
    <w:rPr>
      <w:rFonts w:ascii="Times New Roman" w:eastAsiaTheme="majorEastAsia" w:hAnsi="Times New Roman" w:cs="Times New Roman"/>
      <w:iCs/>
      <w:color w:val="000000"/>
      <w:sz w:val="24"/>
      <w:szCs w:val="20"/>
    </w:rPr>
  </w:style>
  <w:style w:type="character" w:customStyle="1" w:styleId="Heading8Char">
    <w:name w:val="Heading 8 Char"/>
    <w:basedOn w:val="DefaultParagraphFont"/>
    <w:link w:val="Heading8"/>
    <w:semiHidden/>
    <w:rsid w:val="00A6084C"/>
    <w:rPr>
      <w:rFonts w:ascii="Times New Roman" w:eastAsiaTheme="majorEastAsia" w:hAnsi="Times New Roman" w:cs="Times New Roman"/>
      <w:color w:val="000000"/>
      <w:sz w:val="24"/>
      <w:szCs w:val="20"/>
    </w:rPr>
  </w:style>
  <w:style w:type="character" w:customStyle="1" w:styleId="Heading9Char">
    <w:name w:val="Heading 9 Char"/>
    <w:basedOn w:val="DefaultParagraphFont"/>
    <w:link w:val="Heading9"/>
    <w:semiHidden/>
    <w:rsid w:val="00A6084C"/>
    <w:rPr>
      <w:rFonts w:ascii="Times New Roman" w:eastAsiaTheme="majorEastAsia" w:hAnsi="Times New Roman" w:cs="Times New Roman"/>
      <w:iCs/>
      <w:color w:val="000000"/>
      <w:sz w:val="24"/>
      <w:szCs w:val="20"/>
    </w:rPr>
  </w:style>
  <w:style w:type="paragraph" w:customStyle="1" w:styleId="Level1">
    <w:name w:val="Level 1"/>
    <w:basedOn w:val="00TitleC"/>
    <w:link w:val="Level1Char"/>
    <w:rsid w:val="00A6084C"/>
    <w:pPr>
      <w:outlineLvl w:val="0"/>
    </w:pPr>
  </w:style>
  <w:style w:type="character" w:customStyle="1" w:styleId="Level1Char">
    <w:name w:val="Level 1 Char"/>
    <w:basedOn w:val="DefaultParagraphFont"/>
    <w:link w:val="Level1"/>
    <w:rsid w:val="00A6084C"/>
    <w:rPr>
      <w:rFonts w:ascii="Times New Roman" w:eastAsia="Times New Roman" w:hAnsi="Times New Roman" w:cs="Times New Roman"/>
      <w:b/>
      <w:sz w:val="24"/>
      <w:szCs w:val="20"/>
    </w:rPr>
  </w:style>
  <w:style w:type="paragraph" w:customStyle="1" w:styleId="Level2">
    <w:name w:val="Level 2"/>
    <w:basedOn w:val="Normal"/>
    <w:link w:val="Level2Char"/>
    <w:rsid w:val="00A6084C"/>
    <w:pPr>
      <w:keepNext/>
      <w:spacing w:after="240"/>
      <w:jc w:val="both"/>
      <w:outlineLvl w:val="1"/>
    </w:pPr>
    <w:rPr>
      <w:b/>
      <w:bCs/>
    </w:rPr>
  </w:style>
  <w:style w:type="character" w:customStyle="1" w:styleId="Level2Char">
    <w:name w:val="Level 2 Char"/>
    <w:basedOn w:val="DefaultParagraphFont"/>
    <w:link w:val="Level2"/>
    <w:rsid w:val="00A6084C"/>
    <w:rPr>
      <w:rFonts w:ascii="Times New Roman" w:eastAsia="Times New Roman" w:hAnsi="Times New Roman" w:cs="Times New Roman"/>
      <w:b/>
      <w:bCs/>
      <w:sz w:val="24"/>
      <w:szCs w:val="20"/>
    </w:rPr>
  </w:style>
  <w:style w:type="paragraph" w:styleId="ListParagraph">
    <w:name w:val="List Paragraph"/>
    <w:basedOn w:val="Heading1"/>
    <w:next w:val="Heading2"/>
    <w:uiPriority w:val="34"/>
    <w:qFormat/>
    <w:rsid w:val="00A6084C"/>
    <w:pPr>
      <w:numPr>
        <w:numId w:val="13"/>
      </w:numPr>
      <w:contextualSpacing/>
    </w:pPr>
  </w:style>
  <w:style w:type="paragraph" w:styleId="NoSpacing">
    <w:name w:val="No Spacing"/>
    <w:uiPriority w:val="1"/>
    <w:qFormat/>
    <w:rsid w:val="00A6084C"/>
    <w:pPr>
      <w:spacing w:after="0" w:line="240" w:lineRule="auto"/>
    </w:pPr>
    <w:rPr>
      <w:rFonts w:ascii="Times New Roman" w:hAnsi="Times New Roman" w:cs="Times New Roman"/>
      <w:sz w:val="20"/>
      <w:szCs w:val="20"/>
    </w:rPr>
  </w:style>
  <w:style w:type="table" w:customStyle="1" w:styleId="Style1">
    <w:name w:val="Style1"/>
    <w:basedOn w:val="TableNormal"/>
    <w:uiPriority w:val="99"/>
    <w:rsid w:val="00A6084C"/>
    <w:pPr>
      <w:spacing w:after="0" w:line="240" w:lineRule="auto"/>
    </w:pPr>
    <w:rPr>
      <w:rFonts w:ascii="Times New Roman" w:hAnsi="Times New Roman" w:cs="Times New Roman"/>
      <w:sz w:val="20"/>
      <w:szCs w:val="20"/>
    </w:rPr>
    <w:tblPr>
      <w:jc w:val="center"/>
      <w:tblCellMar>
        <w:left w:w="29" w:type="dxa"/>
        <w:right w:w="29" w:type="dxa"/>
      </w:tblCellMar>
    </w:tblPr>
    <w:trPr>
      <w:cantSplit/>
      <w:jc w:val="center"/>
    </w:trPr>
    <w:tcPr>
      <w:vAlign w:val="bottom"/>
    </w:tcPr>
  </w:style>
  <w:style w:type="numbering" w:customStyle="1" w:styleId="Style2">
    <w:name w:val="Style2"/>
    <w:uiPriority w:val="99"/>
    <w:rsid w:val="00A6084C"/>
    <w:pPr>
      <w:numPr>
        <w:numId w:val="14"/>
      </w:numPr>
    </w:pPr>
  </w:style>
  <w:style w:type="table" w:customStyle="1" w:styleId="TableOS">
    <w:name w:val="Table OS"/>
    <w:basedOn w:val="TableNormal"/>
    <w:uiPriority w:val="99"/>
    <w:rsid w:val="00A6084C"/>
    <w:pPr>
      <w:spacing w:after="0" w:line="240" w:lineRule="auto"/>
    </w:pPr>
    <w:rPr>
      <w:rFonts w:ascii="Times New Roman" w:hAnsi="Times New Roman" w:cs="Times New Roman"/>
      <w:color w:val="000000" w:themeColor="text1"/>
      <w:sz w:val="20"/>
      <w:szCs w:val="20"/>
    </w:rPr>
    <w:tblPr>
      <w:tblCellMar>
        <w:left w:w="115" w:type="dxa"/>
        <w:right w:w="115" w:type="dxa"/>
      </w:tblCellMar>
    </w:tblPr>
    <w:tcPr>
      <w:vAlign w:val="bottom"/>
    </w:tcPr>
  </w:style>
  <w:style w:type="paragraph" w:styleId="TOAHeading">
    <w:name w:val="toa heading"/>
    <w:basedOn w:val="Normal"/>
    <w:next w:val="Normal"/>
    <w:uiPriority w:val="99"/>
    <w:semiHidden/>
    <w:unhideWhenUsed/>
    <w:rsid w:val="00A6084C"/>
    <w:pPr>
      <w:spacing w:before="120"/>
    </w:pPr>
    <w:rPr>
      <w:rFonts w:eastAsiaTheme="majorEastAsia" w:cstheme="majorBidi"/>
      <w:b/>
      <w:bCs/>
      <w:szCs w:val="20"/>
    </w:rPr>
  </w:style>
  <w:style w:type="paragraph" w:styleId="TOC1">
    <w:name w:val="toc 1"/>
    <w:basedOn w:val="Normal"/>
    <w:next w:val="Normal"/>
    <w:uiPriority w:val="39"/>
    <w:unhideWhenUsed/>
    <w:qFormat/>
    <w:rsid w:val="00A6084C"/>
    <w:pPr>
      <w:keepNext/>
      <w:widowControl w:val="0"/>
      <w:tabs>
        <w:tab w:val="right" w:leader="dot" w:pos="8640"/>
      </w:tabs>
      <w:suppressAutoHyphens/>
      <w:spacing w:before="240" w:after="240"/>
      <w:ind w:left="720" w:right="720" w:hanging="720"/>
    </w:pPr>
    <w:rPr>
      <w:rFonts w:eastAsiaTheme="minorHAnsi" w:cstheme="minorBidi"/>
      <w:szCs w:val="22"/>
    </w:rPr>
  </w:style>
  <w:style w:type="paragraph" w:styleId="TOC2">
    <w:name w:val="toc 2"/>
    <w:basedOn w:val="Normal"/>
    <w:next w:val="Normal"/>
    <w:autoRedefine/>
    <w:uiPriority w:val="39"/>
    <w:unhideWhenUsed/>
    <w:qFormat/>
    <w:rsid w:val="00A6084C"/>
    <w:pPr>
      <w:widowControl w:val="0"/>
      <w:tabs>
        <w:tab w:val="left" w:pos="2160"/>
        <w:tab w:val="right" w:leader="dot" w:pos="8640"/>
      </w:tabs>
      <w:ind w:left="2880" w:right="720" w:hanging="2160"/>
    </w:pPr>
    <w:rPr>
      <w:rFonts w:eastAsiaTheme="minorHAnsi" w:cstheme="minorBidi"/>
      <w:szCs w:val="22"/>
    </w:rPr>
  </w:style>
  <w:style w:type="paragraph" w:styleId="TOC3">
    <w:name w:val="toc 3"/>
    <w:basedOn w:val="Normal"/>
    <w:next w:val="Normal"/>
    <w:autoRedefine/>
    <w:uiPriority w:val="39"/>
    <w:semiHidden/>
    <w:unhideWhenUsed/>
    <w:rsid w:val="00A6084C"/>
    <w:pPr>
      <w:tabs>
        <w:tab w:val="right" w:leader="dot" w:pos="9346"/>
      </w:tabs>
      <w:ind w:left="2160" w:right="720" w:hanging="720"/>
    </w:pPr>
    <w:rPr>
      <w:szCs w:val="20"/>
    </w:rPr>
  </w:style>
  <w:style w:type="paragraph" w:styleId="TOC4">
    <w:name w:val="toc 4"/>
    <w:basedOn w:val="Normal"/>
    <w:next w:val="Normal"/>
    <w:autoRedefine/>
    <w:uiPriority w:val="39"/>
    <w:semiHidden/>
    <w:unhideWhenUsed/>
    <w:rsid w:val="00A6084C"/>
    <w:pPr>
      <w:tabs>
        <w:tab w:val="right" w:leader="dot" w:pos="9346"/>
      </w:tabs>
      <w:ind w:left="2880" w:right="720" w:hanging="720"/>
    </w:pPr>
    <w:rPr>
      <w:szCs w:val="20"/>
    </w:rPr>
  </w:style>
  <w:style w:type="paragraph" w:styleId="TOC5">
    <w:name w:val="toc 5"/>
    <w:basedOn w:val="Normal"/>
    <w:next w:val="Normal"/>
    <w:autoRedefine/>
    <w:uiPriority w:val="39"/>
    <w:semiHidden/>
    <w:unhideWhenUsed/>
    <w:rsid w:val="00A6084C"/>
    <w:pPr>
      <w:tabs>
        <w:tab w:val="right" w:leader="dot" w:pos="9346"/>
      </w:tabs>
      <w:ind w:left="3600" w:right="720" w:hanging="720"/>
    </w:pPr>
    <w:rPr>
      <w:szCs w:val="20"/>
    </w:rPr>
  </w:style>
  <w:style w:type="paragraph" w:styleId="TOC6">
    <w:name w:val="toc 6"/>
    <w:basedOn w:val="Normal"/>
    <w:next w:val="Normal"/>
    <w:autoRedefine/>
    <w:uiPriority w:val="39"/>
    <w:semiHidden/>
    <w:unhideWhenUsed/>
    <w:rsid w:val="00A6084C"/>
    <w:pPr>
      <w:tabs>
        <w:tab w:val="right" w:leader="dot" w:pos="9346"/>
      </w:tabs>
      <w:ind w:left="4320" w:right="720" w:hanging="720"/>
    </w:pPr>
    <w:rPr>
      <w:szCs w:val="20"/>
    </w:rPr>
  </w:style>
  <w:style w:type="paragraph" w:styleId="TOC7">
    <w:name w:val="toc 7"/>
    <w:basedOn w:val="Normal"/>
    <w:next w:val="Normal"/>
    <w:autoRedefine/>
    <w:uiPriority w:val="39"/>
    <w:semiHidden/>
    <w:unhideWhenUsed/>
    <w:rsid w:val="00A6084C"/>
    <w:pPr>
      <w:tabs>
        <w:tab w:val="right" w:leader="dot" w:pos="9346"/>
      </w:tabs>
      <w:ind w:left="5040" w:right="720" w:hanging="720"/>
    </w:pPr>
    <w:rPr>
      <w:szCs w:val="20"/>
    </w:rPr>
  </w:style>
  <w:style w:type="paragraph" w:styleId="TOC8">
    <w:name w:val="toc 8"/>
    <w:basedOn w:val="Normal"/>
    <w:next w:val="Normal"/>
    <w:autoRedefine/>
    <w:uiPriority w:val="39"/>
    <w:semiHidden/>
    <w:unhideWhenUsed/>
    <w:rsid w:val="00A6084C"/>
    <w:pPr>
      <w:tabs>
        <w:tab w:val="right" w:leader="dot" w:pos="9346"/>
      </w:tabs>
      <w:ind w:left="5760" w:right="720" w:hanging="720"/>
    </w:pPr>
    <w:rPr>
      <w:szCs w:val="20"/>
    </w:rPr>
  </w:style>
  <w:style w:type="paragraph" w:styleId="TOC9">
    <w:name w:val="toc 9"/>
    <w:basedOn w:val="Normal"/>
    <w:next w:val="Normal"/>
    <w:autoRedefine/>
    <w:uiPriority w:val="39"/>
    <w:semiHidden/>
    <w:unhideWhenUsed/>
    <w:rsid w:val="00A6084C"/>
    <w:pPr>
      <w:tabs>
        <w:tab w:val="right" w:leader="dot" w:pos="9346"/>
      </w:tabs>
      <w:ind w:left="6480" w:right="720" w:hanging="720"/>
    </w:pPr>
    <w:rPr>
      <w:szCs w:val="20"/>
    </w:rPr>
  </w:style>
  <w:style w:type="paragraph" w:styleId="TOCHeading">
    <w:name w:val="TOC Heading"/>
    <w:basedOn w:val="Normal"/>
    <w:next w:val="Normal"/>
    <w:uiPriority w:val="39"/>
    <w:semiHidden/>
    <w:qFormat/>
    <w:rsid w:val="00A6084C"/>
    <w:pPr>
      <w:keepNext/>
      <w:jc w:val="center"/>
    </w:pPr>
    <w:rPr>
      <w:rFonts w:cstheme="majorBidi"/>
      <w:b/>
      <w:szCs w:val="20"/>
    </w:rPr>
  </w:style>
  <w:style w:type="paragraph" w:customStyle="1" w:styleId="TOCPage">
    <w:name w:val="TOC Page"/>
    <w:basedOn w:val="Normal"/>
    <w:semiHidden/>
    <w:qFormat/>
    <w:rsid w:val="00A6084C"/>
    <w:pPr>
      <w:jc w:val="right"/>
    </w:pPr>
    <w:rPr>
      <w:b/>
    </w:rPr>
  </w:style>
  <w:style w:type="paragraph" w:customStyle="1" w:styleId="BodyText5">
    <w:name w:val="* Body Text .5"/>
    <w:basedOn w:val="Normal"/>
    <w:link w:val="BodyText5Char"/>
    <w:autoRedefine/>
    <w:rsid w:val="0086166A"/>
    <w:pPr>
      <w:spacing w:after="240"/>
      <w:ind w:firstLine="720"/>
      <w:jc w:val="both"/>
    </w:pPr>
  </w:style>
  <w:style w:type="character" w:styleId="Hyperlink">
    <w:name w:val="Hyperlink"/>
    <w:rsid w:val="0086166A"/>
    <w:rPr>
      <w:color w:val="0000FF"/>
      <w:u w:val="single"/>
    </w:rPr>
  </w:style>
  <w:style w:type="character" w:customStyle="1" w:styleId="BodyText5Char">
    <w:name w:val="* Body Text .5 Char"/>
    <w:link w:val="BodyText5"/>
    <w:rsid w:val="0086166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reporting.auditor.utah.gov/searchreports/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802</Words>
  <Characters>4572</Characters>
  <Application>Microsoft Office Word</Application>
  <DocSecurity>0</DocSecurity>
  <Lines>38</Lines>
  <Paragraphs>10</Paragraphs>
  <ScaleCrop>false</ScaleCrop>
  <Company/>
  <LinksUpToDate>false</LinksUpToDate>
  <CharactersWithSpaces>5364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Matus, Franciska (G&amp;B)</dc:creator>
  <cp:keywords/>
  <dc:description/>
  <cp:lastModifiedBy>Matus, Franciska (G&amp;B)</cp:lastModifiedBy>
  <cp:revision>1</cp:revision>
  <dcterms:created xsi:type="dcterms:W3CDTF">2023-09-13T14:15:00Z</dcterms:created>
  <dcterms:modified xsi:type="dcterms:W3CDTF">2023-09-13T14:16:00Z</dcterms:modified>
</cp:coreProperties>
</file>