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3705" w14:textId="77777777" w:rsidR="00965B8C" w:rsidRPr="00423960" w:rsidRDefault="00000000" w:rsidP="000C7605">
      <w:pPr>
        <w:pStyle w:val="BodyText"/>
        <w:rPr>
          <w:sz w:val="24"/>
          <w:szCs w:val="24"/>
        </w:rPr>
      </w:pPr>
      <w:r w:rsidRPr="00423960">
        <w:rPr>
          <w:noProof/>
          <w:sz w:val="24"/>
          <w:szCs w:val="24"/>
        </w:rPr>
        <mc:AlternateContent>
          <mc:Choice Requires="wps">
            <w:drawing>
              <wp:anchor distT="0" distB="0" distL="114300" distR="114300" simplePos="0" relativeHeight="251658240" behindDoc="0" locked="0" layoutInCell="1" allowOverlap="1" wp14:anchorId="70531801" wp14:editId="3ECCC670">
                <wp:simplePos x="0" y="0"/>
                <wp:positionH relativeFrom="page">
                  <wp:posOffset>1270</wp:posOffset>
                </wp:positionH>
                <wp:positionV relativeFrom="page">
                  <wp:posOffset>8508365</wp:posOffset>
                </wp:positionV>
                <wp:extent cx="0" cy="0"/>
                <wp:effectExtent l="10795" t="421640" r="8255" b="422275"/>
                <wp:wrapNone/>
                <wp:docPr id="28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0.1pt,669.95pt" to="0.1pt,669.95pt" strokeweight="0.24pt"/>
            </w:pict>
          </mc:Fallback>
        </mc:AlternateContent>
      </w:r>
      <w:r w:rsidRPr="00423960">
        <w:rPr>
          <w:noProof/>
          <w:sz w:val="24"/>
          <w:szCs w:val="24"/>
        </w:rPr>
        <mc:AlternateContent>
          <mc:Choice Requires="wps">
            <w:drawing>
              <wp:anchor distT="0" distB="0" distL="114300" distR="114300" simplePos="0" relativeHeight="251660288" behindDoc="0" locked="0" layoutInCell="1" allowOverlap="1" wp14:anchorId="50E59C11" wp14:editId="13A108CD">
                <wp:simplePos x="0" y="0"/>
                <wp:positionH relativeFrom="page">
                  <wp:posOffset>1270</wp:posOffset>
                </wp:positionH>
                <wp:positionV relativeFrom="page">
                  <wp:posOffset>6786880</wp:posOffset>
                </wp:positionV>
                <wp:extent cx="0" cy="0"/>
                <wp:effectExtent l="10795" t="5977255" r="8255" b="5982970"/>
                <wp:wrapNone/>
                <wp:docPr id="28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0.1pt,534.4pt" to="0.1pt,534.4pt" strokeweight="0.48pt"/>
            </w:pict>
          </mc:Fallback>
        </mc:AlternateContent>
      </w:r>
      <w:r w:rsidRPr="00423960">
        <w:rPr>
          <w:noProof/>
          <w:sz w:val="24"/>
          <w:szCs w:val="24"/>
        </w:rPr>
        <mc:AlternateContent>
          <mc:Choice Requires="wps">
            <w:drawing>
              <wp:anchor distT="0" distB="0" distL="114300" distR="114300" simplePos="0" relativeHeight="251662336" behindDoc="0" locked="0" layoutInCell="1" allowOverlap="1" wp14:anchorId="23DB6509" wp14:editId="32BFC577">
                <wp:simplePos x="0" y="0"/>
                <wp:positionH relativeFrom="page">
                  <wp:posOffset>6350</wp:posOffset>
                </wp:positionH>
                <wp:positionV relativeFrom="page">
                  <wp:posOffset>744855</wp:posOffset>
                </wp:positionV>
                <wp:extent cx="0" cy="0"/>
                <wp:effectExtent l="6350" t="535305" r="12700" b="532765"/>
                <wp:wrapNone/>
                <wp:docPr id="28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3360" from="0.5pt,58.65pt" to="0.5pt,58.65pt" strokeweight="0.72pt"/>
            </w:pict>
          </mc:Fallback>
        </mc:AlternateContent>
      </w:r>
    </w:p>
    <w:p w14:paraId="6E7499AD" w14:textId="77777777" w:rsidR="00965B8C" w:rsidRPr="00A21E03" w:rsidRDefault="00000000" w:rsidP="000C7605">
      <w:pPr>
        <w:spacing w:before="90"/>
        <w:rPr>
          <w:sz w:val="24"/>
          <w:szCs w:val="24"/>
          <w:u w:val="single"/>
        </w:rPr>
      </w:pPr>
      <w:r w:rsidRPr="00A21E03">
        <w:rPr>
          <w:color w:val="1C1C1C"/>
          <w:sz w:val="24"/>
          <w:szCs w:val="24"/>
          <w:u w:val="single"/>
        </w:rPr>
        <w:t>When Recorded Return To:</w:t>
      </w:r>
    </w:p>
    <w:p w14:paraId="0A38710B" w14:textId="77777777" w:rsidR="00965B8C" w:rsidRDefault="00000000" w:rsidP="000C7605">
      <w:pPr>
        <w:spacing w:before="1" w:line="275" w:lineRule="exact"/>
        <w:rPr>
          <w:color w:val="1C1C1C"/>
          <w:sz w:val="24"/>
          <w:szCs w:val="24"/>
        </w:rPr>
      </w:pPr>
      <w:r>
        <w:rPr>
          <w:color w:val="1C1C1C"/>
          <w:sz w:val="24"/>
          <w:szCs w:val="24"/>
        </w:rPr>
        <w:t xml:space="preserve">Dentons Durham Jones </w:t>
      </w:r>
      <w:proofErr w:type="spellStart"/>
      <w:r>
        <w:rPr>
          <w:color w:val="1C1C1C"/>
          <w:sz w:val="24"/>
          <w:szCs w:val="24"/>
        </w:rPr>
        <w:t>Pinegar</w:t>
      </w:r>
      <w:proofErr w:type="spellEnd"/>
    </w:p>
    <w:p w14:paraId="32557BC1" w14:textId="77777777" w:rsidR="00DD7781" w:rsidRDefault="00000000" w:rsidP="000C7605">
      <w:pPr>
        <w:spacing w:before="1" w:line="275" w:lineRule="exact"/>
        <w:rPr>
          <w:color w:val="1C1C1C"/>
          <w:sz w:val="24"/>
          <w:szCs w:val="24"/>
        </w:rPr>
      </w:pPr>
      <w:r>
        <w:rPr>
          <w:color w:val="1C1C1C"/>
          <w:sz w:val="24"/>
          <w:szCs w:val="24"/>
        </w:rPr>
        <w:t>Brent Bateman</w:t>
      </w:r>
    </w:p>
    <w:p w14:paraId="14795CE7" w14:textId="77777777" w:rsidR="00DD7781" w:rsidRDefault="00000000" w:rsidP="000C7605">
      <w:pPr>
        <w:spacing w:before="1" w:line="275" w:lineRule="exact"/>
        <w:rPr>
          <w:color w:val="1C1C1C"/>
          <w:sz w:val="24"/>
          <w:szCs w:val="24"/>
        </w:rPr>
      </w:pPr>
      <w:r>
        <w:rPr>
          <w:color w:val="1C1C1C"/>
          <w:sz w:val="24"/>
          <w:szCs w:val="24"/>
        </w:rPr>
        <w:t>3301 N Thanksgiving Way, Suite 400</w:t>
      </w:r>
    </w:p>
    <w:p w14:paraId="0EEDCFD4" w14:textId="77777777" w:rsidR="00965B8C" w:rsidRPr="00423960" w:rsidRDefault="00000000" w:rsidP="000C7605">
      <w:pPr>
        <w:pStyle w:val="BodyText"/>
        <w:rPr>
          <w:sz w:val="24"/>
          <w:szCs w:val="24"/>
        </w:rPr>
      </w:pPr>
      <w:r>
        <w:rPr>
          <w:color w:val="1C1C1C"/>
          <w:sz w:val="24"/>
          <w:szCs w:val="24"/>
        </w:rPr>
        <w:t>Lehi, Utah 84043</w:t>
      </w:r>
    </w:p>
    <w:p w14:paraId="544ABD8C" w14:textId="77777777" w:rsidR="00965B8C" w:rsidRPr="00423960" w:rsidRDefault="00965B8C" w:rsidP="000C7605">
      <w:pPr>
        <w:pStyle w:val="BodyText"/>
        <w:rPr>
          <w:sz w:val="24"/>
          <w:szCs w:val="24"/>
        </w:rPr>
      </w:pPr>
    </w:p>
    <w:p w14:paraId="52569347" w14:textId="77777777" w:rsidR="00965B8C" w:rsidRDefault="00000000" w:rsidP="00DD7781">
      <w:pPr>
        <w:spacing w:before="182" w:line="252" w:lineRule="auto"/>
        <w:ind w:right="640"/>
        <w:jc w:val="center"/>
        <w:rPr>
          <w:b/>
          <w:sz w:val="24"/>
          <w:szCs w:val="24"/>
        </w:rPr>
      </w:pPr>
      <w:r>
        <w:rPr>
          <w:b/>
          <w:color w:val="1C1C1C"/>
          <w:w w:val="105"/>
          <w:sz w:val="24"/>
          <w:szCs w:val="24"/>
        </w:rPr>
        <w:t xml:space="preserve">MASTER </w:t>
      </w:r>
      <w:r w:rsidR="005522CE" w:rsidRPr="00423960">
        <w:rPr>
          <w:b/>
          <w:color w:val="1C1C1C"/>
          <w:w w:val="105"/>
          <w:sz w:val="24"/>
          <w:szCs w:val="24"/>
        </w:rPr>
        <w:t>DEVELOPMENT AGREEMENT FOR</w:t>
      </w:r>
      <w:r w:rsidR="005522CE">
        <w:rPr>
          <w:b/>
          <w:sz w:val="24"/>
          <w:szCs w:val="24"/>
        </w:rPr>
        <w:t xml:space="preserve"> </w:t>
      </w:r>
    </w:p>
    <w:p w14:paraId="5E5CE874" w14:textId="77777777" w:rsidR="00DD7781" w:rsidRPr="00423960" w:rsidRDefault="00000000" w:rsidP="00DD7781">
      <w:pPr>
        <w:spacing w:before="182" w:line="252" w:lineRule="auto"/>
        <w:ind w:right="640"/>
        <w:jc w:val="center"/>
        <w:rPr>
          <w:b/>
          <w:sz w:val="24"/>
          <w:szCs w:val="24"/>
        </w:rPr>
      </w:pPr>
      <w:r>
        <w:rPr>
          <w:b/>
          <w:sz w:val="24"/>
          <w:szCs w:val="24"/>
        </w:rPr>
        <w:t>COPPER COVE</w:t>
      </w:r>
      <w:r w:rsidR="006B21B9">
        <w:rPr>
          <w:b/>
          <w:sz w:val="24"/>
          <w:szCs w:val="24"/>
        </w:rPr>
        <w:t xml:space="preserve"> </w:t>
      </w:r>
    </w:p>
    <w:p w14:paraId="2D4E85EE" w14:textId="77777777" w:rsidR="00DD7781" w:rsidRDefault="00DD7781" w:rsidP="00DD7781">
      <w:pPr>
        <w:spacing w:before="251"/>
        <w:ind w:right="105" w:firstLine="739"/>
        <w:rPr>
          <w:color w:val="1C1C1C"/>
          <w:sz w:val="24"/>
          <w:szCs w:val="24"/>
        </w:rPr>
      </w:pPr>
    </w:p>
    <w:p w14:paraId="3874C27E" w14:textId="77777777" w:rsidR="00965B8C" w:rsidRPr="00DD7781" w:rsidRDefault="00000000" w:rsidP="00DD7781">
      <w:pPr>
        <w:spacing w:before="251"/>
        <w:ind w:right="105" w:firstLine="739"/>
        <w:rPr>
          <w:color w:val="1C1C1C"/>
          <w:sz w:val="24"/>
          <w:szCs w:val="24"/>
        </w:rPr>
      </w:pPr>
      <w:r w:rsidRPr="00423960">
        <w:rPr>
          <w:color w:val="1C1C1C"/>
          <w:sz w:val="24"/>
          <w:szCs w:val="24"/>
        </w:rPr>
        <w:t xml:space="preserve">This </w:t>
      </w:r>
      <w:r w:rsidR="00DD7781" w:rsidRPr="00DD7781">
        <w:rPr>
          <w:i/>
          <w:color w:val="1C1C1C"/>
          <w:sz w:val="24"/>
          <w:szCs w:val="24"/>
        </w:rPr>
        <w:t>Master</w:t>
      </w:r>
      <w:r w:rsidR="00DD7781">
        <w:rPr>
          <w:color w:val="1C1C1C"/>
          <w:sz w:val="24"/>
          <w:szCs w:val="24"/>
        </w:rPr>
        <w:t xml:space="preserve"> </w:t>
      </w:r>
      <w:r w:rsidRPr="00423960">
        <w:rPr>
          <w:i/>
          <w:color w:val="1C1C1C"/>
          <w:sz w:val="24"/>
          <w:szCs w:val="24"/>
        </w:rPr>
        <w:t xml:space="preserve">Development Agreement for </w:t>
      </w:r>
      <w:r w:rsidR="00110EF0">
        <w:rPr>
          <w:i/>
          <w:color w:val="1C1C1C"/>
          <w:sz w:val="24"/>
          <w:szCs w:val="24"/>
        </w:rPr>
        <w:t>Copper Cove</w:t>
      </w:r>
      <w:r w:rsidRPr="00423960">
        <w:rPr>
          <w:i/>
          <w:color w:val="1C1C1C"/>
          <w:sz w:val="24"/>
          <w:szCs w:val="24"/>
        </w:rPr>
        <w:t xml:space="preserve"> </w:t>
      </w:r>
      <w:r w:rsidR="004967D7">
        <w:rPr>
          <w:color w:val="1C1C1C"/>
          <w:sz w:val="24"/>
          <w:szCs w:val="24"/>
        </w:rPr>
        <w:t>(“</w:t>
      </w:r>
      <w:r w:rsidR="004967D7" w:rsidRPr="007973EE">
        <w:rPr>
          <w:b/>
          <w:color w:val="1C1C1C"/>
          <w:sz w:val="24"/>
          <w:szCs w:val="24"/>
        </w:rPr>
        <w:t>Development Agreement</w:t>
      </w:r>
      <w:r w:rsidR="004967D7">
        <w:rPr>
          <w:color w:val="1C1C1C"/>
          <w:sz w:val="24"/>
          <w:szCs w:val="24"/>
        </w:rPr>
        <w:t>” or “</w:t>
      </w:r>
      <w:r w:rsidR="004967D7" w:rsidRPr="007973EE">
        <w:rPr>
          <w:b/>
          <w:color w:val="1C1C1C"/>
          <w:sz w:val="24"/>
          <w:szCs w:val="24"/>
        </w:rPr>
        <w:t>Agreement</w:t>
      </w:r>
      <w:r w:rsidR="004967D7">
        <w:rPr>
          <w:color w:val="1C1C1C"/>
          <w:sz w:val="24"/>
          <w:szCs w:val="24"/>
        </w:rPr>
        <w:t>”</w:t>
      </w:r>
      <w:r w:rsidRPr="00423960">
        <w:rPr>
          <w:color w:val="1C1C1C"/>
          <w:sz w:val="24"/>
          <w:szCs w:val="24"/>
        </w:rPr>
        <w:t xml:space="preserve">) is entered into </w:t>
      </w:r>
      <w:r w:rsidR="0087466B">
        <w:rPr>
          <w:color w:val="1C1C1C"/>
          <w:sz w:val="24"/>
          <w:szCs w:val="24"/>
        </w:rPr>
        <w:t>on this ____ day of _______, 2023 (“</w:t>
      </w:r>
      <w:r w:rsidR="0087466B" w:rsidRPr="007973EE">
        <w:rPr>
          <w:b/>
          <w:color w:val="1C1C1C"/>
          <w:sz w:val="24"/>
          <w:szCs w:val="24"/>
        </w:rPr>
        <w:t>Effective Date</w:t>
      </w:r>
      <w:r w:rsidR="0087466B">
        <w:rPr>
          <w:color w:val="1C1C1C"/>
          <w:sz w:val="24"/>
          <w:szCs w:val="24"/>
        </w:rPr>
        <w:t xml:space="preserve">”) </w:t>
      </w:r>
      <w:r w:rsidRPr="00423960">
        <w:rPr>
          <w:color w:val="1C1C1C"/>
          <w:sz w:val="24"/>
          <w:szCs w:val="24"/>
        </w:rPr>
        <w:t xml:space="preserve">between </w:t>
      </w:r>
      <w:r w:rsidR="00E84038">
        <w:rPr>
          <w:color w:val="1C1C1C"/>
          <w:sz w:val="24"/>
          <w:szCs w:val="24"/>
        </w:rPr>
        <w:t>City</w:t>
      </w:r>
      <w:r w:rsidR="004967D7">
        <w:rPr>
          <w:color w:val="1C1C1C"/>
          <w:sz w:val="24"/>
          <w:szCs w:val="24"/>
        </w:rPr>
        <w:t xml:space="preserve"> of </w:t>
      </w:r>
      <w:r w:rsidR="00DD7781">
        <w:rPr>
          <w:color w:val="1C1C1C"/>
          <w:sz w:val="24"/>
          <w:szCs w:val="24"/>
        </w:rPr>
        <w:t>Erda</w:t>
      </w:r>
      <w:r w:rsidRPr="00423960">
        <w:rPr>
          <w:color w:val="1C1C1C"/>
          <w:sz w:val="24"/>
          <w:szCs w:val="24"/>
        </w:rPr>
        <w:t>, a municipal corporation of the state of Utah (</w:t>
      </w:r>
      <w:r w:rsidR="004967D7">
        <w:rPr>
          <w:color w:val="1C1C1C"/>
          <w:sz w:val="24"/>
          <w:szCs w:val="24"/>
        </w:rPr>
        <w:t>“</w:t>
      </w:r>
      <w:r w:rsidR="00E84038">
        <w:rPr>
          <w:b/>
          <w:color w:val="1C1C1C"/>
          <w:sz w:val="24"/>
          <w:szCs w:val="24"/>
        </w:rPr>
        <w:t>City</w:t>
      </w:r>
      <w:r w:rsidR="004967D7">
        <w:rPr>
          <w:color w:val="1C1C1C"/>
          <w:sz w:val="24"/>
          <w:szCs w:val="24"/>
        </w:rPr>
        <w:t>”</w:t>
      </w:r>
      <w:r w:rsidRPr="00423960">
        <w:rPr>
          <w:color w:val="1C1C1C"/>
          <w:sz w:val="24"/>
          <w:szCs w:val="24"/>
        </w:rPr>
        <w:t xml:space="preserve">), </w:t>
      </w:r>
      <w:r w:rsidR="004967D7">
        <w:rPr>
          <w:color w:val="1C1C1C"/>
          <w:sz w:val="24"/>
          <w:szCs w:val="24"/>
        </w:rPr>
        <w:t xml:space="preserve">and </w:t>
      </w:r>
      <w:r w:rsidR="007811F5">
        <w:rPr>
          <w:color w:val="1C1C1C"/>
          <w:sz w:val="24"/>
          <w:szCs w:val="24"/>
        </w:rPr>
        <w:t>____________________________</w:t>
      </w:r>
      <w:r w:rsidRPr="00423960">
        <w:rPr>
          <w:color w:val="1C1C1C"/>
          <w:sz w:val="24"/>
          <w:szCs w:val="24"/>
        </w:rPr>
        <w:t>, a Utah limited liability company (</w:t>
      </w:r>
      <w:r w:rsidR="004967D7">
        <w:rPr>
          <w:color w:val="1C1C1C"/>
          <w:sz w:val="24"/>
          <w:szCs w:val="24"/>
        </w:rPr>
        <w:t>“</w:t>
      </w:r>
      <w:r w:rsidR="004967D7" w:rsidRPr="007973EE">
        <w:rPr>
          <w:b/>
          <w:color w:val="1C1C1C"/>
          <w:sz w:val="24"/>
          <w:szCs w:val="24"/>
        </w:rPr>
        <w:t>Developer</w:t>
      </w:r>
      <w:r w:rsidR="004967D7">
        <w:rPr>
          <w:color w:val="1C1C1C"/>
          <w:sz w:val="24"/>
          <w:szCs w:val="24"/>
        </w:rPr>
        <w:t xml:space="preserve">”). </w:t>
      </w:r>
      <w:r w:rsidRPr="00423960">
        <w:rPr>
          <w:color w:val="1C1C1C"/>
          <w:sz w:val="24"/>
          <w:szCs w:val="24"/>
        </w:rPr>
        <w:t xml:space="preserve">Together, the </w:t>
      </w:r>
      <w:r w:rsidR="00E84038">
        <w:rPr>
          <w:color w:val="1C1C1C"/>
          <w:sz w:val="24"/>
          <w:szCs w:val="24"/>
        </w:rPr>
        <w:t>City</w:t>
      </w:r>
      <w:r w:rsidR="004967D7">
        <w:rPr>
          <w:color w:val="1C1C1C"/>
          <w:sz w:val="24"/>
          <w:szCs w:val="24"/>
        </w:rPr>
        <w:t xml:space="preserve"> and Developer are the “</w:t>
      </w:r>
      <w:r w:rsidR="004967D7" w:rsidRPr="007973EE">
        <w:rPr>
          <w:b/>
          <w:color w:val="1C1C1C"/>
          <w:sz w:val="24"/>
          <w:szCs w:val="24"/>
        </w:rPr>
        <w:t>Parties</w:t>
      </w:r>
      <w:r w:rsidR="004967D7">
        <w:rPr>
          <w:color w:val="1C1C1C"/>
          <w:sz w:val="24"/>
          <w:szCs w:val="24"/>
        </w:rPr>
        <w:t>”</w:t>
      </w:r>
      <w:r w:rsidRPr="00423960">
        <w:rPr>
          <w:color w:val="1C1C1C"/>
          <w:sz w:val="24"/>
          <w:szCs w:val="24"/>
        </w:rPr>
        <w:t xml:space="preserve"> to this Agreement, and</w:t>
      </w:r>
      <w:r w:rsidR="004967D7">
        <w:rPr>
          <w:color w:val="1C1C1C"/>
          <w:sz w:val="24"/>
          <w:szCs w:val="24"/>
        </w:rPr>
        <w:t xml:space="preserve"> individually each is a “</w:t>
      </w:r>
      <w:r w:rsidR="004967D7" w:rsidRPr="007973EE">
        <w:rPr>
          <w:b/>
          <w:color w:val="1C1C1C"/>
          <w:sz w:val="24"/>
          <w:szCs w:val="24"/>
        </w:rPr>
        <w:t>Party</w:t>
      </w:r>
      <w:r w:rsidR="004967D7">
        <w:rPr>
          <w:color w:val="1C1C1C"/>
          <w:sz w:val="24"/>
          <w:szCs w:val="24"/>
        </w:rPr>
        <w:t>”</w:t>
      </w:r>
      <w:r w:rsidRPr="00423960">
        <w:rPr>
          <w:color w:val="1C1C1C"/>
          <w:spacing w:val="-43"/>
          <w:sz w:val="24"/>
          <w:szCs w:val="24"/>
        </w:rPr>
        <w:t xml:space="preserve"> </w:t>
      </w:r>
      <w:r w:rsidRPr="00423960">
        <w:rPr>
          <w:color w:val="1C1C1C"/>
          <w:sz w:val="24"/>
          <w:szCs w:val="24"/>
        </w:rPr>
        <w:t>hereto.</w:t>
      </w:r>
    </w:p>
    <w:p w14:paraId="72563D1A" w14:textId="77777777" w:rsidR="00965B8C" w:rsidRPr="00423960" w:rsidRDefault="00965B8C" w:rsidP="000C7605">
      <w:pPr>
        <w:pStyle w:val="BodyText"/>
        <w:spacing w:before="7"/>
        <w:rPr>
          <w:sz w:val="24"/>
          <w:szCs w:val="24"/>
        </w:rPr>
      </w:pPr>
    </w:p>
    <w:p w14:paraId="71730CC6" w14:textId="77777777" w:rsidR="00965B8C" w:rsidRPr="004967D7" w:rsidRDefault="00000000" w:rsidP="00550F9B">
      <w:pPr>
        <w:jc w:val="center"/>
        <w:rPr>
          <w:b/>
          <w:sz w:val="24"/>
          <w:szCs w:val="24"/>
          <w:u w:val="single"/>
        </w:rPr>
      </w:pPr>
      <w:r w:rsidRPr="004967D7">
        <w:rPr>
          <w:b/>
          <w:color w:val="1C1C1C"/>
          <w:sz w:val="24"/>
          <w:szCs w:val="24"/>
          <w:u w:val="single"/>
        </w:rPr>
        <w:t>Recitals</w:t>
      </w:r>
    </w:p>
    <w:p w14:paraId="65BDEB5C" w14:textId="77777777" w:rsidR="00965B8C" w:rsidRPr="00423960" w:rsidRDefault="00965B8C" w:rsidP="000C7605">
      <w:pPr>
        <w:pStyle w:val="BodyText"/>
        <w:spacing w:before="6"/>
        <w:rPr>
          <w:sz w:val="24"/>
          <w:szCs w:val="24"/>
        </w:rPr>
      </w:pPr>
    </w:p>
    <w:p w14:paraId="41FB03C2" w14:textId="77777777" w:rsidR="00A36F78" w:rsidRPr="00E84038" w:rsidRDefault="00000000" w:rsidP="00550F9B">
      <w:pPr>
        <w:pStyle w:val="ListParagraph"/>
        <w:widowControl/>
        <w:numPr>
          <w:ilvl w:val="0"/>
          <w:numId w:val="12"/>
        </w:numPr>
        <w:autoSpaceDE/>
        <w:autoSpaceDN/>
        <w:spacing w:after="160"/>
        <w:ind w:right="982"/>
        <w:contextualSpacing/>
        <w:jc w:val="both"/>
        <w:rPr>
          <w:color w:val="1C1C1C"/>
          <w:sz w:val="24"/>
          <w:szCs w:val="24"/>
        </w:rPr>
      </w:pPr>
      <w:r w:rsidRPr="00E84038">
        <w:rPr>
          <w:color w:val="1C1C1C"/>
          <w:sz w:val="24"/>
          <w:szCs w:val="24"/>
        </w:rPr>
        <w:t xml:space="preserve">Developer </w:t>
      </w:r>
      <w:r w:rsidR="00DA1537" w:rsidRPr="00E84038">
        <w:rPr>
          <w:color w:val="1C1C1C"/>
          <w:sz w:val="24"/>
          <w:szCs w:val="24"/>
        </w:rPr>
        <w:t>owns or controls</w:t>
      </w:r>
      <w:r w:rsidRPr="00E84038">
        <w:rPr>
          <w:color w:val="1C1C1C"/>
          <w:sz w:val="24"/>
          <w:szCs w:val="24"/>
        </w:rPr>
        <w:t xml:space="preserve"> certain parcels of property located in </w:t>
      </w:r>
      <w:r w:rsidR="00E84038" w:rsidRPr="00E84038">
        <w:rPr>
          <w:color w:val="1C1C1C"/>
          <w:sz w:val="24"/>
          <w:szCs w:val="24"/>
        </w:rPr>
        <w:t>City</w:t>
      </w:r>
      <w:r w:rsidR="007B6144">
        <w:rPr>
          <w:color w:val="1C1C1C"/>
          <w:sz w:val="24"/>
          <w:szCs w:val="24"/>
        </w:rPr>
        <w:t xml:space="preserve"> </w:t>
      </w:r>
      <w:r w:rsidR="00E84038" w:rsidRPr="00E84038">
        <w:rPr>
          <w:sz w:val="24"/>
          <w:szCs w:val="24"/>
        </w:rPr>
        <w:t>(the “</w:t>
      </w:r>
      <w:r w:rsidR="00E84038" w:rsidRPr="00E84038">
        <w:rPr>
          <w:b/>
          <w:sz w:val="24"/>
          <w:szCs w:val="24"/>
        </w:rPr>
        <w:t>Property</w:t>
      </w:r>
      <w:r w:rsidR="00E84038" w:rsidRPr="00E84038">
        <w:rPr>
          <w:sz w:val="24"/>
          <w:szCs w:val="24"/>
        </w:rPr>
        <w:t>”)</w:t>
      </w:r>
      <w:r w:rsidR="00E84038">
        <w:rPr>
          <w:sz w:val="24"/>
          <w:szCs w:val="24"/>
        </w:rPr>
        <w:t xml:space="preserve"> </w:t>
      </w:r>
      <w:r w:rsidR="007B6144" w:rsidRPr="004F03A8">
        <w:rPr>
          <w:sz w:val="24"/>
          <w:szCs w:val="24"/>
        </w:rPr>
        <w:t>attached hereto as exhibit “</w:t>
      </w:r>
      <w:r w:rsidR="007B6144">
        <w:rPr>
          <w:sz w:val="24"/>
          <w:szCs w:val="24"/>
        </w:rPr>
        <w:t>A</w:t>
      </w:r>
      <w:r w:rsidR="007B6144" w:rsidRPr="004F03A8">
        <w:rPr>
          <w:sz w:val="24"/>
          <w:szCs w:val="24"/>
        </w:rPr>
        <w:t>”</w:t>
      </w:r>
      <w:r w:rsidR="007B6144">
        <w:rPr>
          <w:sz w:val="24"/>
          <w:szCs w:val="24"/>
        </w:rPr>
        <w:t xml:space="preserve"> </w:t>
      </w:r>
      <w:r w:rsidR="00DA1537" w:rsidRPr="00E84038">
        <w:rPr>
          <w:color w:val="1C1C1C"/>
          <w:sz w:val="24"/>
          <w:szCs w:val="24"/>
        </w:rPr>
        <w:t xml:space="preserve">totaling </w:t>
      </w:r>
      <w:r w:rsidR="000B194D" w:rsidRPr="00E84038">
        <w:rPr>
          <w:color w:val="1C1C1C"/>
          <w:sz w:val="24"/>
          <w:szCs w:val="24"/>
        </w:rPr>
        <w:t xml:space="preserve">approximately </w:t>
      </w:r>
      <w:r w:rsidR="00DA1537" w:rsidRPr="00E84038">
        <w:rPr>
          <w:color w:val="1C1C1C"/>
          <w:sz w:val="24"/>
          <w:szCs w:val="24"/>
        </w:rPr>
        <w:t>20</w:t>
      </w:r>
      <w:r w:rsidR="000B194D" w:rsidRPr="00E84038">
        <w:rPr>
          <w:color w:val="1C1C1C"/>
          <w:sz w:val="24"/>
          <w:szCs w:val="24"/>
        </w:rPr>
        <w:t>0</w:t>
      </w:r>
      <w:r w:rsidR="00DA1537" w:rsidRPr="00E84038">
        <w:rPr>
          <w:color w:val="1C1C1C"/>
          <w:sz w:val="24"/>
          <w:szCs w:val="24"/>
        </w:rPr>
        <w:t xml:space="preserve"> acres, and</w:t>
      </w:r>
      <w:r w:rsidRPr="00E84038">
        <w:rPr>
          <w:color w:val="1C1C1C"/>
          <w:sz w:val="24"/>
          <w:szCs w:val="24"/>
        </w:rPr>
        <w:t xml:space="preserve"> having the following </w:t>
      </w:r>
      <w:r w:rsidR="00DA1537" w:rsidRPr="00E84038">
        <w:rPr>
          <w:color w:val="1C1C1C"/>
          <w:sz w:val="24"/>
          <w:szCs w:val="24"/>
        </w:rPr>
        <w:t>parcel ID numbers</w:t>
      </w:r>
      <w:r w:rsidRPr="00E84038">
        <w:rPr>
          <w:color w:val="1C1C1C"/>
          <w:sz w:val="24"/>
          <w:szCs w:val="24"/>
        </w:rPr>
        <w:t xml:space="preserve">: </w:t>
      </w:r>
    </w:p>
    <w:p w14:paraId="55CC136D" w14:textId="77777777" w:rsidR="00DA1537" w:rsidRDefault="00DA1537" w:rsidP="000C7605">
      <w:pPr>
        <w:pStyle w:val="ListParagraph"/>
        <w:ind w:left="0" w:right="982" w:firstLine="0"/>
        <w:rPr>
          <w:color w:val="1C1C1C"/>
          <w:sz w:val="24"/>
          <w:szCs w:val="24"/>
        </w:rPr>
      </w:pPr>
    </w:p>
    <w:p w14:paraId="1112104C" w14:textId="77777777" w:rsidR="000B194D" w:rsidRDefault="00000000" w:rsidP="000B194D">
      <w:pPr>
        <w:pStyle w:val="ListParagraph"/>
        <w:numPr>
          <w:ilvl w:val="1"/>
          <w:numId w:val="12"/>
        </w:numPr>
        <w:ind w:right="982"/>
        <w:rPr>
          <w:color w:val="1C1C1C"/>
          <w:sz w:val="24"/>
          <w:szCs w:val="24"/>
        </w:rPr>
      </w:pPr>
      <w:r w:rsidRPr="000B194D">
        <w:rPr>
          <w:color w:val="1C1C1C"/>
          <w:sz w:val="24"/>
          <w:szCs w:val="24"/>
        </w:rPr>
        <w:t>19-097-0-004A</w:t>
      </w:r>
    </w:p>
    <w:p w14:paraId="7D07E2F6" w14:textId="77777777" w:rsidR="000B194D" w:rsidRDefault="00000000" w:rsidP="000B194D">
      <w:pPr>
        <w:pStyle w:val="ListParagraph"/>
        <w:numPr>
          <w:ilvl w:val="1"/>
          <w:numId w:val="12"/>
        </w:numPr>
        <w:ind w:right="982"/>
        <w:rPr>
          <w:color w:val="1C1C1C"/>
          <w:sz w:val="24"/>
          <w:szCs w:val="24"/>
        </w:rPr>
      </w:pPr>
      <w:r w:rsidRPr="000B194D">
        <w:rPr>
          <w:color w:val="1C1C1C"/>
          <w:sz w:val="24"/>
          <w:szCs w:val="24"/>
        </w:rPr>
        <w:t>19-097-0-004</w:t>
      </w:r>
      <w:r w:rsidR="00B52752">
        <w:rPr>
          <w:color w:val="1C1C1C"/>
          <w:sz w:val="24"/>
          <w:szCs w:val="24"/>
        </w:rPr>
        <w:t>B</w:t>
      </w:r>
    </w:p>
    <w:p w14:paraId="329AEFC7" w14:textId="77777777" w:rsidR="00DA1537" w:rsidRDefault="00000000" w:rsidP="000B194D">
      <w:pPr>
        <w:pStyle w:val="ListParagraph"/>
        <w:numPr>
          <w:ilvl w:val="1"/>
          <w:numId w:val="12"/>
        </w:numPr>
        <w:ind w:right="982"/>
        <w:rPr>
          <w:color w:val="1C1C1C"/>
          <w:sz w:val="24"/>
          <w:szCs w:val="24"/>
        </w:rPr>
      </w:pPr>
      <w:r w:rsidRPr="000B194D">
        <w:rPr>
          <w:color w:val="1C1C1C"/>
          <w:sz w:val="24"/>
          <w:szCs w:val="24"/>
        </w:rPr>
        <w:t>19-097-0-004</w:t>
      </w:r>
      <w:r w:rsidR="00B52752">
        <w:rPr>
          <w:color w:val="1C1C1C"/>
          <w:sz w:val="24"/>
          <w:szCs w:val="24"/>
        </w:rPr>
        <w:t>C</w:t>
      </w:r>
    </w:p>
    <w:p w14:paraId="7CED7B3B" w14:textId="77777777" w:rsidR="000B194D" w:rsidRDefault="00000000" w:rsidP="00B52752">
      <w:pPr>
        <w:pStyle w:val="ListParagraph"/>
        <w:numPr>
          <w:ilvl w:val="1"/>
          <w:numId w:val="12"/>
        </w:numPr>
        <w:ind w:right="982"/>
        <w:rPr>
          <w:color w:val="1C1C1C"/>
          <w:sz w:val="24"/>
          <w:szCs w:val="24"/>
        </w:rPr>
      </w:pPr>
      <w:r w:rsidRPr="00B52752">
        <w:rPr>
          <w:color w:val="1C1C1C"/>
          <w:sz w:val="24"/>
          <w:szCs w:val="24"/>
        </w:rPr>
        <w:t>01-421-0-0012</w:t>
      </w:r>
    </w:p>
    <w:p w14:paraId="3D9D93C0" w14:textId="77777777" w:rsidR="00E74EDC" w:rsidRDefault="00E74EDC" w:rsidP="00550F9B">
      <w:pPr>
        <w:pStyle w:val="ListParagraph"/>
        <w:ind w:left="0" w:right="982" w:firstLine="0"/>
        <w:rPr>
          <w:color w:val="1C1C1C"/>
          <w:sz w:val="24"/>
          <w:szCs w:val="24"/>
        </w:rPr>
      </w:pPr>
    </w:p>
    <w:p w14:paraId="6139F667" w14:textId="77777777" w:rsidR="00550F9B" w:rsidRDefault="00000000" w:rsidP="00E84038">
      <w:pPr>
        <w:pStyle w:val="ListParagraph"/>
        <w:widowControl/>
        <w:numPr>
          <w:ilvl w:val="0"/>
          <w:numId w:val="12"/>
        </w:numPr>
        <w:autoSpaceDE/>
        <w:autoSpaceDN/>
        <w:spacing w:after="160"/>
        <w:contextualSpacing/>
        <w:jc w:val="both"/>
        <w:rPr>
          <w:sz w:val="24"/>
          <w:szCs w:val="24"/>
        </w:rPr>
      </w:pPr>
      <w:r>
        <w:rPr>
          <w:sz w:val="24"/>
          <w:szCs w:val="24"/>
        </w:rPr>
        <w:t>Developer has previously received approvals from Tooele County, prior to the incorporation of City, to develop the Property under the development names of Erda Estates and Tealby Village. The County approved a combined total approval of 402 residential units</w:t>
      </w:r>
      <w:r w:rsidR="006111A7">
        <w:rPr>
          <w:sz w:val="24"/>
          <w:szCs w:val="24"/>
        </w:rPr>
        <w:t>, plus some commercial areas</w:t>
      </w:r>
      <w:r>
        <w:rPr>
          <w:sz w:val="24"/>
          <w:szCs w:val="24"/>
        </w:rPr>
        <w:t>, pursuant to former Chapter 9 of the Tooele County Ordinances</w:t>
      </w:r>
      <w:r w:rsidR="006111A7">
        <w:rPr>
          <w:sz w:val="24"/>
          <w:szCs w:val="24"/>
        </w:rPr>
        <w:t xml:space="preserve">. Such development approvals remain </w:t>
      </w:r>
      <w:proofErr w:type="gramStart"/>
      <w:r w:rsidR="006111A7">
        <w:rPr>
          <w:sz w:val="24"/>
          <w:szCs w:val="24"/>
        </w:rPr>
        <w:t>active</w:t>
      </w:r>
      <w:r>
        <w:rPr>
          <w:sz w:val="24"/>
          <w:szCs w:val="24"/>
        </w:rPr>
        <w:t>;</w:t>
      </w:r>
      <w:proofErr w:type="gramEnd"/>
    </w:p>
    <w:p w14:paraId="07AEBC77" w14:textId="77777777" w:rsidR="00550F9B" w:rsidRDefault="00550F9B" w:rsidP="00550F9B">
      <w:pPr>
        <w:pStyle w:val="ListParagraph"/>
        <w:widowControl/>
        <w:autoSpaceDE/>
        <w:autoSpaceDN/>
        <w:spacing w:after="160"/>
        <w:ind w:left="0" w:firstLine="0"/>
        <w:contextualSpacing/>
        <w:jc w:val="both"/>
        <w:rPr>
          <w:sz w:val="24"/>
          <w:szCs w:val="24"/>
        </w:rPr>
      </w:pPr>
    </w:p>
    <w:p w14:paraId="5580DC0C" w14:textId="77777777" w:rsidR="00E84038" w:rsidRPr="004F03A8" w:rsidRDefault="00000000" w:rsidP="00E84038">
      <w:pPr>
        <w:pStyle w:val="ListParagraph"/>
        <w:widowControl/>
        <w:numPr>
          <w:ilvl w:val="0"/>
          <w:numId w:val="12"/>
        </w:numPr>
        <w:autoSpaceDE/>
        <w:autoSpaceDN/>
        <w:spacing w:after="160"/>
        <w:contextualSpacing/>
        <w:jc w:val="both"/>
        <w:rPr>
          <w:sz w:val="24"/>
          <w:szCs w:val="24"/>
        </w:rPr>
      </w:pPr>
      <w:r w:rsidRPr="004F03A8">
        <w:rPr>
          <w:sz w:val="24"/>
          <w:szCs w:val="24"/>
        </w:rPr>
        <w:t xml:space="preserve"> Developer desires to develop </w:t>
      </w:r>
      <w:r w:rsidR="006111A7">
        <w:rPr>
          <w:sz w:val="24"/>
          <w:szCs w:val="24"/>
        </w:rPr>
        <w:t>the Property in Erda City</w:t>
      </w:r>
      <w:r w:rsidR="00FD018A">
        <w:rPr>
          <w:sz w:val="24"/>
          <w:szCs w:val="24"/>
        </w:rPr>
        <w:t xml:space="preserve"> </w:t>
      </w:r>
      <w:r w:rsidR="006111A7">
        <w:rPr>
          <w:sz w:val="24"/>
          <w:szCs w:val="24"/>
        </w:rPr>
        <w:t>under the name Copper Cove, consisting of 402 units and commercial areas</w:t>
      </w:r>
      <w:r w:rsidR="00FD018A">
        <w:rPr>
          <w:sz w:val="24"/>
          <w:szCs w:val="24"/>
        </w:rPr>
        <w:t>.</w:t>
      </w:r>
      <w:r w:rsidR="006111A7">
        <w:rPr>
          <w:sz w:val="24"/>
          <w:szCs w:val="24"/>
        </w:rPr>
        <w:t xml:space="preserve"> </w:t>
      </w:r>
      <w:r w:rsidR="00C22306">
        <w:rPr>
          <w:sz w:val="24"/>
          <w:szCs w:val="24"/>
        </w:rPr>
        <w:t xml:space="preserve"> </w:t>
      </w:r>
    </w:p>
    <w:p w14:paraId="4B86A8C0" w14:textId="77777777" w:rsidR="00E84038" w:rsidRPr="00FD018A" w:rsidRDefault="00E84038" w:rsidP="00FD018A">
      <w:pPr>
        <w:jc w:val="both"/>
        <w:rPr>
          <w:sz w:val="24"/>
          <w:szCs w:val="24"/>
        </w:rPr>
      </w:pPr>
    </w:p>
    <w:p w14:paraId="0804B947" w14:textId="77777777" w:rsidR="00C22306" w:rsidRPr="004F03A8" w:rsidRDefault="00000000" w:rsidP="00C22306">
      <w:pPr>
        <w:pStyle w:val="ListParagraph"/>
        <w:widowControl/>
        <w:numPr>
          <w:ilvl w:val="0"/>
          <w:numId w:val="12"/>
        </w:numPr>
        <w:autoSpaceDE/>
        <w:autoSpaceDN/>
        <w:spacing w:after="160"/>
        <w:contextualSpacing/>
        <w:jc w:val="both"/>
        <w:rPr>
          <w:sz w:val="24"/>
          <w:szCs w:val="24"/>
        </w:rPr>
      </w:pPr>
      <w:r>
        <w:rPr>
          <w:sz w:val="24"/>
          <w:szCs w:val="24"/>
        </w:rPr>
        <w:t xml:space="preserve">The Parties agree that former Chapter 9 of the Tooele County Ordinances </w:t>
      </w:r>
    </w:p>
    <w:p w14:paraId="38447F02" w14:textId="77777777" w:rsidR="00E74EDC" w:rsidRDefault="00000000" w:rsidP="00FD018A">
      <w:pPr>
        <w:pStyle w:val="ListParagraph"/>
        <w:ind w:left="0" w:right="982" w:firstLine="0"/>
        <w:rPr>
          <w:sz w:val="24"/>
          <w:szCs w:val="24"/>
        </w:rPr>
      </w:pPr>
      <w:r>
        <w:rPr>
          <w:sz w:val="24"/>
          <w:szCs w:val="24"/>
        </w:rPr>
        <w:t>does not provide clear processes for optimal development of the Property, and accordingly, wish to enter into this Agreement to provide clarity and certainty in development of the Property,</w:t>
      </w:r>
      <w:r w:rsidRPr="00B3236C">
        <w:rPr>
          <w:color w:val="1F1F1F"/>
          <w:sz w:val="24"/>
          <w:szCs w:val="24"/>
        </w:rPr>
        <w:t xml:space="preserve"> </w:t>
      </w:r>
      <w:r w:rsidRPr="00357434">
        <w:rPr>
          <w:color w:val="1F1F1F"/>
          <w:sz w:val="24"/>
          <w:szCs w:val="24"/>
        </w:rPr>
        <w:t xml:space="preserve">and </w:t>
      </w:r>
      <w:r>
        <w:rPr>
          <w:color w:val="1F1F1F"/>
          <w:sz w:val="24"/>
          <w:szCs w:val="24"/>
        </w:rPr>
        <w:t xml:space="preserve">to </w:t>
      </w:r>
      <w:r w:rsidRPr="00357434">
        <w:rPr>
          <w:color w:val="1F1F1F"/>
          <w:sz w:val="24"/>
          <w:szCs w:val="24"/>
        </w:rPr>
        <w:t xml:space="preserve">vest issues such as land uses, zoning, density, streetscape, amenities, utility infrastructure, and other development objectives prior to </w:t>
      </w:r>
      <w:r w:rsidRPr="00357434">
        <w:rPr>
          <w:color w:val="1F1F1F"/>
          <w:sz w:val="24"/>
          <w:szCs w:val="24"/>
        </w:rPr>
        <w:lastRenderedPageBreak/>
        <w:t xml:space="preserve">development of the </w:t>
      </w:r>
      <w:r w:rsidR="00C22306">
        <w:rPr>
          <w:color w:val="1F1F1F"/>
          <w:sz w:val="24"/>
          <w:szCs w:val="24"/>
        </w:rPr>
        <w:t>Property (“</w:t>
      </w:r>
      <w:r>
        <w:rPr>
          <w:color w:val="1F1F1F"/>
          <w:sz w:val="24"/>
          <w:szCs w:val="24"/>
        </w:rPr>
        <w:t>Project</w:t>
      </w:r>
      <w:r w:rsidR="00C22306">
        <w:rPr>
          <w:color w:val="1F1F1F"/>
          <w:sz w:val="24"/>
          <w:szCs w:val="24"/>
        </w:rPr>
        <w:t>”)</w:t>
      </w:r>
      <w:r>
        <w:rPr>
          <w:sz w:val="24"/>
          <w:szCs w:val="24"/>
        </w:rPr>
        <w:t>.</w:t>
      </w:r>
    </w:p>
    <w:p w14:paraId="36C93BA1" w14:textId="77777777" w:rsidR="003D0F14" w:rsidRPr="00F90F8A" w:rsidRDefault="003D0F14" w:rsidP="00FD018A">
      <w:pPr>
        <w:ind w:right="982"/>
        <w:rPr>
          <w:sz w:val="24"/>
          <w:szCs w:val="24"/>
        </w:rPr>
      </w:pPr>
    </w:p>
    <w:p w14:paraId="61016967" w14:textId="77777777" w:rsidR="003D0F14" w:rsidRPr="003D0F14" w:rsidRDefault="00000000" w:rsidP="00F90F8A">
      <w:pPr>
        <w:pStyle w:val="ListParagraph"/>
        <w:numPr>
          <w:ilvl w:val="0"/>
          <w:numId w:val="12"/>
        </w:numPr>
        <w:ind w:right="982"/>
        <w:rPr>
          <w:sz w:val="24"/>
          <w:szCs w:val="24"/>
        </w:rPr>
      </w:pPr>
      <w:r>
        <w:rPr>
          <w:sz w:val="24"/>
          <w:szCs w:val="24"/>
        </w:rPr>
        <w:t xml:space="preserve">The Parties agree that </w:t>
      </w:r>
      <w:r w:rsidR="00C22306">
        <w:rPr>
          <w:sz w:val="24"/>
          <w:szCs w:val="24"/>
        </w:rPr>
        <w:t>the Project</w:t>
      </w:r>
      <w:r w:rsidRPr="004F03A8">
        <w:rPr>
          <w:sz w:val="24"/>
          <w:szCs w:val="24"/>
        </w:rPr>
        <w:t xml:space="preserve"> as illustrated on the site plan (the “</w:t>
      </w:r>
      <w:r w:rsidRPr="004F03A8">
        <w:rPr>
          <w:b/>
          <w:sz w:val="24"/>
          <w:szCs w:val="24"/>
        </w:rPr>
        <w:t>Site Plan</w:t>
      </w:r>
      <w:r w:rsidRPr="004F03A8">
        <w:rPr>
          <w:sz w:val="24"/>
          <w:szCs w:val="24"/>
        </w:rPr>
        <w:t>”) attached hereto as exhibit “B”</w:t>
      </w:r>
      <w:r>
        <w:rPr>
          <w:sz w:val="24"/>
          <w:szCs w:val="24"/>
        </w:rPr>
        <w:t xml:space="preserve"> </w:t>
      </w:r>
      <w:r>
        <w:rPr>
          <w:color w:val="1C1C1C"/>
          <w:sz w:val="24"/>
          <w:szCs w:val="24"/>
        </w:rPr>
        <w:t>will result in a better-planned development, which will result in a better mix of residential and commercial uses on the Property by distributing vested residential density, school, and commercial uses into better locations.</w:t>
      </w:r>
    </w:p>
    <w:p w14:paraId="0E356D10" w14:textId="77777777" w:rsidR="003D0F14" w:rsidRPr="00F90F8A" w:rsidRDefault="003D0F14" w:rsidP="00F90F8A">
      <w:pPr>
        <w:pStyle w:val="ListParagraph"/>
        <w:rPr>
          <w:sz w:val="24"/>
          <w:szCs w:val="24"/>
        </w:rPr>
      </w:pPr>
    </w:p>
    <w:p w14:paraId="32A5ADB8" w14:textId="77777777" w:rsidR="003D0F14" w:rsidRDefault="00000000" w:rsidP="00F90F8A">
      <w:pPr>
        <w:pStyle w:val="ListParagraph"/>
        <w:widowControl/>
        <w:numPr>
          <w:ilvl w:val="0"/>
          <w:numId w:val="12"/>
        </w:numPr>
        <w:autoSpaceDE/>
        <w:autoSpaceDN/>
        <w:spacing w:after="160"/>
        <w:contextualSpacing/>
        <w:jc w:val="both"/>
        <w:rPr>
          <w:sz w:val="24"/>
          <w:szCs w:val="24"/>
        </w:rPr>
      </w:pPr>
      <w:r w:rsidRPr="004F03A8">
        <w:rPr>
          <w:sz w:val="24"/>
          <w:szCs w:val="24"/>
        </w:rPr>
        <w:t xml:space="preserve"> Developer hereby represents to the City that it is voluntarily entering into this Agreement.</w:t>
      </w:r>
    </w:p>
    <w:p w14:paraId="19063A72" w14:textId="77777777" w:rsidR="00F90F8A" w:rsidRPr="00F90F8A" w:rsidRDefault="00F90F8A" w:rsidP="00F90F8A">
      <w:pPr>
        <w:pStyle w:val="ListParagraph"/>
        <w:widowControl/>
        <w:autoSpaceDE/>
        <w:autoSpaceDN/>
        <w:spacing w:after="160"/>
        <w:ind w:left="0" w:firstLine="0"/>
        <w:contextualSpacing/>
        <w:jc w:val="both"/>
        <w:rPr>
          <w:sz w:val="24"/>
          <w:szCs w:val="24"/>
        </w:rPr>
      </w:pPr>
    </w:p>
    <w:p w14:paraId="1EFCEFA6" w14:textId="77777777" w:rsidR="00E84038" w:rsidRPr="004F03A8" w:rsidRDefault="00000000" w:rsidP="00E84038">
      <w:pPr>
        <w:pStyle w:val="ListParagraph"/>
        <w:widowControl/>
        <w:numPr>
          <w:ilvl w:val="0"/>
          <w:numId w:val="12"/>
        </w:numPr>
        <w:autoSpaceDE/>
        <w:autoSpaceDN/>
        <w:spacing w:after="160"/>
        <w:contextualSpacing/>
        <w:jc w:val="both"/>
        <w:rPr>
          <w:sz w:val="24"/>
          <w:szCs w:val="24"/>
        </w:rPr>
      </w:pPr>
      <w:r w:rsidRPr="004F03A8">
        <w:rPr>
          <w:sz w:val="24"/>
          <w:szCs w:val="24"/>
        </w:rPr>
        <w:t xml:space="preserve">The City, acting pursuant to its authority under the Utah Municipal Land Use, Development, and Management Act, Utah Code </w:t>
      </w:r>
      <w:r w:rsidR="003D0F14">
        <w:rPr>
          <w:sz w:val="24"/>
          <w:szCs w:val="24"/>
        </w:rPr>
        <w:t xml:space="preserve">Section </w:t>
      </w:r>
      <w:r w:rsidRPr="004F03A8">
        <w:rPr>
          <w:sz w:val="24"/>
          <w:szCs w:val="24"/>
        </w:rPr>
        <w:t xml:space="preserve">10-9a-101, </w:t>
      </w:r>
      <w:r w:rsidRPr="004F03A8">
        <w:rPr>
          <w:i/>
          <w:sz w:val="24"/>
          <w:szCs w:val="24"/>
        </w:rPr>
        <w:t>et seq</w:t>
      </w:r>
      <w:r w:rsidRPr="004F03A8">
        <w:rPr>
          <w:sz w:val="24"/>
          <w:szCs w:val="24"/>
        </w:rPr>
        <w:t xml:space="preserve">., </w:t>
      </w:r>
      <w:r w:rsidR="003D0F14">
        <w:rPr>
          <w:sz w:val="24"/>
          <w:szCs w:val="24"/>
        </w:rPr>
        <w:t xml:space="preserve"> and specifically Utah Code Section 10-9a-532(2)(iii),</w:t>
      </w:r>
      <w:r w:rsidRPr="004F03A8">
        <w:rPr>
          <w:sz w:val="24"/>
          <w:szCs w:val="24"/>
        </w:rPr>
        <w:t xml:space="preserve"> its ordinances, resolutions, and regulations, and in furtherance of its land-use policies, has made certain determinations with respect to the proposed </w:t>
      </w:r>
      <w:r w:rsidR="003D0F14">
        <w:rPr>
          <w:sz w:val="24"/>
          <w:szCs w:val="24"/>
        </w:rPr>
        <w:t>development</w:t>
      </w:r>
      <w:r w:rsidRPr="004F03A8">
        <w:rPr>
          <w:sz w:val="24"/>
          <w:szCs w:val="24"/>
        </w:rPr>
        <w:t>, and, in the exercise of its legislative discretion, has elected to approve this Agreement.</w:t>
      </w:r>
    </w:p>
    <w:p w14:paraId="68826AAD" w14:textId="77777777" w:rsidR="00965B8C" w:rsidRPr="00423960" w:rsidRDefault="00965B8C" w:rsidP="000C7605">
      <w:pPr>
        <w:pStyle w:val="BodyText"/>
        <w:spacing w:before="9"/>
        <w:rPr>
          <w:sz w:val="24"/>
          <w:szCs w:val="24"/>
        </w:rPr>
      </w:pPr>
    </w:p>
    <w:p w14:paraId="6E43519A" w14:textId="77777777" w:rsidR="00965B8C" w:rsidRPr="00423960" w:rsidRDefault="00000000" w:rsidP="000C7605">
      <w:pPr>
        <w:pStyle w:val="BodyText"/>
        <w:spacing w:line="252" w:lineRule="auto"/>
        <w:ind w:right="749"/>
        <w:rPr>
          <w:sz w:val="24"/>
          <w:szCs w:val="24"/>
        </w:rPr>
      </w:pPr>
      <w:r w:rsidRPr="000C7605">
        <w:rPr>
          <w:b/>
          <w:color w:val="1F1F1F"/>
          <w:w w:val="105"/>
          <w:sz w:val="24"/>
          <w:szCs w:val="24"/>
        </w:rPr>
        <w:t>NOW, THEREFORE</w:t>
      </w:r>
      <w:r w:rsidRPr="00423960">
        <w:rPr>
          <w:color w:val="1F1F1F"/>
          <w:w w:val="105"/>
          <w:sz w:val="24"/>
          <w:szCs w:val="24"/>
        </w:rPr>
        <w:t>, in consideration of the mutual covenants and promises of the Parties contained herein, and for other valuable consideration received, the Parties agree as follows:</w:t>
      </w:r>
    </w:p>
    <w:p w14:paraId="279E6A39" w14:textId="77777777" w:rsidR="00965B8C" w:rsidRPr="00423960" w:rsidRDefault="00965B8C" w:rsidP="000C7605">
      <w:pPr>
        <w:pStyle w:val="BodyText"/>
        <w:spacing w:before="9"/>
        <w:rPr>
          <w:sz w:val="24"/>
          <w:szCs w:val="24"/>
        </w:rPr>
      </w:pPr>
    </w:p>
    <w:p w14:paraId="035DC821" w14:textId="77777777" w:rsidR="000C7605" w:rsidRPr="00B76D47" w:rsidRDefault="00000000" w:rsidP="00F61384">
      <w:pPr>
        <w:pStyle w:val="ListParagraph"/>
        <w:numPr>
          <w:ilvl w:val="0"/>
          <w:numId w:val="13"/>
        </w:numPr>
        <w:tabs>
          <w:tab w:val="left" w:pos="1598"/>
          <w:tab w:val="left" w:pos="1599"/>
        </w:tabs>
        <w:spacing w:line="252" w:lineRule="auto"/>
        <w:ind w:left="0" w:right="213" w:firstLine="0"/>
        <w:rPr>
          <w:color w:val="1F1F1F"/>
          <w:sz w:val="24"/>
          <w:szCs w:val="24"/>
        </w:rPr>
      </w:pPr>
      <w:r>
        <w:rPr>
          <w:color w:val="343434"/>
          <w:w w:val="105"/>
          <w:sz w:val="24"/>
          <w:szCs w:val="24"/>
          <w:u w:val="single" w:color="343434"/>
        </w:rPr>
        <w:t>Recitals</w:t>
      </w:r>
      <w:r w:rsidR="0045200A" w:rsidRPr="000C7605">
        <w:rPr>
          <w:color w:val="343434"/>
          <w:w w:val="105"/>
          <w:sz w:val="24"/>
          <w:szCs w:val="24"/>
          <w:u w:color="343434"/>
        </w:rPr>
        <w:t>.</w:t>
      </w:r>
      <w:r w:rsidR="0045200A" w:rsidRPr="00423960">
        <w:rPr>
          <w:color w:val="343434"/>
          <w:w w:val="105"/>
          <w:sz w:val="24"/>
          <w:szCs w:val="24"/>
        </w:rPr>
        <w:t xml:space="preserve"> </w:t>
      </w:r>
      <w:r w:rsidR="0045200A" w:rsidRPr="00423960">
        <w:rPr>
          <w:color w:val="1F1F1F"/>
          <w:w w:val="105"/>
          <w:sz w:val="24"/>
          <w:szCs w:val="24"/>
        </w:rPr>
        <w:t xml:space="preserve">The Parties agree that the recitals stated </w:t>
      </w:r>
      <w:r w:rsidR="00EE2515" w:rsidRPr="00423960">
        <w:rPr>
          <w:color w:val="1F1F1F"/>
          <w:w w:val="105"/>
          <w:sz w:val="24"/>
          <w:szCs w:val="24"/>
        </w:rPr>
        <w:t>above,</w:t>
      </w:r>
      <w:r w:rsidR="0045200A" w:rsidRPr="00423960">
        <w:rPr>
          <w:color w:val="1F1F1F"/>
          <w:w w:val="105"/>
          <w:sz w:val="24"/>
          <w:szCs w:val="24"/>
        </w:rPr>
        <w:t xml:space="preserve"> </w:t>
      </w:r>
      <w:r w:rsidR="00685276">
        <w:rPr>
          <w:color w:val="1F1F1F"/>
          <w:w w:val="105"/>
          <w:sz w:val="24"/>
          <w:szCs w:val="24"/>
        </w:rPr>
        <w:t xml:space="preserve">and </w:t>
      </w:r>
      <w:r w:rsidR="00EE2515">
        <w:rPr>
          <w:color w:val="1F1F1F"/>
          <w:w w:val="105"/>
          <w:sz w:val="24"/>
          <w:szCs w:val="24"/>
        </w:rPr>
        <w:t>exhibits</w:t>
      </w:r>
      <w:r w:rsidR="00685276">
        <w:rPr>
          <w:color w:val="1F1F1F"/>
          <w:w w:val="105"/>
          <w:sz w:val="24"/>
          <w:szCs w:val="24"/>
        </w:rPr>
        <w:t xml:space="preserve"> </w:t>
      </w:r>
      <w:r w:rsidR="0045200A" w:rsidRPr="00423960">
        <w:rPr>
          <w:color w:val="1F1F1F"/>
          <w:w w:val="105"/>
          <w:sz w:val="24"/>
          <w:szCs w:val="24"/>
        </w:rPr>
        <w:t xml:space="preserve">are incorporated into and form a part of this Agreement. </w:t>
      </w:r>
    </w:p>
    <w:p w14:paraId="3FD34F0A" w14:textId="77777777" w:rsidR="00B76D47" w:rsidRPr="00B76D47" w:rsidRDefault="00B76D47" w:rsidP="00B76D47">
      <w:pPr>
        <w:pStyle w:val="ListParagraph"/>
        <w:tabs>
          <w:tab w:val="left" w:pos="1598"/>
          <w:tab w:val="left" w:pos="1599"/>
        </w:tabs>
        <w:spacing w:line="252" w:lineRule="auto"/>
        <w:ind w:left="360" w:right="213" w:firstLine="0"/>
        <w:rPr>
          <w:color w:val="1F1F1F"/>
          <w:sz w:val="24"/>
          <w:szCs w:val="24"/>
        </w:rPr>
      </w:pPr>
    </w:p>
    <w:p w14:paraId="288BFD30" w14:textId="77777777" w:rsidR="007A68A3" w:rsidRDefault="00000000" w:rsidP="00F61384">
      <w:pPr>
        <w:pStyle w:val="ListParagraph"/>
        <w:numPr>
          <w:ilvl w:val="0"/>
          <w:numId w:val="13"/>
        </w:numPr>
        <w:tabs>
          <w:tab w:val="left" w:pos="1598"/>
          <w:tab w:val="left" w:pos="1599"/>
        </w:tabs>
        <w:spacing w:line="252" w:lineRule="auto"/>
        <w:ind w:left="0" w:right="213" w:firstLine="0"/>
        <w:rPr>
          <w:color w:val="1F1F1F"/>
          <w:sz w:val="24"/>
          <w:szCs w:val="24"/>
        </w:rPr>
      </w:pPr>
      <w:r>
        <w:rPr>
          <w:color w:val="343434"/>
          <w:w w:val="105"/>
          <w:sz w:val="24"/>
          <w:szCs w:val="24"/>
          <w:u w:val="single" w:color="343434"/>
        </w:rPr>
        <w:t>Site Plan</w:t>
      </w:r>
      <w:r w:rsidR="00B76D47">
        <w:rPr>
          <w:color w:val="343434"/>
          <w:w w:val="105"/>
          <w:sz w:val="24"/>
          <w:szCs w:val="24"/>
          <w:u w:val="single" w:color="343434"/>
        </w:rPr>
        <w:t>.</w:t>
      </w:r>
      <w:r w:rsidR="00B76D47">
        <w:rPr>
          <w:color w:val="1F1F1F"/>
          <w:sz w:val="24"/>
          <w:szCs w:val="24"/>
        </w:rPr>
        <w:t xml:space="preserve"> Developer </w:t>
      </w:r>
      <w:r w:rsidR="00C22306">
        <w:rPr>
          <w:color w:val="1F1F1F"/>
          <w:sz w:val="24"/>
          <w:szCs w:val="24"/>
        </w:rPr>
        <w:t xml:space="preserve">will </w:t>
      </w:r>
      <w:r w:rsidR="00B76D47">
        <w:rPr>
          <w:color w:val="1F1F1F"/>
          <w:sz w:val="24"/>
          <w:szCs w:val="24"/>
        </w:rPr>
        <w:t xml:space="preserve">develop the Property </w:t>
      </w:r>
      <w:r w:rsidR="00EE2515">
        <w:rPr>
          <w:color w:val="1F1F1F"/>
          <w:sz w:val="24"/>
          <w:szCs w:val="24"/>
        </w:rPr>
        <w:t>substantially</w:t>
      </w:r>
      <w:r w:rsidR="00C22306">
        <w:rPr>
          <w:color w:val="1F1F1F"/>
          <w:sz w:val="24"/>
          <w:szCs w:val="24"/>
        </w:rPr>
        <w:t xml:space="preserve"> </w:t>
      </w:r>
      <w:r w:rsidR="00B76D47">
        <w:rPr>
          <w:color w:val="1F1F1F"/>
          <w:sz w:val="24"/>
          <w:szCs w:val="24"/>
        </w:rPr>
        <w:t xml:space="preserve">in accordance with the </w:t>
      </w:r>
      <w:r>
        <w:rPr>
          <w:color w:val="1F1F1F"/>
          <w:sz w:val="24"/>
          <w:szCs w:val="24"/>
        </w:rPr>
        <w:t>attached S</w:t>
      </w:r>
      <w:r w:rsidR="00B76D47">
        <w:rPr>
          <w:color w:val="1F1F1F"/>
          <w:sz w:val="24"/>
          <w:szCs w:val="24"/>
        </w:rPr>
        <w:t xml:space="preserve">ite </w:t>
      </w:r>
      <w:r>
        <w:rPr>
          <w:color w:val="1F1F1F"/>
          <w:sz w:val="24"/>
          <w:szCs w:val="24"/>
        </w:rPr>
        <w:t>P</w:t>
      </w:r>
      <w:r w:rsidR="00F90F8A">
        <w:rPr>
          <w:color w:val="1F1F1F"/>
          <w:sz w:val="24"/>
          <w:szCs w:val="24"/>
        </w:rPr>
        <w:t>lan</w:t>
      </w:r>
      <w:r w:rsidR="00B76D47">
        <w:rPr>
          <w:color w:val="1F1F1F"/>
          <w:sz w:val="24"/>
          <w:szCs w:val="24"/>
        </w:rPr>
        <w:t>.</w:t>
      </w:r>
    </w:p>
    <w:p w14:paraId="1D7CEA04" w14:textId="77777777" w:rsidR="007A68A3" w:rsidRPr="007A68A3" w:rsidRDefault="007A68A3" w:rsidP="007A68A3">
      <w:pPr>
        <w:pStyle w:val="ListParagraph"/>
        <w:tabs>
          <w:tab w:val="left" w:pos="1598"/>
          <w:tab w:val="left" w:pos="1599"/>
        </w:tabs>
        <w:spacing w:line="252" w:lineRule="auto"/>
        <w:ind w:left="360" w:right="213" w:firstLine="0"/>
        <w:rPr>
          <w:color w:val="1F1F1F"/>
          <w:sz w:val="24"/>
          <w:szCs w:val="24"/>
        </w:rPr>
      </w:pPr>
    </w:p>
    <w:p w14:paraId="5C2A4B2E" w14:textId="77777777" w:rsidR="00671232" w:rsidRDefault="00000000" w:rsidP="00F90F8A">
      <w:pPr>
        <w:pStyle w:val="ListParagraph"/>
        <w:numPr>
          <w:ilvl w:val="0"/>
          <w:numId w:val="13"/>
        </w:numPr>
        <w:tabs>
          <w:tab w:val="left" w:pos="1598"/>
          <w:tab w:val="left" w:pos="1599"/>
        </w:tabs>
        <w:spacing w:line="252" w:lineRule="auto"/>
        <w:ind w:left="0" w:right="213" w:firstLine="0"/>
        <w:rPr>
          <w:color w:val="1F1F1F"/>
          <w:sz w:val="24"/>
          <w:szCs w:val="24"/>
        </w:rPr>
      </w:pPr>
      <w:r w:rsidRPr="007A68A3">
        <w:rPr>
          <w:color w:val="1F1F1F"/>
          <w:sz w:val="24"/>
          <w:szCs w:val="24"/>
          <w:u w:val="single"/>
        </w:rPr>
        <w:t>Zoning</w:t>
      </w:r>
      <w:r w:rsidRPr="007A68A3">
        <w:rPr>
          <w:color w:val="1F1F1F"/>
          <w:sz w:val="24"/>
          <w:szCs w:val="24"/>
        </w:rPr>
        <w:t xml:space="preserve">. </w:t>
      </w:r>
      <w:r w:rsidR="00B76D47" w:rsidRPr="007A68A3">
        <w:rPr>
          <w:color w:val="1F1F1F"/>
          <w:sz w:val="24"/>
          <w:szCs w:val="24"/>
        </w:rPr>
        <w:t xml:space="preserve">As of the Effective Date, the zoning designations on the Property </w:t>
      </w:r>
      <w:r w:rsidR="007A68A3" w:rsidRPr="007A68A3">
        <w:rPr>
          <w:color w:val="1F1F1F"/>
          <w:sz w:val="24"/>
          <w:szCs w:val="24"/>
        </w:rPr>
        <w:t xml:space="preserve">are </w:t>
      </w:r>
      <w:r w:rsidR="0059248F">
        <w:rPr>
          <w:color w:val="1F1F1F"/>
          <w:sz w:val="24"/>
          <w:szCs w:val="24"/>
        </w:rPr>
        <w:t>_______________________</w:t>
      </w:r>
      <w:r w:rsidR="000E37EB" w:rsidRPr="007A68A3">
        <w:rPr>
          <w:color w:val="1F1F1F"/>
          <w:sz w:val="24"/>
          <w:szCs w:val="24"/>
        </w:rPr>
        <w:t xml:space="preserve">, </w:t>
      </w:r>
      <w:r w:rsidR="0059248F">
        <w:rPr>
          <w:color w:val="1F1F1F"/>
          <w:sz w:val="24"/>
          <w:szCs w:val="24"/>
        </w:rPr>
        <w:t xml:space="preserve">as shown in the </w:t>
      </w:r>
      <w:r w:rsidR="00685276">
        <w:rPr>
          <w:color w:val="1F1F1F"/>
          <w:sz w:val="24"/>
          <w:szCs w:val="24"/>
        </w:rPr>
        <w:t xml:space="preserve">Zoning Map </w:t>
      </w:r>
      <w:r w:rsidR="00685276" w:rsidRPr="004F03A8">
        <w:rPr>
          <w:sz w:val="24"/>
          <w:szCs w:val="24"/>
        </w:rPr>
        <w:t>attached hereto as exhibit “</w:t>
      </w:r>
      <w:r w:rsidR="00685276">
        <w:rPr>
          <w:sz w:val="24"/>
          <w:szCs w:val="24"/>
        </w:rPr>
        <w:t>C.</w:t>
      </w:r>
      <w:r w:rsidR="00685276" w:rsidRPr="004F03A8">
        <w:rPr>
          <w:sz w:val="24"/>
          <w:szCs w:val="24"/>
        </w:rPr>
        <w:t>”</w:t>
      </w:r>
      <w:r w:rsidR="00685276">
        <w:rPr>
          <w:sz w:val="24"/>
          <w:szCs w:val="24"/>
        </w:rPr>
        <w:t xml:space="preserve"> </w:t>
      </w:r>
      <w:r w:rsidR="00685276">
        <w:rPr>
          <w:color w:val="1C1C1C"/>
          <w:sz w:val="24"/>
          <w:szCs w:val="24"/>
        </w:rPr>
        <w:t xml:space="preserve"> </w:t>
      </w:r>
      <w:r w:rsidRPr="007A68A3">
        <w:rPr>
          <w:color w:val="1F1F1F"/>
          <w:sz w:val="24"/>
          <w:szCs w:val="24"/>
        </w:rPr>
        <w:t xml:space="preserve">As of the Effective Date, no further zoning change or legislative action will be needed to develop the property in accordance with the </w:t>
      </w:r>
      <w:r>
        <w:rPr>
          <w:color w:val="1F1F1F"/>
          <w:sz w:val="24"/>
          <w:szCs w:val="24"/>
        </w:rPr>
        <w:t>Site</w:t>
      </w:r>
      <w:r w:rsidRPr="007A68A3">
        <w:rPr>
          <w:color w:val="1F1F1F"/>
          <w:sz w:val="24"/>
          <w:szCs w:val="24"/>
        </w:rPr>
        <w:t xml:space="preserve"> Plan. </w:t>
      </w:r>
    </w:p>
    <w:p w14:paraId="5D931899" w14:textId="77777777" w:rsidR="00671232" w:rsidRDefault="00671232" w:rsidP="00671232">
      <w:pPr>
        <w:pStyle w:val="ListParagraph"/>
        <w:tabs>
          <w:tab w:val="left" w:pos="1598"/>
          <w:tab w:val="left" w:pos="1599"/>
        </w:tabs>
        <w:spacing w:line="252" w:lineRule="auto"/>
        <w:ind w:left="0" w:right="213" w:firstLine="0"/>
        <w:rPr>
          <w:color w:val="1F1F1F"/>
          <w:sz w:val="24"/>
          <w:szCs w:val="24"/>
        </w:rPr>
      </w:pPr>
    </w:p>
    <w:p w14:paraId="6F238D35" w14:textId="77777777" w:rsidR="0087466B" w:rsidRPr="007A68A3" w:rsidRDefault="00000000" w:rsidP="00F90F8A">
      <w:pPr>
        <w:pStyle w:val="ListParagraph"/>
        <w:numPr>
          <w:ilvl w:val="0"/>
          <w:numId w:val="13"/>
        </w:numPr>
        <w:tabs>
          <w:tab w:val="left" w:pos="1598"/>
          <w:tab w:val="left" w:pos="1599"/>
        </w:tabs>
        <w:spacing w:line="252" w:lineRule="auto"/>
        <w:ind w:left="0" w:right="213" w:firstLine="0"/>
        <w:rPr>
          <w:color w:val="1F1F1F"/>
          <w:sz w:val="24"/>
          <w:szCs w:val="24"/>
        </w:rPr>
      </w:pPr>
      <w:r w:rsidRPr="00671232">
        <w:rPr>
          <w:color w:val="1F1F1F"/>
          <w:sz w:val="24"/>
          <w:szCs w:val="24"/>
          <w:u w:val="single"/>
        </w:rPr>
        <w:t>Previous Approvals</w:t>
      </w:r>
      <w:r>
        <w:rPr>
          <w:color w:val="1F1F1F"/>
          <w:sz w:val="24"/>
          <w:szCs w:val="24"/>
        </w:rPr>
        <w:t xml:space="preserve">. Upon full execution of this Agreement by both parties, the previous development approvals received by Developer from Tooele County shall be replaced in full by the terms hereunder. The parties intend that, if the parties do not enter into this Agreement, Developer shall </w:t>
      </w:r>
      <w:r w:rsidR="00A253BC">
        <w:rPr>
          <w:color w:val="1F1F1F"/>
          <w:sz w:val="24"/>
          <w:szCs w:val="24"/>
        </w:rPr>
        <w:t>continue</w:t>
      </w:r>
      <w:r>
        <w:rPr>
          <w:color w:val="1F1F1F"/>
          <w:sz w:val="24"/>
          <w:szCs w:val="24"/>
        </w:rPr>
        <w:t xml:space="preserve"> the development</w:t>
      </w:r>
      <w:r w:rsidR="00A253BC">
        <w:rPr>
          <w:color w:val="1F1F1F"/>
          <w:sz w:val="24"/>
          <w:szCs w:val="24"/>
        </w:rPr>
        <w:t xml:space="preserve"> in accordance with the previous vesting and under County ordinances.</w:t>
      </w:r>
    </w:p>
    <w:p w14:paraId="41ED0C1C" w14:textId="77777777" w:rsidR="007A68A3" w:rsidRPr="007A68A3" w:rsidRDefault="007A68A3" w:rsidP="007A68A3">
      <w:pPr>
        <w:pStyle w:val="ListParagraph"/>
        <w:tabs>
          <w:tab w:val="left" w:pos="1598"/>
          <w:tab w:val="left" w:pos="1599"/>
        </w:tabs>
        <w:spacing w:line="252" w:lineRule="auto"/>
        <w:ind w:left="360" w:right="213" w:firstLine="0"/>
        <w:rPr>
          <w:color w:val="1F1F1F"/>
          <w:sz w:val="24"/>
          <w:szCs w:val="24"/>
        </w:rPr>
      </w:pPr>
    </w:p>
    <w:p w14:paraId="3DF670B4" w14:textId="77777777" w:rsidR="0081368F" w:rsidRDefault="00000000" w:rsidP="0081368F">
      <w:pPr>
        <w:pStyle w:val="ListParagraph"/>
        <w:numPr>
          <w:ilvl w:val="0"/>
          <w:numId w:val="13"/>
        </w:numPr>
        <w:tabs>
          <w:tab w:val="left" w:pos="1598"/>
          <w:tab w:val="left" w:pos="1599"/>
        </w:tabs>
        <w:spacing w:line="252" w:lineRule="auto"/>
        <w:ind w:right="213"/>
        <w:rPr>
          <w:color w:val="1F1F1F"/>
          <w:sz w:val="24"/>
          <w:szCs w:val="24"/>
        </w:rPr>
      </w:pPr>
      <w:r w:rsidRPr="0087466B">
        <w:rPr>
          <w:color w:val="1F1F1F"/>
          <w:sz w:val="24"/>
          <w:szCs w:val="24"/>
          <w:u w:val="single"/>
        </w:rPr>
        <w:t>Vested Rights</w:t>
      </w:r>
      <w:r w:rsidRPr="0087466B">
        <w:rPr>
          <w:color w:val="1F1F1F"/>
          <w:sz w:val="24"/>
          <w:szCs w:val="24"/>
        </w:rPr>
        <w:t xml:space="preserve">. </w:t>
      </w:r>
    </w:p>
    <w:p w14:paraId="324E7DC3" w14:textId="77777777" w:rsidR="00F61384" w:rsidRPr="00671232" w:rsidRDefault="00F61384" w:rsidP="00110EF0">
      <w:pPr>
        <w:pStyle w:val="ListParagraph"/>
        <w:rPr>
          <w:color w:val="1F1F1F"/>
          <w:sz w:val="24"/>
          <w:szCs w:val="24"/>
        </w:rPr>
      </w:pPr>
    </w:p>
    <w:p w14:paraId="083B698D" w14:textId="77777777" w:rsidR="00F61384" w:rsidRDefault="00000000" w:rsidP="00671232">
      <w:pPr>
        <w:pStyle w:val="ListParagraph"/>
        <w:numPr>
          <w:ilvl w:val="1"/>
          <w:numId w:val="13"/>
        </w:numPr>
        <w:tabs>
          <w:tab w:val="left" w:pos="1598"/>
          <w:tab w:val="left" w:pos="1599"/>
        </w:tabs>
        <w:spacing w:line="252" w:lineRule="auto"/>
        <w:ind w:right="213"/>
        <w:rPr>
          <w:color w:val="1F1F1F"/>
          <w:sz w:val="24"/>
          <w:szCs w:val="24"/>
        </w:rPr>
      </w:pPr>
      <w:r>
        <w:rPr>
          <w:color w:val="1F1F1F"/>
          <w:sz w:val="24"/>
          <w:szCs w:val="24"/>
        </w:rPr>
        <w:t>Vesting.</w:t>
      </w:r>
    </w:p>
    <w:p w14:paraId="6A4CF32D" w14:textId="77777777" w:rsidR="00685276" w:rsidRPr="004F03A8" w:rsidRDefault="00000000" w:rsidP="00110EF0">
      <w:pPr>
        <w:tabs>
          <w:tab w:val="left" w:pos="1598"/>
          <w:tab w:val="left" w:pos="1599"/>
        </w:tabs>
        <w:spacing w:line="252" w:lineRule="auto"/>
        <w:ind w:right="213"/>
      </w:pPr>
      <w:r>
        <w:rPr>
          <w:color w:val="1F1F1F"/>
          <w:sz w:val="24"/>
          <w:szCs w:val="24"/>
        </w:rPr>
        <w:t>T</w:t>
      </w:r>
      <w:r w:rsidR="00AF34D0" w:rsidRPr="0081368F">
        <w:t xml:space="preserve">he Parties specifically intend and agree that this Agreement grants to the Developer “vested rights” pursuant to Utah Code § 10-9a-509 and as that term is construed in Utah’s common law. Accordingly, </w:t>
      </w:r>
      <w:r w:rsidR="00920871">
        <w:t>u</w:t>
      </w:r>
      <w:r w:rsidRPr="004F03A8">
        <w:t xml:space="preserve">pon full execution by Developer and the City of this Agreement and recording </w:t>
      </w:r>
      <w:r w:rsidR="007B6144">
        <w:t xml:space="preserve">this Agreement </w:t>
      </w:r>
      <w:r w:rsidRPr="004F03A8">
        <w:t xml:space="preserve">in the Office of the </w:t>
      </w:r>
      <w:r w:rsidR="00920871">
        <w:t>Tooele</w:t>
      </w:r>
      <w:r w:rsidRPr="004F03A8">
        <w:t xml:space="preserve"> County Recorder, this Agreement shall vest the Developer with the right to </w:t>
      </w:r>
      <w:r w:rsidRPr="004F03A8">
        <w:lastRenderedPageBreak/>
        <w:t>develop the Project in accordance with this Agreement, the ordinances, policies, and standards but not procedures of the City in effect as of the date of this Agreement. The City acknowledges and approves development of the Project in several phases as described in the</w:t>
      </w:r>
      <w:r w:rsidR="007B6144">
        <w:t xml:space="preserve"> phasing plan (“</w:t>
      </w:r>
      <w:r w:rsidR="007B6144" w:rsidRPr="00362F97">
        <w:rPr>
          <w:b/>
        </w:rPr>
        <w:t>Phasing Plan</w:t>
      </w:r>
      <w:r w:rsidR="007B6144">
        <w:t>”)</w:t>
      </w:r>
      <w:r w:rsidR="007B6144" w:rsidRPr="007B6144">
        <w:rPr>
          <w:sz w:val="24"/>
          <w:szCs w:val="24"/>
        </w:rPr>
        <w:t xml:space="preserve"> </w:t>
      </w:r>
      <w:r w:rsidR="007B6144" w:rsidRPr="004F03A8">
        <w:rPr>
          <w:sz w:val="24"/>
          <w:szCs w:val="24"/>
        </w:rPr>
        <w:t xml:space="preserve">attached hereto as </w:t>
      </w:r>
      <w:r w:rsidR="00362F97">
        <w:rPr>
          <w:sz w:val="24"/>
          <w:szCs w:val="24"/>
        </w:rPr>
        <w:t>E</w:t>
      </w:r>
      <w:r w:rsidR="007B6144" w:rsidRPr="004F03A8">
        <w:rPr>
          <w:sz w:val="24"/>
          <w:szCs w:val="24"/>
        </w:rPr>
        <w:t>xhibit “</w:t>
      </w:r>
      <w:r w:rsidR="007B6144">
        <w:rPr>
          <w:sz w:val="24"/>
          <w:szCs w:val="24"/>
        </w:rPr>
        <w:t>D</w:t>
      </w:r>
      <w:r w:rsidRPr="004F03A8">
        <w:t>. The vesting of Developer</w:t>
      </w:r>
      <w:r w:rsidR="00362F97">
        <w:t>’</w:t>
      </w:r>
      <w:r w:rsidRPr="004F03A8">
        <w:t xml:space="preserve">s rights to develop the Project in accordance with this Agreement, the ordinances, policies, and standards but not procedures of the City in effect as of the date of this Agreement are subject to the following exceptions: </w:t>
      </w:r>
      <w:r w:rsidRPr="004F03A8">
        <w:br/>
      </w:r>
    </w:p>
    <w:p w14:paraId="251A04F4" w14:textId="77777777" w:rsidR="00685276" w:rsidRDefault="00000000" w:rsidP="00362F97">
      <w:pPr>
        <w:pStyle w:val="ColorfulList-Accent11"/>
        <w:numPr>
          <w:ilvl w:val="2"/>
          <w:numId w:val="16"/>
        </w:numPr>
        <w:tabs>
          <w:tab w:val="left" w:pos="1440"/>
          <w:tab w:val="left" w:pos="1890"/>
          <w:tab w:val="left" w:pos="2160"/>
        </w:tabs>
        <w:ind w:left="1080" w:hanging="90"/>
        <w:outlineLvl w:val="4"/>
      </w:pPr>
      <w:bookmarkStart w:id="0" w:name="_Toc203378681"/>
      <w:r w:rsidRPr="004F03A8">
        <w:rPr>
          <w:u w:val="single"/>
        </w:rPr>
        <w:t xml:space="preserve"> City/Developer Agreement.</w:t>
      </w:r>
      <w:r w:rsidRPr="004F03A8">
        <w:t xml:space="preserve">  City’s future laws that Developer agrees in writing to the application thereof to the </w:t>
      </w:r>
      <w:proofErr w:type="gramStart"/>
      <w:r w:rsidRPr="004F03A8">
        <w:t>Project;</w:t>
      </w:r>
      <w:bookmarkEnd w:id="0"/>
      <w:proofErr w:type="gramEnd"/>
      <w:r w:rsidRPr="004F03A8">
        <w:t xml:space="preserve"> </w:t>
      </w:r>
    </w:p>
    <w:p w14:paraId="723CC4ED" w14:textId="77777777" w:rsidR="008803F6" w:rsidRPr="004F03A8" w:rsidRDefault="008803F6" w:rsidP="008803F6">
      <w:pPr>
        <w:pStyle w:val="ColorfulList-Accent11"/>
        <w:tabs>
          <w:tab w:val="left" w:pos="1440"/>
          <w:tab w:val="left" w:pos="1890"/>
          <w:tab w:val="left" w:pos="2160"/>
        </w:tabs>
        <w:ind w:left="1080"/>
        <w:outlineLvl w:val="4"/>
      </w:pPr>
    </w:p>
    <w:p w14:paraId="205BB275" w14:textId="77777777" w:rsidR="00685276" w:rsidRDefault="00000000" w:rsidP="00685276">
      <w:pPr>
        <w:pStyle w:val="ColorfulList-Accent11"/>
        <w:numPr>
          <w:ilvl w:val="2"/>
          <w:numId w:val="16"/>
        </w:numPr>
        <w:tabs>
          <w:tab w:val="left" w:pos="1440"/>
          <w:tab w:val="left" w:pos="1890"/>
          <w:tab w:val="left" w:pos="2160"/>
        </w:tabs>
        <w:ind w:left="1080"/>
      </w:pPr>
      <w:r w:rsidRPr="004F03A8">
        <w:rPr>
          <w:u w:val="single"/>
        </w:rPr>
        <w:t>State and Federal Compliance.</w:t>
      </w:r>
      <w:r w:rsidRPr="004F03A8">
        <w:t xml:space="preserve">  City’s future laws which are generally applicable to all properties in the </w:t>
      </w:r>
      <w:r w:rsidR="00EE2515" w:rsidRPr="004F03A8">
        <w:t>City,</w:t>
      </w:r>
      <w:r w:rsidRPr="004F03A8">
        <w:t xml:space="preserve"> and which are required to comply with State and Federal laws and regulations affecting the </w:t>
      </w:r>
      <w:proofErr w:type="gramStart"/>
      <w:r w:rsidRPr="004F03A8">
        <w:t>Project;</w:t>
      </w:r>
      <w:proofErr w:type="gramEnd"/>
      <w:r w:rsidRPr="004F03A8">
        <w:t xml:space="preserve"> </w:t>
      </w:r>
    </w:p>
    <w:p w14:paraId="78D9FDCE" w14:textId="77777777" w:rsidR="008803F6" w:rsidRPr="004F03A8" w:rsidRDefault="008803F6" w:rsidP="008803F6">
      <w:pPr>
        <w:pStyle w:val="ColorfulList-Accent11"/>
        <w:tabs>
          <w:tab w:val="left" w:pos="1440"/>
          <w:tab w:val="left" w:pos="1890"/>
          <w:tab w:val="left" w:pos="2160"/>
        </w:tabs>
        <w:ind w:left="1080"/>
      </w:pPr>
    </w:p>
    <w:p w14:paraId="5DEAB6BA" w14:textId="77777777" w:rsidR="00685276" w:rsidRDefault="00000000" w:rsidP="00685276">
      <w:pPr>
        <w:pStyle w:val="ColorfulList-Accent11"/>
        <w:numPr>
          <w:ilvl w:val="2"/>
          <w:numId w:val="16"/>
        </w:numPr>
        <w:tabs>
          <w:tab w:val="left" w:pos="1440"/>
          <w:tab w:val="left" w:pos="1890"/>
          <w:tab w:val="left" w:pos="2160"/>
        </w:tabs>
        <w:ind w:left="1080"/>
      </w:pPr>
      <w:r w:rsidRPr="004F03A8">
        <w:rPr>
          <w:u w:val="single"/>
        </w:rPr>
        <w:t>Codes.</w:t>
      </w:r>
      <w:r w:rsidRPr="004F03A8">
        <w:t xml:space="preserve">  City’s Future Laws that are updates or amendments to existing building, plumbing, mechanical, electrical, dangerous buildings, drainage, or similar construction or safety related codes, such as the International Building Code, the APWA Specifications, AAHSTO Standards, the Manual of Uniform Traffic Control Devices or similar standards that are generated by a nationally or statewide recognized construction/safety organization, or by the State or Federal governments and are required to meet legitimate concerns related to public health, safety or welfare; </w:t>
      </w:r>
    </w:p>
    <w:p w14:paraId="1070F72F" w14:textId="77777777" w:rsidR="008803F6" w:rsidRPr="004F03A8" w:rsidRDefault="008803F6" w:rsidP="008803F6">
      <w:pPr>
        <w:pStyle w:val="ColorfulList-Accent11"/>
        <w:tabs>
          <w:tab w:val="left" w:pos="1440"/>
          <w:tab w:val="left" w:pos="1890"/>
          <w:tab w:val="left" w:pos="2160"/>
        </w:tabs>
        <w:ind w:left="1080"/>
      </w:pPr>
    </w:p>
    <w:p w14:paraId="58C771FB" w14:textId="77777777" w:rsidR="00685276" w:rsidRDefault="00000000" w:rsidP="00685276">
      <w:pPr>
        <w:pStyle w:val="ColorfulList-Accent11"/>
        <w:numPr>
          <w:ilvl w:val="2"/>
          <w:numId w:val="16"/>
        </w:numPr>
        <w:tabs>
          <w:tab w:val="left" w:pos="1440"/>
          <w:tab w:val="left" w:pos="1890"/>
          <w:tab w:val="left" w:pos="2160"/>
        </w:tabs>
        <w:ind w:left="1080"/>
      </w:pPr>
      <w:r w:rsidRPr="004F03A8">
        <w:rPr>
          <w:u w:val="single"/>
        </w:rPr>
        <w:t>Taxes.</w:t>
      </w:r>
      <w:r w:rsidRPr="004F03A8">
        <w:t xml:space="preserve">  Taxes, or modifications thereto, so long as such taxes are lawfully imposed and charged uniformly by the City to all properties, applications, persons, and entities similarly situated; or,</w:t>
      </w:r>
    </w:p>
    <w:p w14:paraId="766C94F4" w14:textId="77777777" w:rsidR="008803F6" w:rsidRPr="004F03A8" w:rsidRDefault="008803F6" w:rsidP="008803F6">
      <w:pPr>
        <w:pStyle w:val="ColorfulList-Accent11"/>
        <w:tabs>
          <w:tab w:val="left" w:pos="1440"/>
          <w:tab w:val="left" w:pos="1890"/>
          <w:tab w:val="left" w:pos="2160"/>
        </w:tabs>
        <w:ind w:left="1080"/>
      </w:pPr>
    </w:p>
    <w:p w14:paraId="3E9B4EA0" w14:textId="77777777" w:rsidR="00685276" w:rsidRDefault="00000000" w:rsidP="00685276">
      <w:pPr>
        <w:pStyle w:val="ColorfulList-Accent11"/>
        <w:numPr>
          <w:ilvl w:val="2"/>
          <w:numId w:val="16"/>
        </w:numPr>
        <w:tabs>
          <w:tab w:val="left" w:pos="1440"/>
          <w:tab w:val="left" w:pos="1890"/>
          <w:tab w:val="left" w:pos="2160"/>
        </w:tabs>
        <w:ind w:left="1080"/>
      </w:pPr>
      <w:r w:rsidRPr="004F03A8">
        <w:rPr>
          <w:u w:val="single"/>
        </w:rPr>
        <w:t>Fees.</w:t>
      </w:r>
      <w:r w:rsidRPr="004F03A8">
        <w:t xml:space="preserve">  Changes to the amounts of fees for the processing of development applications that are generally applicable to all development within the </w:t>
      </w:r>
      <w:proofErr w:type="gramStart"/>
      <w:r w:rsidRPr="004F03A8">
        <w:t>City</w:t>
      </w:r>
      <w:proofErr w:type="gramEnd"/>
      <w:r w:rsidRPr="004F03A8">
        <w:t xml:space="preserve"> (or a portion of the City as specified in the lawfully adopted fee schedule).</w:t>
      </w:r>
    </w:p>
    <w:p w14:paraId="67241EDF" w14:textId="77777777" w:rsidR="008803F6" w:rsidRPr="004F03A8" w:rsidRDefault="008803F6" w:rsidP="008803F6">
      <w:pPr>
        <w:pStyle w:val="ColorfulList-Accent11"/>
        <w:tabs>
          <w:tab w:val="left" w:pos="1440"/>
          <w:tab w:val="left" w:pos="1890"/>
          <w:tab w:val="left" w:pos="2160"/>
        </w:tabs>
        <w:ind w:left="1080"/>
      </w:pPr>
    </w:p>
    <w:p w14:paraId="6FC14D8A" w14:textId="77777777" w:rsidR="00685276" w:rsidRDefault="00000000" w:rsidP="00685276">
      <w:pPr>
        <w:pStyle w:val="ColorfulList-Accent11"/>
        <w:numPr>
          <w:ilvl w:val="2"/>
          <w:numId w:val="16"/>
        </w:numPr>
        <w:tabs>
          <w:tab w:val="left" w:pos="1440"/>
          <w:tab w:val="left" w:pos="1890"/>
          <w:tab w:val="left" w:pos="2160"/>
        </w:tabs>
        <w:ind w:left="1080"/>
      </w:pPr>
      <w:r w:rsidRPr="004F03A8">
        <w:rPr>
          <w:u w:val="single"/>
        </w:rPr>
        <w:t>Compelling, Countervailing Interest.</w:t>
      </w:r>
      <w:r w:rsidRPr="004F03A8">
        <w:t xml:space="preserve">  Laws, rules, or regulations that the City’s land use authority finds on the record, are necessary to avoid jeopardizing a compelling, countervailing public interest pursuant to Utah Code Ann. § 10-9a-509(1)(a)(</w:t>
      </w:r>
      <w:proofErr w:type="spellStart"/>
      <w:r w:rsidRPr="004F03A8">
        <w:t>i</w:t>
      </w:r>
      <w:proofErr w:type="spellEnd"/>
      <w:r w:rsidRPr="004F03A8">
        <w:t>).</w:t>
      </w:r>
    </w:p>
    <w:p w14:paraId="65C8A2FD" w14:textId="77777777" w:rsidR="008803F6" w:rsidRDefault="008803F6" w:rsidP="008803F6">
      <w:pPr>
        <w:pStyle w:val="ColorfulList-Accent11"/>
        <w:tabs>
          <w:tab w:val="left" w:pos="1440"/>
          <w:tab w:val="left" w:pos="1890"/>
          <w:tab w:val="left" w:pos="2160"/>
        </w:tabs>
        <w:ind w:left="1080"/>
      </w:pPr>
    </w:p>
    <w:p w14:paraId="5D21A77D" w14:textId="77777777" w:rsidR="00920871" w:rsidRDefault="00000000" w:rsidP="006D1CD8">
      <w:pPr>
        <w:pStyle w:val="ColorfulList-Accent11"/>
        <w:numPr>
          <w:ilvl w:val="2"/>
          <w:numId w:val="16"/>
        </w:numPr>
        <w:tabs>
          <w:tab w:val="left" w:pos="1440"/>
          <w:tab w:val="left" w:pos="1890"/>
          <w:tab w:val="left" w:pos="2160"/>
        </w:tabs>
        <w:ind w:left="1080"/>
      </w:pPr>
      <w:r>
        <w:t xml:space="preserve">Future Impact Fees. </w:t>
      </w:r>
      <w:r w:rsidRPr="00362F97">
        <w:t xml:space="preserve">Impact Fees or modifications thereto which are lawfully adopted, </w:t>
      </w:r>
      <w:r w:rsidRPr="006D1CD8">
        <w:t>imposed,</w:t>
      </w:r>
      <w:r w:rsidRPr="00362F97">
        <w:t xml:space="preserve"> and collected, </w:t>
      </w:r>
      <w:r>
        <w:t>provided any</w:t>
      </w:r>
      <w:r w:rsidRPr="00362F97">
        <w:t xml:space="preserve"> Impact Fee imposed upon Developer or any </w:t>
      </w:r>
      <w:r>
        <w:t>s</w:t>
      </w:r>
      <w:r w:rsidRPr="00362F97">
        <w:t>ub</w:t>
      </w:r>
      <w:r>
        <w:t>-</w:t>
      </w:r>
      <w:r w:rsidRPr="00362F97">
        <w:t>developers will not exceed the uniformly assessed individual impact fee applied toward all developments within the service area where the Property is located</w:t>
      </w:r>
      <w:r>
        <w:t>.</w:t>
      </w:r>
    </w:p>
    <w:p w14:paraId="6F234F9B" w14:textId="77777777" w:rsidR="0081368F" w:rsidRPr="008803F6" w:rsidRDefault="0081368F" w:rsidP="008803F6">
      <w:pPr>
        <w:tabs>
          <w:tab w:val="left" w:pos="1598"/>
          <w:tab w:val="left" w:pos="1599"/>
        </w:tabs>
        <w:spacing w:line="252" w:lineRule="auto"/>
        <w:ind w:right="213"/>
        <w:rPr>
          <w:color w:val="1F1F1F"/>
          <w:sz w:val="24"/>
          <w:szCs w:val="24"/>
        </w:rPr>
      </w:pPr>
    </w:p>
    <w:p w14:paraId="38B1EE69" w14:textId="77777777" w:rsidR="00E24B6E" w:rsidRPr="00E24B6E" w:rsidRDefault="00000000" w:rsidP="00E24B6E">
      <w:pPr>
        <w:pStyle w:val="ListParagraph"/>
        <w:numPr>
          <w:ilvl w:val="1"/>
          <w:numId w:val="13"/>
        </w:numPr>
        <w:tabs>
          <w:tab w:val="left" w:pos="1598"/>
          <w:tab w:val="left" w:pos="1599"/>
        </w:tabs>
        <w:spacing w:line="252" w:lineRule="auto"/>
        <w:ind w:right="213"/>
        <w:rPr>
          <w:color w:val="1F1F1F"/>
          <w:sz w:val="24"/>
          <w:szCs w:val="24"/>
        </w:rPr>
      </w:pPr>
      <w:r w:rsidRPr="0081368F">
        <w:rPr>
          <w:color w:val="1F1F1F"/>
          <w:sz w:val="24"/>
          <w:szCs w:val="24"/>
          <w:u w:val="single"/>
        </w:rPr>
        <w:t>Conflicts</w:t>
      </w:r>
      <w:r w:rsidRPr="0081368F">
        <w:rPr>
          <w:color w:val="1F1F1F"/>
          <w:sz w:val="24"/>
          <w:szCs w:val="24"/>
        </w:rPr>
        <w:t xml:space="preserve">. </w:t>
      </w:r>
      <w:r w:rsidR="000F2CE7">
        <w:rPr>
          <w:color w:val="1F1F1F"/>
          <w:sz w:val="24"/>
          <w:szCs w:val="24"/>
        </w:rPr>
        <w:t xml:space="preserve">In the event of conflict </w:t>
      </w:r>
      <w:r w:rsidRPr="0081368F">
        <w:rPr>
          <w:color w:val="1F1F1F"/>
          <w:sz w:val="24"/>
          <w:szCs w:val="24"/>
        </w:rPr>
        <w:t xml:space="preserve">with the terms of this Agreement, State Code, and the </w:t>
      </w:r>
      <w:r w:rsidR="00E84038">
        <w:rPr>
          <w:color w:val="1F1F1F"/>
          <w:sz w:val="24"/>
          <w:szCs w:val="24"/>
        </w:rPr>
        <w:t>City</w:t>
      </w:r>
      <w:r w:rsidR="003724BB" w:rsidRPr="0081368F">
        <w:rPr>
          <w:color w:val="1F1F1F"/>
          <w:sz w:val="24"/>
          <w:szCs w:val="24"/>
        </w:rPr>
        <w:t xml:space="preserve"> ordinances</w:t>
      </w:r>
      <w:r w:rsidR="000F2CE7">
        <w:rPr>
          <w:color w:val="1F1F1F"/>
          <w:sz w:val="24"/>
          <w:szCs w:val="24"/>
        </w:rPr>
        <w:t xml:space="preserve">, the order of </w:t>
      </w:r>
      <w:proofErr w:type="spellStart"/>
      <w:r w:rsidR="000F2CE7">
        <w:rPr>
          <w:color w:val="1F1F1F"/>
          <w:sz w:val="24"/>
          <w:szCs w:val="24"/>
        </w:rPr>
        <w:t>presecence</w:t>
      </w:r>
      <w:proofErr w:type="spellEnd"/>
      <w:r w:rsidR="000F2CE7">
        <w:rPr>
          <w:color w:val="1F1F1F"/>
          <w:sz w:val="24"/>
          <w:szCs w:val="24"/>
        </w:rPr>
        <w:t xml:space="preserve"> shall be (</w:t>
      </w:r>
      <w:proofErr w:type="spellStart"/>
      <w:r w:rsidR="000F2CE7">
        <w:rPr>
          <w:color w:val="1F1F1F"/>
          <w:sz w:val="24"/>
          <w:szCs w:val="24"/>
        </w:rPr>
        <w:t>i</w:t>
      </w:r>
      <w:proofErr w:type="spellEnd"/>
      <w:r w:rsidR="000F2CE7">
        <w:rPr>
          <w:color w:val="1F1F1F"/>
          <w:sz w:val="24"/>
          <w:szCs w:val="24"/>
        </w:rPr>
        <w:t xml:space="preserve">) shall be State Code, (ii) this Agreement, and (iii) City </w:t>
      </w:r>
      <w:r w:rsidR="00EE2515">
        <w:rPr>
          <w:color w:val="1F1F1F"/>
          <w:sz w:val="24"/>
          <w:szCs w:val="24"/>
        </w:rPr>
        <w:t>Ordinances</w:t>
      </w:r>
      <w:r w:rsidRPr="0081368F">
        <w:rPr>
          <w:color w:val="1F1F1F"/>
          <w:sz w:val="24"/>
          <w:szCs w:val="24"/>
        </w:rPr>
        <w:t>.</w:t>
      </w:r>
      <w:r w:rsidR="000D5E62" w:rsidRPr="000D5E62">
        <w:t xml:space="preserve"> </w:t>
      </w:r>
    </w:p>
    <w:p w14:paraId="1D140ACA" w14:textId="77777777" w:rsidR="00E24B6E" w:rsidRPr="00E24B6E" w:rsidRDefault="00E24B6E" w:rsidP="00E24B6E">
      <w:pPr>
        <w:pStyle w:val="ListParagraph"/>
        <w:tabs>
          <w:tab w:val="left" w:pos="1598"/>
          <w:tab w:val="left" w:pos="1599"/>
        </w:tabs>
        <w:spacing w:line="252" w:lineRule="auto"/>
        <w:ind w:left="792" w:right="213" w:firstLine="0"/>
        <w:rPr>
          <w:color w:val="1F1F1F"/>
          <w:sz w:val="24"/>
          <w:szCs w:val="24"/>
        </w:rPr>
      </w:pPr>
    </w:p>
    <w:p w14:paraId="24EE964A" w14:textId="77777777" w:rsidR="009F52FD" w:rsidRDefault="00000000" w:rsidP="000D5E62">
      <w:pPr>
        <w:pStyle w:val="ListParagraph"/>
        <w:numPr>
          <w:ilvl w:val="1"/>
          <w:numId w:val="13"/>
        </w:numPr>
        <w:tabs>
          <w:tab w:val="left" w:pos="1598"/>
          <w:tab w:val="left" w:pos="1599"/>
        </w:tabs>
        <w:spacing w:line="252" w:lineRule="auto"/>
        <w:ind w:right="213"/>
        <w:rPr>
          <w:color w:val="1F1F1F"/>
          <w:sz w:val="24"/>
          <w:szCs w:val="24"/>
        </w:rPr>
      </w:pPr>
      <w:r w:rsidRPr="008803F6">
        <w:rPr>
          <w:color w:val="1F1F1F"/>
          <w:sz w:val="24"/>
          <w:szCs w:val="24"/>
          <w:u w:val="single"/>
        </w:rPr>
        <w:t>Changes to Project</w:t>
      </w:r>
      <w:r w:rsidRPr="008803F6">
        <w:rPr>
          <w:color w:val="1F1F1F"/>
          <w:sz w:val="24"/>
          <w:szCs w:val="24"/>
        </w:rPr>
        <w:t xml:space="preserve">. No material modifications to the Site Plan shall be made after </w:t>
      </w:r>
      <w:r w:rsidRPr="008803F6">
        <w:rPr>
          <w:color w:val="1F1F1F"/>
          <w:sz w:val="24"/>
          <w:szCs w:val="24"/>
        </w:rPr>
        <w:lastRenderedPageBreak/>
        <w:t>approval by City without City Council’s written approval of such modification. For purposes of this Agreement, a material modification shall mean any modification except (</w:t>
      </w:r>
      <w:proofErr w:type="spellStart"/>
      <w:r w:rsidRPr="008803F6">
        <w:rPr>
          <w:color w:val="1F1F1F"/>
          <w:sz w:val="24"/>
          <w:szCs w:val="24"/>
        </w:rPr>
        <w:t>i</w:t>
      </w:r>
      <w:proofErr w:type="spellEnd"/>
      <w:r w:rsidRPr="008803F6">
        <w:rPr>
          <w:color w:val="1F1F1F"/>
          <w:sz w:val="24"/>
          <w:szCs w:val="24"/>
        </w:rPr>
        <w:t>) the location of on-site infrastructure, including utility lines and stub outs to adjacent developments, (ii) minor technical edits or inconsistencies necessary to clarify or modify documents consistent with their intended purpose (including, without limitation, the Development Standards) and waivers of the Development Standards</w:t>
      </w:r>
      <w:r w:rsidR="00E24B6E" w:rsidRPr="008803F6">
        <w:rPr>
          <w:color w:val="1F1F1F"/>
          <w:sz w:val="24"/>
          <w:szCs w:val="24"/>
        </w:rPr>
        <w:t>, (iii) amendments to the phasing plan, or (iv) any modification agreed to be non-mater</w:t>
      </w:r>
      <w:r w:rsidR="008803F6">
        <w:rPr>
          <w:color w:val="1F1F1F"/>
          <w:sz w:val="24"/>
          <w:szCs w:val="24"/>
        </w:rPr>
        <w:t>ial by Developer or City Staff.</w:t>
      </w:r>
    </w:p>
    <w:p w14:paraId="7008637B" w14:textId="77777777" w:rsidR="008803F6" w:rsidRPr="008803F6" w:rsidRDefault="008803F6" w:rsidP="008803F6">
      <w:pPr>
        <w:pStyle w:val="ListParagraph"/>
        <w:tabs>
          <w:tab w:val="left" w:pos="1598"/>
          <w:tab w:val="left" w:pos="1599"/>
        </w:tabs>
        <w:spacing w:line="252" w:lineRule="auto"/>
        <w:ind w:left="792" w:right="213" w:firstLine="0"/>
        <w:rPr>
          <w:color w:val="1F1F1F"/>
          <w:sz w:val="24"/>
          <w:szCs w:val="24"/>
        </w:rPr>
      </w:pPr>
    </w:p>
    <w:p w14:paraId="0CDD5448" w14:textId="77777777" w:rsidR="009F52FD" w:rsidRPr="007D2C82" w:rsidRDefault="00000000" w:rsidP="009F52FD">
      <w:pPr>
        <w:pStyle w:val="ListParagraph"/>
        <w:numPr>
          <w:ilvl w:val="1"/>
          <w:numId w:val="13"/>
        </w:numPr>
        <w:tabs>
          <w:tab w:val="left" w:pos="1598"/>
          <w:tab w:val="left" w:pos="1599"/>
        </w:tabs>
        <w:spacing w:line="252" w:lineRule="auto"/>
        <w:ind w:right="213"/>
        <w:rPr>
          <w:color w:val="1F1F1F"/>
          <w:sz w:val="24"/>
          <w:szCs w:val="24"/>
        </w:rPr>
      </w:pPr>
      <w:r>
        <w:rPr>
          <w:sz w:val="24"/>
          <w:szCs w:val="24"/>
          <w:u w:val="single"/>
        </w:rPr>
        <w:t>Site Plan</w:t>
      </w:r>
      <w:r w:rsidR="000F2CE7">
        <w:rPr>
          <w:sz w:val="24"/>
          <w:szCs w:val="24"/>
          <w:u w:val="single"/>
        </w:rPr>
        <w:t>/Phasing Plan</w:t>
      </w:r>
      <w:r w:rsidR="00AF34D0" w:rsidRPr="009F52FD">
        <w:rPr>
          <w:sz w:val="24"/>
          <w:szCs w:val="24"/>
          <w:u w:val="single"/>
        </w:rPr>
        <w:t xml:space="preserve"> Approval</w:t>
      </w:r>
      <w:r w:rsidR="00AF34D0" w:rsidRPr="009F52FD">
        <w:rPr>
          <w:sz w:val="24"/>
          <w:szCs w:val="24"/>
        </w:rPr>
        <w:t xml:space="preserve">. Approval of this Agreement shall include approval of the attached </w:t>
      </w:r>
      <w:r>
        <w:rPr>
          <w:sz w:val="24"/>
          <w:szCs w:val="24"/>
        </w:rPr>
        <w:t>Site Plan</w:t>
      </w:r>
      <w:r w:rsidR="000F2CE7">
        <w:rPr>
          <w:sz w:val="24"/>
          <w:szCs w:val="24"/>
        </w:rPr>
        <w:t xml:space="preserve"> and Phasing Plan</w:t>
      </w:r>
      <w:r w:rsidR="00AF34D0" w:rsidRPr="009F52FD">
        <w:rPr>
          <w:sz w:val="24"/>
          <w:szCs w:val="24"/>
        </w:rPr>
        <w:t xml:space="preserve">. Development will generally occur as set forth </w:t>
      </w:r>
      <w:r w:rsidR="000F2CE7">
        <w:rPr>
          <w:sz w:val="24"/>
          <w:szCs w:val="24"/>
        </w:rPr>
        <w:t>in the Site Plan and Phasing Plan</w:t>
      </w:r>
      <w:r w:rsidR="00AF34D0" w:rsidRPr="009F52FD">
        <w:rPr>
          <w:sz w:val="24"/>
          <w:szCs w:val="24"/>
        </w:rPr>
        <w:t xml:space="preserve">. </w:t>
      </w:r>
    </w:p>
    <w:p w14:paraId="21F70588" w14:textId="77777777" w:rsidR="00835EC5" w:rsidRPr="007D2C82" w:rsidRDefault="00835EC5" w:rsidP="007D2C82">
      <w:pPr>
        <w:pStyle w:val="ListParagraph"/>
        <w:tabs>
          <w:tab w:val="left" w:pos="1598"/>
          <w:tab w:val="left" w:pos="1599"/>
        </w:tabs>
        <w:spacing w:line="252" w:lineRule="auto"/>
        <w:ind w:left="792" w:right="213" w:firstLine="0"/>
        <w:rPr>
          <w:color w:val="1F1F1F"/>
          <w:sz w:val="24"/>
          <w:szCs w:val="24"/>
        </w:rPr>
      </w:pPr>
    </w:p>
    <w:p w14:paraId="1C9BEECD" w14:textId="77777777" w:rsidR="00835EC5" w:rsidRPr="009F52FD" w:rsidRDefault="00000000" w:rsidP="00835EC5">
      <w:pPr>
        <w:pStyle w:val="ListParagraph"/>
        <w:numPr>
          <w:ilvl w:val="1"/>
          <w:numId w:val="13"/>
        </w:numPr>
        <w:tabs>
          <w:tab w:val="left" w:pos="1598"/>
          <w:tab w:val="left" w:pos="1599"/>
        </w:tabs>
        <w:spacing w:line="252" w:lineRule="auto"/>
        <w:ind w:right="213"/>
        <w:rPr>
          <w:color w:val="1F1F1F"/>
          <w:sz w:val="24"/>
          <w:szCs w:val="24"/>
        </w:rPr>
      </w:pPr>
      <w:r w:rsidRPr="007D2C82">
        <w:rPr>
          <w:color w:val="1F1F1F"/>
          <w:sz w:val="24"/>
          <w:szCs w:val="24"/>
          <w:u w:val="single"/>
        </w:rPr>
        <w:t>School Parcel</w:t>
      </w:r>
      <w:r>
        <w:rPr>
          <w:color w:val="1F1F1F"/>
          <w:sz w:val="24"/>
          <w:szCs w:val="24"/>
        </w:rPr>
        <w:t>. Parcel #</w:t>
      </w:r>
      <w:r w:rsidRPr="00835EC5">
        <w:rPr>
          <w:color w:val="1F1F1F"/>
          <w:sz w:val="24"/>
          <w:szCs w:val="24"/>
        </w:rPr>
        <w:t>19-097-0-004A</w:t>
      </w:r>
      <w:r>
        <w:rPr>
          <w:color w:val="1F1F1F"/>
          <w:sz w:val="24"/>
          <w:szCs w:val="24"/>
        </w:rPr>
        <w:t xml:space="preserve"> shall be set aside for the use of a school. </w:t>
      </w:r>
    </w:p>
    <w:p w14:paraId="2524F163" w14:textId="77777777" w:rsidR="009F52FD" w:rsidRPr="009F52FD" w:rsidRDefault="009F52FD" w:rsidP="009F52FD">
      <w:pPr>
        <w:pStyle w:val="ListParagraph"/>
        <w:tabs>
          <w:tab w:val="left" w:pos="1598"/>
          <w:tab w:val="left" w:pos="1599"/>
        </w:tabs>
        <w:spacing w:line="252" w:lineRule="auto"/>
        <w:ind w:left="792" w:right="213" w:firstLine="0"/>
        <w:rPr>
          <w:color w:val="1F1F1F"/>
          <w:sz w:val="24"/>
          <w:szCs w:val="24"/>
        </w:rPr>
      </w:pPr>
    </w:p>
    <w:p w14:paraId="154D1E50" w14:textId="77777777" w:rsidR="009F52FD" w:rsidRPr="009F52FD" w:rsidRDefault="00000000" w:rsidP="009F52FD">
      <w:pPr>
        <w:pStyle w:val="ListParagraph"/>
        <w:numPr>
          <w:ilvl w:val="1"/>
          <w:numId w:val="13"/>
        </w:numPr>
        <w:tabs>
          <w:tab w:val="left" w:pos="1598"/>
          <w:tab w:val="left" w:pos="1599"/>
        </w:tabs>
        <w:spacing w:line="252" w:lineRule="auto"/>
        <w:ind w:right="213"/>
        <w:rPr>
          <w:color w:val="1F1F1F"/>
          <w:sz w:val="24"/>
          <w:szCs w:val="24"/>
        </w:rPr>
      </w:pPr>
      <w:r w:rsidRPr="009F52FD">
        <w:rPr>
          <w:sz w:val="24"/>
          <w:szCs w:val="24"/>
          <w:u w:val="single"/>
        </w:rPr>
        <w:t>Phasing</w:t>
      </w:r>
      <w:r w:rsidRPr="009F52FD">
        <w:rPr>
          <w:sz w:val="24"/>
          <w:szCs w:val="24"/>
        </w:rPr>
        <w:t xml:space="preserve">. The Development Property may be developed in Phases. </w:t>
      </w:r>
    </w:p>
    <w:p w14:paraId="4A909125" w14:textId="77777777" w:rsidR="009F52FD" w:rsidRPr="009F52FD" w:rsidRDefault="009F52FD" w:rsidP="009F52FD">
      <w:pPr>
        <w:pStyle w:val="ListParagraph"/>
        <w:tabs>
          <w:tab w:val="left" w:pos="1598"/>
          <w:tab w:val="left" w:pos="1599"/>
        </w:tabs>
        <w:spacing w:line="252" w:lineRule="auto"/>
        <w:ind w:left="792" w:right="213" w:firstLine="0"/>
        <w:rPr>
          <w:color w:val="1F1F1F"/>
          <w:sz w:val="24"/>
          <w:szCs w:val="24"/>
        </w:rPr>
      </w:pPr>
    </w:p>
    <w:p w14:paraId="271D071E" w14:textId="77777777" w:rsidR="009F52FD" w:rsidRPr="004D08B6" w:rsidRDefault="00000000" w:rsidP="004D08B6">
      <w:pPr>
        <w:pStyle w:val="ListParagraph"/>
        <w:numPr>
          <w:ilvl w:val="2"/>
          <w:numId w:val="13"/>
        </w:numPr>
        <w:tabs>
          <w:tab w:val="left" w:pos="1598"/>
          <w:tab w:val="left" w:pos="1599"/>
        </w:tabs>
        <w:spacing w:line="252" w:lineRule="auto"/>
        <w:ind w:right="213" w:firstLine="0"/>
        <w:rPr>
          <w:color w:val="1C1C1C"/>
          <w:sz w:val="24"/>
          <w:szCs w:val="24"/>
        </w:rPr>
      </w:pPr>
      <w:r w:rsidRPr="00406940">
        <w:rPr>
          <w:sz w:val="24"/>
          <w:szCs w:val="24"/>
        </w:rPr>
        <w:t xml:space="preserve">The Development will be phased as </w:t>
      </w:r>
      <w:r w:rsidR="00406940" w:rsidRPr="00406940">
        <w:rPr>
          <w:sz w:val="24"/>
          <w:szCs w:val="24"/>
        </w:rPr>
        <w:t>shown by</w:t>
      </w:r>
      <w:r w:rsidR="00406940" w:rsidRPr="00406940">
        <w:rPr>
          <w:bCs/>
        </w:rPr>
        <w:t xml:space="preserve"> the intended sequence of construction of improvements and development of plats within the Project</w:t>
      </w:r>
      <w:r w:rsidR="00406940" w:rsidRPr="00406940">
        <w:rPr>
          <w:sz w:val="24"/>
          <w:szCs w:val="24"/>
        </w:rPr>
        <w:t xml:space="preserve"> </w:t>
      </w:r>
      <w:r w:rsidR="00406940">
        <w:rPr>
          <w:sz w:val="24"/>
          <w:szCs w:val="24"/>
        </w:rPr>
        <w:t>(“Phasing Plan”)</w:t>
      </w:r>
      <w:r w:rsidR="00406940" w:rsidRPr="00406940">
        <w:rPr>
          <w:sz w:val="24"/>
          <w:szCs w:val="24"/>
        </w:rPr>
        <w:t xml:space="preserve"> attached hereto as exhibit “D.” </w:t>
      </w:r>
      <w:r w:rsidR="00406940" w:rsidRPr="00406940">
        <w:rPr>
          <w:color w:val="1C1C1C"/>
          <w:sz w:val="24"/>
          <w:szCs w:val="24"/>
        </w:rPr>
        <w:t xml:space="preserve"> </w:t>
      </w:r>
    </w:p>
    <w:p w14:paraId="1FA6D91A" w14:textId="77777777" w:rsidR="004D08B6" w:rsidRPr="00406940" w:rsidRDefault="004D08B6" w:rsidP="004D08B6">
      <w:pPr>
        <w:pStyle w:val="ListParagraph"/>
        <w:tabs>
          <w:tab w:val="left" w:pos="1598"/>
          <w:tab w:val="left" w:pos="1599"/>
        </w:tabs>
        <w:spacing w:line="252" w:lineRule="auto"/>
        <w:ind w:left="1224" w:right="213" w:firstLine="0"/>
        <w:rPr>
          <w:color w:val="1F1F1F"/>
          <w:sz w:val="24"/>
          <w:szCs w:val="24"/>
        </w:rPr>
      </w:pPr>
    </w:p>
    <w:p w14:paraId="5EE36DB2" w14:textId="77777777" w:rsidR="009F52FD" w:rsidRPr="009F52FD" w:rsidRDefault="00000000" w:rsidP="004D08B6">
      <w:pPr>
        <w:pStyle w:val="ListParagraph"/>
        <w:numPr>
          <w:ilvl w:val="2"/>
          <w:numId w:val="13"/>
        </w:numPr>
        <w:tabs>
          <w:tab w:val="left" w:pos="1598"/>
          <w:tab w:val="left" w:pos="1599"/>
        </w:tabs>
        <w:spacing w:line="252" w:lineRule="auto"/>
        <w:ind w:left="1260" w:right="213" w:hanging="90"/>
        <w:rPr>
          <w:color w:val="1F1F1F"/>
          <w:sz w:val="24"/>
          <w:szCs w:val="24"/>
        </w:rPr>
      </w:pPr>
      <w:r>
        <w:rPr>
          <w:sz w:val="24"/>
          <w:szCs w:val="24"/>
        </w:rPr>
        <w:t>P</w:t>
      </w:r>
      <w:r w:rsidRPr="009F52FD">
        <w:rPr>
          <w:sz w:val="24"/>
          <w:szCs w:val="24"/>
        </w:rPr>
        <w:t xml:space="preserve">lanning for each phase will include planning for public infrastructure and improvements to be installed with each phase, in accordance with the </w:t>
      </w:r>
      <w:r w:rsidR="00406940">
        <w:rPr>
          <w:sz w:val="24"/>
          <w:szCs w:val="24"/>
        </w:rPr>
        <w:t>Phasing Plan</w:t>
      </w:r>
      <w:r w:rsidRPr="009F52FD">
        <w:rPr>
          <w:sz w:val="24"/>
          <w:szCs w:val="24"/>
        </w:rPr>
        <w:t>, and as may be required as phased development proceeds.</w:t>
      </w:r>
    </w:p>
    <w:p w14:paraId="55F428CB" w14:textId="77777777" w:rsidR="009F52FD" w:rsidRPr="009F52FD" w:rsidRDefault="009F52FD" w:rsidP="009F52FD">
      <w:pPr>
        <w:pStyle w:val="ListParagraph"/>
        <w:tabs>
          <w:tab w:val="left" w:pos="1598"/>
          <w:tab w:val="left" w:pos="1599"/>
        </w:tabs>
        <w:spacing w:line="252" w:lineRule="auto"/>
        <w:ind w:left="1224" w:right="213" w:firstLine="0"/>
        <w:rPr>
          <w:color w:val="1F1F1F"/>
          <w:sz w:val="24"/>
          <w:szCs w:val="24"/>
        </w:rPr>
      </w:pPr>
    </w:p>
    <w:p w14:paraId="12CDD980" w14:textId="77777777" w:rsidR="004D08B6" w:rsidRPr="004D08B6" w:rsidRDefault="00000000" w:rsidP="004D08B6">
      <w:pPr>
        <w:pStyle w:val="ListParagraph"/>
        <w:numPr>
          <w:ilvl w:val="1"/>
          <w:numId w:val="13"/>
        </w:numPr>
        <w:tabs>
          <w:tab w:val="left" w:pos="1598"/>
          <w:tab w:val="left" w:pos="1599"/>
        </w:tabs>
        <w:spacing w:line="252" w:lineRule="auto"/>
        <w:ind w:right="213"/>
        <w:rPr>
          <w:color w:val="1F1F1F"/>
          <w:sz w:val="24"/>
          <w:szCs w:val="24"/>
        </w:rPr>
      </w:pPr>
      <w:r w:rsidRPr="009F52FD">
        <w:rPr>
          <w:sz w:val="24"/>
          <w:szCs w:val="24"/>
          <w:u w:val="single"/>
        </w:rPr>
        <w:t>Project Density</w:t>
      </w:r>
      <w:r w:rsidRPr="009F52FD">
        <w:rPr>
          <w:sz w:val="24"/>
          <w:szCs w:val="24"/>
        </w:rPr>
        <w:t>. Developer shall be vested in and entitled to develop on the Property, through final buildout</w:t>
      </w:r>
      <w:r w:rsidR="00406940">
        <w:rPr>
          <w:sz w:val="24"/>
          <w:szCs w:val="24"/>
        </w:rPr>
        <w:t xml:space="preserve"> as set forth in the Site Plan</w:t>
      </w:r>
      <w:r>
        <w:rPr>
          <w:sz w:val="24"/>
          <w:szCs w:val="24"/>
        </w:rPr>
        <w:t>.</w:t>
      </w:r>
    </w:p>
    <w:p w14:paraId="7E1DD099" w14:textId="77777777" w:rsidR="004D08B6" w:rsidRPr="004D08B6" w:rsidRDefault="004D08B6" w:rsidP="004D08B6">
      <w:pPr>
        <w:pStyle w:val="ListParagraph"/>
        <w:tabs>
          <w:tab w:val="left" w:pos="1598"/>
          <w:tab w:val="left" w:pos="1599"/>
        </w:tabs>
        <w:spacing w:line="252" w:lineRule="auto"/>
        <w:ind w:left="792" w:right="213" w:firstLine="0"/>
        <w:rPr>
          <w:color w:val="1F1F1F"/>
          <w:sz w:val="24"/>
          <w:szCs w:val="24"/>
        </w:rPr>
      </w:pPr>
    </w:p>
    <w:p w14:paraId="58D87A43" w14:textId="77777777" w:rsidR="004D08B6" w:rsidRPr="008803F6" w:rsidRDefault="00000000" w:rsidP="004D08B6">
      <w:pPr>
        <w:pStyle w:val="ListParagraph"/>
        <w:numPr>
          <w:ilvl w:val="1"/>
          <w:numId w:val="13"/>
        </w:numPr>
        <w:rPr>
          <w:sz w:val="24"/>
          <w:szCs w:val="24"/>
        </w:rPr>
      </w:pPr>
      <w:r w:rsidRPr="004D08B6">
        <w:rPr>
          <w:sz w:val="24"/>
          <w:szCs w:val="24"/>
          <w:u w:val="single"/>
        </w:rPr>
        <w:t xml:space="preserve">Transfer of Units </w:t>
      </w:r>
      <w:r w:rsidRPr="004D08B6">
        <w:rPr>
          <w:color w:val="1F1F1F"/>
          <w:sz w:val="24"/>
          <w:szCs w:val="24"/>
        </w:rPr>
        <w:t>Developer may sell or transfer one or more portions of the Property to one or more sub-developers (“</w:t>
      </w:r>
      <w:r w:rsidRPr="004D08B6">
        <w:rPr>
          <w:b/>
          <w:color w:val="1F1F1F"/>
          <w:sz w:val="24"/>
          <w:szCs w:val="24"/>
        </w:rPr>
        <w:t>Successor Developer</w:t>
      </w:r>
      <w:r w:rsidRPr="004D08B6">
        <w:rPr>
          <w:color w:val="1F1F1F"/>
          <w:sz w:val="24"/>
          <w:szCs w:val="24"/>
        </w:rPr>
        <w:t>”)</w:t>
      </w:r>
      <w:r w:rsidR="00622338" w:rsidRPr="004D08B6">
        <w:rPr>
          <w:color w:val="1F1F1F"/>
          <w:sz w:val="24"/>
          <w:szCs w:val="24"/>
        </w:rPr>
        <w:t>, selected by Developer</w:t>
      </w:r>
      <w:r w:rsidRPr="004D08B6">
        <w:rPr>
          <w:color w:val="1F1F1F"/>
          <w:sz w:val="24"/>
          <w:szCs w:val="24"/>
        </w:rPr>
        <w:t xml:space="preserve">. </w:t>
      </w:r>
      <w:r w:rsidR="00622338" w:rsidRPr="004D08B6">
        <w:rPr>
          <w:color w:val="1F1F1F"/>
          <w:sz w:val="24"/>
          <w:szCs w:val="24"/>
        </w:rPr>
        <w:t xml:space="preserve">Developer may do so without modification of this Agreement. </w:t>
      </w:r>
      <w:r w:rsidRPr="004D08B6">
        <w:rPr>
          <w:color w:val="1F1F1F"/>
          <w:sz w:val="24"/>
          <w:szCs w:val="24"/>
        </w:rPr>
        <w:t xml:space="preserve">The terms of such sale shall expressly include the transfer of the rights and obligations to develop the Successor Developer’s portion of the Project in accordance with this Agreement. Upon such sale Successor Developer will inure to all rights and obligations under this Agreement with respect to the portion of the Property sold to the Successor Developer will retain all rights and obligations hereunder with respect to unsold or </w:t>
      </w:r>
      <w:r w:rsidR="00EE2515" w:rsidRPr="004D08B6">
        <w:rPr>
          <w:color w:val="1F1F1F"/>
          <w:sz w:val="24"/>
          <w:szCs w:val="24"/>
        </w:rPr>
        <w:t>un-transformed</w:t>
      </w:r>
      <w:r w:rsidRPr="004D08B6">
        <w:rPr>
          <w:color w:val="1F1F1F"/>
          <w:sz w:val="24"/>
          <w:szCs w:val="24"/>
        </w:rPr>
        <w:t xml:space="preserve"> portions of the Property.</w:t>
      </w:r>
      <w:bookmarkStart w:id="1" w:name="_Toc216058463"/>
      <w:bookmarkStart w:id="2" w:name="_Ref374115913"/>
      <w:bookmarkStart w:id="3" w:name="_Ref380068565"/>
      <w:r w:rsidR="008D199F" w:rsidRPr="004D08B6">
        <w:rPr>
          <w:rFonts w:ascii="Arial" w:hAnsi="Arial" w:cs="Arial"/>
          <w:b/>
          <w:sz w:val="20"/>
          <w:szCs w:val="20"/>
        </w:rPr>
        <w:t xml:space="preserve"> </w:t>
      </w:r>
      <w:bookmarkEnd w:id="1"/>
      <w:bookmarkEnd w:id="2"/>
      <w:bookmarkEnd w:id="3"/>
    </w:p>
    <w:p w14:paraId="03D73FC6" w14:textId="77777777" w:rsidR="008803F6" w:rsidRPr="004D08B6" w:rsidRDefault="008803F6" w:rsidP="008803F6">
      <w:pPr>
        <w:pStyle w:val="ListParagraph"/>
        <w:ind w:left="792" w:firstLine="0"/>
        <w:rPr>
          <w:sz w:val="24"/>
          <w:szCs w:val="24"/>
        </w:rPr>
      </w:pPr>
    </w:p>
    <w:p w14:paraId="73B643D4" w14:textId="77777777" w:rsidR="003F10BA" w:rsidRPr="00952B4B" w:rsidRDefault="00000000" w:rsidP="00952B4B">
      <w:pPr>
        <w:pStyle w:val="ListParagraph"/>
        <w:numPr>
          <w:ilvl w:val="1"/>
          <w:numId w:val="13"/>
        </w:numPr>
        <w:tabs>
          <w:tab w:val="left" w:pos="1598"/>
          <w:tab w:val="left" w:pos="1599"/>
        </w:tabs>
        <w:spacing w:line="252" w:lineRule="auto"/>
        <w:ind w:right="213"/>
        <w:rPr>
          <w:color w:val="1F1F1F"/>
          <w:sz w:val="24"/>
          <w:szCs w:val="24"/>
        </w:rPr>
      </w:pPr>
      <w:r w:rsidRPr="004D08B6">
        <w:rPr>
          <w:sz w:val="24"/>
          <w:szCs w:val="24"/>
        </w:rPr>
        <w:t>Unit Transfer. Any Property sold by Developer to a Successor Developer shall include the transfer of a specified portion of development units (“</w:t>
      </w:r>
      <w:r w:rsidRPr="004D08B6">
        <w:rPr>
          <w:b/>
          <w:sz w:val="24"/>
          <w:szCs w:val="24"/>
        </w:rPr>
        <w:t>Development Units</w:t>
      </w:r>
      <w:r w:rsidRPr="004D08B6">
        <w:rPr>
          <w:sz w:val="24"/>
          <w:szCs w:val="24"/>
        </w:rPr>
        <w:t xml:space="preserve">”) and, for any non-residential use, shall specify the amount and type of any such other use sold with the Property. At the recordation of a Final Plat or other document of conveyance for any Property sold to a Successor Developer, Successor Developer shall provide the City a report showing the ownership of the Property sold, the portion </w:t>
      </w:r>
      <w:r w:rsidRPr="004D08B6">
        <w:rPr>
          <w:sz w:val="24"/>
          <w:szCs w:val="24"/>
        </w:rPr>
        <w:lastRenderedPageBreak/>
        <w:t xml:space="preserve">of the Development Units and/or other type of use transferred with the Property, the amount of the Development Units remaining with the Developer. </w:t>
      </w:r>
    </w:p>
    <w:p w14:paraId="3254FEFF" w14:textId="77777777" w:rsidR="00F00E57" w:rsidRPr="003F10BA" w:rsidRDefault="00F00E57" w:rsidP="00F00E57">
      <w:pPr>
        <w:pStyle w:val="ListParagraph"/>
        <w:tabs>
          <w:tab w:val="left" w:pos="1598"/>
          <w:tab w:val="left" w:pos="1599"/>
        </w:tabs>
        <w:spacing w:line="252" w:lineRule="auto"/>
        <w:ind w:left="792" w:right="213" w:firstLine="0"/>
        <w:rPr>
          <w:color w:val="1F1F1F"/>
          <w:sz w:val="24"/>
          <w:szCs w:val="24"/>
        </w:rPr>
      </w:pPr>
    </w:p>
    <w:p w14:paraId="01C75488" w14:textId="77777777" w:rsidR="00A55401" w:rsidRPr="00A55401" w:rsidRDefault="00000000" w:rsidP="00A55401">
      <w:pPr>
        <w:pStyle w:val="ListParagraph"/>
        <w:numPr>
          <w:ilvl w:val="0"/>
          <w:numId w:val="13"/>
        </w:numPr>
        <w:tabs>
          <w:tab w:val="left" w:pos="1598"/>
          <w:tab w:val="left" w:pos="1599"/>
        </w:tabs>
        <w:spacing w:line="252" w:lineRule="auto"/>
        <w:ind w:right="213"/>
        <w:rPr>
          <w:color w:val="1F1F1F"/>
          <w:sz w:val="24"/>
          <w:szCs w:val="24"/>
        </w:rPr>
      </w:pPr>
      <w:r>
        <w:rPr>
          <w:sz w:val="24"/>
          <w:szCs w:val="24"/>
          <w:u w:val="single"/>
        </w:rPr>
        <w:t>Application</w:t>
      </w:r>
      <w:r w:rsidRPr="00A55401">
        <w:rPr>
          <w:sz w:val="24"/>
          <w:szCs w:val="24"/>
          <w:u w:val="single"/>
        </w:rPr>
        <w:t xml:space="preserve"> Approval Procedures</w:t>
      </w:r>
      <w:r w:rsidRPr="00A55401">
        <w:rPr>
          <w:sz w:val="24"/>
          <w:szCs w:val="24"/>
        </w:rPr>
        <w:t>.</w:t>
      </w:r>
    </w:p>
    <w:p w14:paraId="57029B5B" w14:textId="77777777" w:rsidR="00A55401" w:rsidRPr="00A55401" w:rsidRDefault="00A55401" w:rsidP="00A55401">
      <w:pPr>
        <w:pStyle w:val="ListParagraph"/>
        <w:tabs>
          <w:tab w:val="left" w:pos="1598"/>
          <w:tab w:val="left" w:pos="1599"/>
        </w:tabs>
        <w:spacing w:line="252" w:lineRule="auto"/>
        <w:ind w:left="360" w:right="213" w:firstLine="0"/>
        <w:rPr>
          <w:color w:val="1F1F1F"/>
          <w:sz w:val="24"/>
          <w:szCs w:val="24"/>
        </w:rPr>
      </w:pPr>
    </w:p>
    <w:p w14:paraId="1A0EC383" w14:textId="77777777" w:rsidR="00A55401" w:rsidRPr="00A55401" w:rsidRDefault="00000000" w:rsidP="00A55401">
      <w:pPr>
        <w:pStyle w:val="ListParagraph"/>
        <w:numPr>
          <w:ilvl w:val="1"/>
          <w:numId w:val="13"/>
        </w:numPr>
        <w:tabs>
          <w:tab w:val="left" w:pos="1598"/>
          <w:tab w:val="left" w:pos="1599"/>
        </w:tabs>
        <w:spacing w:line="252" w:lineRule="auto"/>
        <w:ind w:right="213"/>
        <w:rPr>
          <w:color w:val="1F1F1F"/>
          <w:sz w:val="24"/>
          <w:szCs w:val="24"/>
        </w:rPr>
      </w:pPr>
      <w:r w:rsidRPr="00A55401">
        <w:rPr>
          <w:sz w:val="24"/>
          <w:szCs w:val="24"/>
          <w:u w:val="single"/>
        </w:rPr>
        <w:t xml:space="preserve">Processing Under </w:t>
      </w:r>
      <w:r w:rsidR="00E84038">
        <w:rPr>
          <w:sz w:val="24"/>
          <w:szCs w:val="24"/>
          <w:u w:val="single"/>
        </w:rPr>
        <w:t>City</w:t>
      </w:r>
      <w:r w:rsidRPr="00A55401">
        <w:rPr>
          <w:sz w:val="24"/>
          <w:szCs w:val="24"/>
          <w:u w:val="single"/>
        </w:rPr>
        <w:t>'s Code</w:t>
      </w:r>
      <w:r w:rsidRPr="00A55401">
        <w:rPr>
          <w:sz w:val="24"/>
          <w:szCs w:val="24"/>
        </w:rPr>
        <w:t>. Approval processes for development applications shall be as provided in this Agreement and the</w:t>
      </w:r>
      <w:r w:rsidR="00F61384">
        <w:rPr>
          <w:sz w:val="24"/>
          <w:szCs w:val="24"/>
        </w:rPr>
        <w:t xml:space="preserve"> then current </w:t>
      </w:r>
      <w:r w:rsidR="00E84038">
        <w:rPr>
          <w:sz w:val="24"/>
          <w:szCs w:val="24"/>
        </w:rPr>
        <w:t>City</w:t>
      </w:r>
      <w:r w:rsidRPr="00A55401">
        <w:rPr>
          <w:sz w:val="24"/>
          <w:szCs w:val="24"/>
        </w:rPr>
        <w:t xml:space="preserve"> Code. </w:t>
      </w:r>
    </w:p>
    <w:p w14:paraId="436F2DB7" w14:textId="77777777" w:rsidR="00A55401" w:rsidRPr="00A55401" w:rsidRDefault="00A55401" w:rsidP="00A55401">
      <w:pPr>
        <w:pStyle w:val="ListParagraph"/>
        <w:tabs>
          <w:tab w:val="left" w:pos="1598"/>
          <w:tab w:val="left" w:pos="1599"/>
        </w:tabs>
        <w:spacing w:line="252" w:lineRule="auto"/>
        <w:ind w:left="1224" w:right="213" w:firstLine="0"/>
        <w:rPr>
          <w:color w:val="1F1F1F"/>
          <w:sz w:val="24"/>
          <w:szCs w:val="24"/>
        </w:rPr>
      </w:pPr>
    </w:p>
    <w:p w14:paraId="1B399701" w14:textId="77777777" w:rsidR="00484E5A" w:rsidRPr="00484E5A" w:rsidRDefault="00000000" w:rsidP="00484E5A">
      <w:pPr>
        <w:pStyle w:val="ListParagraph"/>
        <w:numPr>
          <w:ilvl w:val="1"/>
          <w:numId w:val="13"/>
        </w:numPr>
        <w:tabs>
          <w:tab w:val="left" w:pos="1598"/>
          <w:tab w:val="left" w:pos="1599"/>
        </w:tabs>
        <w:spacing w:line="252" w:lineRule="auto"/>
        <w:ind w:right="213"/>
        <w:rPr>
          <w:color w:val="1F1F1F"/>
          <w:sz w:val="24"/>
          <w:szCs w:val="24"/>
        </w:rPr>
      </w:pPr>
      <w:r>
        <w:rPr>
          <w:sz w:val="24"/>
          <w:szCs w:val="24"/>
          <w:u w:val="single"/>
        </w:rPr>
        <w:t>City</w:t>
      </w:r>
      <w:r w:rsidR="00A55401" w:rsidRPr="00A55401">
        <w:rPr>
          <w:sz w:val="24"/>
          <w:szCs w:val="24"/>
          <w:u w:val="single"/>
        </w:rPr>
        <w:t>’s Cooperation in Processing Development Applications</w:t>
      </w:r>
      <w:r w:rsidR="00A55401" w:rsidRPr="00A55401">
        <w:rPr>
          <w:sz w:val="24"/>
          <w:szCs w:val="24"/>
        </w:rPr>
        <w:t xml:space="preserve">. The </w:t>
      </w:r>
      <w:r>
        <w:rPr>
          <w:sz w:val="24"/>
          <w:szCs w:val="24"/>
        </w:rPr>
        <w:t>City</w:t>
      </w:r>
      <w:r w:rsidR="00A55401" w:rsidRPr="00A55401">
        <w:rPr>
          <w:sz w:val="24"/>
          <w:szCs w:val="24"/>
        </w:rPr>
        <w:t xml:space="preserve"> and Developer shall cooperate reasonably in promptly and </w:t>
      </w:r>
      <w:proofErr w:type="gramStart"/>
      <w:r w:rsidR="00A55401" w:rsidRPr="00A55401">
        <w:rPr>
          <w:sz w:val="24"/>
          <w:szCs w:val="24"/>
        </w:rPr>
        <w:t>fairly processing</w:t>
      </w:r>
      <w:proofErr w:type="gramEnd"/>
      <w:r w:rsidR="00A55401" w:rsidRPr="00A55401">
        <w:rPr>
          <w:sz w:val="24"/>
          <w:szCs w:val="24"/>
        </w:rPr>
        <w:t xml:space="preserve"> development applications.</w:t>
      </w:r>
    </w:p>
    <w:p w14:paraId="0B62CCD2" w14:textId="77777777" w:rsidR="00484E5A" w:rsidRPr="00484E5A" w:rsidRDefault="00484E5A" w:rsidP="00484E5A">
      <w:pPr>
        <w:pStyle w:val="ListParagraph"/>
        <w:tabs>
          <w:tab w:val="left" w:pos="1598"/>
          <w:tab w:val="left" w:pos="1599"/>
        </w:tabs>
        <w:spacing w:line="252" w:lineRule="auto"/>
        <w:ind w:left="792" w:right="213" w:firstLine="0"/>
        <w:rPr>
          <w:color w:val="1F1F1F"/>
          <w:sz w:val="24"/>
          <w:szCs w:val="24"/>
        </w:rPr>
      </w:pPr>
    </w:p>
    <w:p w14:paraId="68584464" w14:textId="77777777" w:rsidR="00484E5A" w:rsidRPr="00484E5A" w:rsidRDefault="00000000" w:rsidP="00484E5A">
      <w:pPr>
        <w:pStyle w:val="ListParagraph"/>
        <w:numPr>
          <w:ilvl w:val="1"/>
          <w:numId w:val="13"/>
        </w:numPr>
        <w:tabs>
          <w:tab w:val="left" w:pos="1598"/>
          <w:tab w:val="left" w:pos="1599"/>
        </w:tabs>
        <w:spacing w:line="252" w:lineRule="auto"/>
        <w:ind w:right="213"/>
        <w:rPr>
          <w:color w:val="1F1F1F"/>
          <w:sz w:val="24"/>
          <w:szCs w:val="24"/>
        </w:rPr>
      </w:pPr>
      <w:r>
        <w:rPr>
          <w:sz w:val="24"/>
          <w:szCs w:val="24"/>
          <w:u w:val="single"/>
        </w:rPr>
        <w:t>City</w:t>
      </w:r>
      <w:r w:rsidR="00A55401" w:rsidRPr="00484E5A">
        <w:rPr>
          <w:sz w:val="24"/>
          <w:szCs w:val="24"/>
          <w:u w:val="single"/>
        </w:rPr>
        <w:t xml:space="preserve"> Denial of a Development Application</w:t>
      </w:r>
      <w:r w:rsidR="00A55401" w:rsidRPr="00484E5A">
        <w:rPr>
          <w:sz w:val="24"/>
          <w:szCs w:val="24"/>
        </w:rPr>
        <w:t xml:space="preserve">. If the </w:t>
      </w:r>
      <w:r>
        <w:rPr>
          <w:sz w:val="24"/>
          <w:szCs w:val="24"/>
        </w:rPr>
        <w:t>City</w:t>
      </w:r>
      <w:r w:rsidR="00A55401" w:rsidRPr="00484E5A">
        <w:rPr>
          <w:sz w:val="24"/>
          <w:szCs w:val="24"/>
        </w:rPr>
        <w:t xml:space="preserve"> denies a development application, the </w:t>
      </w:r>
      <w:r>
        <w:rPr>
          <w:sz w:val="24"/>
          <w:szCs w:val="24"/>
        </w:rPr>
        <w:t>City</w:t>
      </w:r>
      <w:r w:rsidR="00A55401" w:rsidRPr="00484E5A">
        <w:rPr>
          <w:sz w:val="24"/>
          <w:szCs w:val="24"/>
        </w:rPr>
        <w:t xml:space="preserve"> shall specify in writing in reasonable detail the reasons the </w:t>
      </w:r>
      <w:r>
        <w:rPr>
          <w:sz w:val="24"/>
          <w:szCs w:val="24"/>
        </w:rPr>
        <w:t>City</w:t>
      </w:r>
      <w:r w:rsidR="00A55401" w:rsidRPr="00484E5A">
        <w:rPr>
          <w:sz w:val="24"/>
          <w:szCs w:val="24"/>
        </w:rPr>
        <w:t xml:space="preserve"> believes that the development application is not consistent with this Agreement and/or the </w:t>
      </w:r>
      <w:r>
        <w:rPr>
          <w:sz w:val="24"/>
          <w:szCs w:val="24"/>
        </w:rPr>
        <w:t>City</w:t>
      </w:r>
      <w:r w:rsidR="00A55401" w:rsidRPr="00484E5A">
        <w:rPr>
          <w:sz w:val="24"/>
          <w:szCs w:val="24"/>
        </w:rPr>
        <w:t>’s code.</w:t>
      </w:r>
    </w:p>
    <w:p w14:paraId="1D44A1B2" w14:textId="77777777" w:rsidR="00484E5A" w:rsidRPr="00484E5A" w:rsidRDefault="00484E5A" w:rsidP="00484E5A">
      <w:pPr>
        <w:pStyle w:val="ListParagraph"/>
        <w:tabs>
          <w:tab w:val="left" w:pos="1598"/>
          <w:tab w:val="left" w:pos="1599"/>
        </w:tabs>
        <w:spacing w:line="252" w:lineRule="auto"/>
        <w:ind w:left="792" w:right="213" w:firstLine="0"/>
        <w:rPr>
          <w:color w:val="1F1F1F"/>
          <w:sz w:val="24"/>
          <w:szCs w:val="24"/>
        </w:rPr>
      </w:pPr>
    </w:p>
    <w:p w14:paraId="6CFBFCAF" w14:textId="77777777" w:rsidR="00484E5A" w:rsidRPr="00484E5A" w:rsidRDefault="00000000" w:rsidP="00484E5A">
      <w:pPr>
        <w:pStyle w:val="ListParagraph"/>
        <w:numPr>
          <w:ilvl w:val="1"/>
          <w:numId w:val="13"/>
        </w:numPr>
        <w:tabs>
          <w:tab w:val="left" w:pos="1598"/>
          <w:tab w:val="left" w:pos="1599"/>
        </w:tabs>
        <w:spacing w:line="252" w:lineRule="auto"/>
        <w:ind w:right="213"/>
        <w:rPr>
          <w:color w:val="1F1F1F"/>
          <w:sz w:val="24"/>
          <w:szCs w:val="24"/>
        </w:rPr>
      </w:pPr>
      <w:r>
        <w:rPr>
          <w:sz w:val="24"/>
          <w:szCs w:val="24"/>
          <w:u w:val="single"/>
        </w:rPr>
        <w:t>City</w:t>
      </w:r>
      <w:r w:rsidR="00A55401" w:rsidRPr="00484E5A">
        <w:rPr>
          <w:sz w:val="24"/>
          <w:szCs w:val="24"/>
          <w:u w:val="single"/>
        </w:rPr>
        <w:t xml:space="preserve"> Denials of Development Applications Based on Denials from </w:t>
      </w:r>
      <w:r w:rsidR="00836426" w:rsidRPr="00484E5A">
        <w:rPr>
          <w:sz w:val="24"/>
          <w:szCs w:val="24"/>
          <w:u w:val="single"/>
        </w:rPr>
        <w:t>Noncity</w:t>
      </w:r>
      <w:r w:rsidR="00A55401" w:rsidRPr="00484E5A">
        <w:rPr>
          <w:sz w:val="24"/>
          <w:szCs w:val="24"/>
          <w:u w:val="single"/>
        </w:rPr>
        <w:t xml:space="preserve"> Agencies</w:t>
      </w:r>
      <w:r w:rsidR="00A55401" w:rsidRPr="00484E5A">
        <w:rPr>
          <w:sz w:val="24"/>
          <w:szCs w:val="24"/>
        </w:rPr>
        <w:t xml:space="preserve">. If the </w:t>
      </w:r>
      <w:r>
        <w:rPr>
          <w:sz w:val="24"/>
          <w:szCs w:val="24"/>
        </w:rPr>
        <w:t>City</w:t>
      </w:r>
      <w:r w:rsidR="00A55401" w:rsidRPr="00484E5A">
        <w:rPr>
          <w:sz w:val="24"/>
          <w:szCs w:val="24"/>
        </w:rPr>
        <w:t>’s denial of a development application is based on the denial of the development application by a non-</w:t>
      </w:r>
      <w:r>
        <w:rPr>
          <w:sz w:val="24"/>
          <w:szCs w:val="24"/>
        </w:rPr>
        <w:t>City</w:t>
      </w:r>
      <w:r w:rsidR="00A55401" w:rsidRPr="00484E5A">
        <w:rPr>
          <w:sz w:val="24"/>
          <w:szCs w:val="24"/>
        </w:rPr>
        <w:t xml:space="preserve"> agency, the Developer may appeal any such denial through the appropriate </w:t>
      </w:r>
      <w:r w:rsidR="00270E22">
        <w:rPr>
          <w:sz w:val="24"/>
          <w:szCs w:val="24"/>
        </w:rPr>
        <w:t xml:space="preserve">authority and </w:t>
      </w:r>
      <w:r w:rsidR="00A55401" w:rsidRPr="00484E5A">
        <w:rPr>
          <w:sz w:val="24"/>
          <w:szCs w:val="24"/>
        </w:rPr>
        <w:t>procedures for such a decision.</w:t>
      </w:r>
      <w:r w:rsidR="00A55401" w:rsidRPr="00484E5A">
        <w:rPr>
          <w:b/>
          <w:sz w:val="24"/>
          <w:szCs w:val="24"/>
        </w:rPr>
        <w:t xml:space="preserve"> </w:t>
      </w:r>
    </w:p>
    <w:p w14:paraId="1A19A94E" w14:textId="77777777" w:rsidR="00484E5A" w:rsidRDefault="00484E5A" w:rsidP="007D2C82">
      <w:pPr>
        <w:tabs>
          <w:tab w:val="left" w:pos="1598"/>
          <w:tab w:val="left" w:pos="1599"/>
        </w:tabs>
        <w:spacing w:line="252" w:lineRule="auto"/>
        <w:ind w:right="213"/>
        <w:rPr>
          <w:color w:val="1F1F1F"/>
          <w:sz w:val="24"/>
          <w:szCs w:val="24"/>
        </w:rPr>
      </w:pPr>
    </w:p>
    <w:p w14:paraId="6580E62E" w14:textId="77777777" w:rsidR="00952B4B" w:rsidRPr="007D2C82" w:rsidRDefault="00000000" w:rsidP="00952B4B">
      <w:pPr>
        <w:pStyle w:val="ListParagraph"/>
        <w:numPr>
          <w:ilvl w:val="0"/>
          <w:numId w:val="13"/>
        </w:numPr>
        <w:tabs>
          <w:tab w:val="left" w:pos="1598"/>
          <w:tab w:val="left" w:pos="1599"/>
        </w:tabs>
        <w:spacing w:line="252" w:lineRule="auto"/>
        <w:ind w:right="213"/>
        <w:rPr>
          <w:color w:val="1F1F1F"/>
          <w:sz w:val="24"/>
          <w:szCs w:val="24"/>
        </w:rPr>
      </w:pPr>
      <w:r w:rsidRPr="00484E5A">
        <w:rPr>
          <w:sz w:val="24"/>
          <w:szCs w:val="24"/>
          <w:u w:val="single"/>
        </w:rPr>
        <w:t>System Infrastructure</w:t>
      </w:r>
      <w:r w:rsidRPr="00484E5A">
        <w:rPr>
          <w:sz w:val="24"/>
          <w:szCs w:val="24"/>
        </w:rPr>
        <w:t>.</w:t>
      </w:r>
      <w:r>
        <w:rPr>
          <w:sz w:val="24"/>
          <w:szCs w:val="24"/>
        </w:rPr>
        <w:t xml:space="preserve"> </w:t>
      </w:r>
      <w:r w:rsidRPr="00952B4B">
        <w:rPr>
          <w:sz w:val="24"/>
          <w:szCs w:val="24"/>
        </w:rPr>
        <w:t xml:space="preserve">The Town shall not require the Developer to “upsize” any public improvements (i.e., to construct the improvements to a size larger than required to service the Project) unless financial arrangements reasonably acceptable to the Developer are made to compensate the Developer for the costs of such upsizing. </w:t>
      </w:r>
    </w:p>
    <w:p w14:paraId="1D0B728B" w14:textId="77777777" w:rsidR="00BA0C89" w:rsidRPr="00BA0C89" w:rsidRDefault="00BA0C89" w:rsidP="00BA0C89">
      <w:pPr>
        <w:pStyle w:val="ListParagraph"/>
        <w:tabs>
          <w:tab w:val="left" w:pos="1598"/>
          <w:tab w:val="left" w:pos="1599"/>
        </w:tabs>
        <w:spacing w:line="252" w:lineRule="auto"/>
        <w:ind w:left="792" w:right="213" w:firstLine="0"/>
        <w:rPr>
          <w:color w:val="1F1F1F"/>
          <w:sz w:val="24"/>
          <w:szCs w:val="24"/>
        </w:rPr>
      </w:pPr>
    </w:p>
    <w:p w14:paraId="5B35ED53" w14:textId="77777777" w:rsidR="00BA0C89" w:rsidRPr="00BA0C89" w:rsidRDefault="00000000" w:rsidP="00BA0C89">
      <w:pPr>
        <w:pStyle w:val="ListParagraph"/>
        <w:numPr>
          <w:ilvl w:val="0"/>
          <w:numId w:val="13"/>
        </w:numPr>
        <w:tabs>
          <w:tab w:val="left" w:pos="1598"/>
          <w:tab w:val="left" w:pos="1599"/>
        </w:tabs>
        <w:spacing w:line="252" w:lineRule="auto"/>
        <w:ind w:right="213"/>
        <w:rPr>
          <w:color w:val="1F1F1F"/>
          <w:sz w:val="24"/>
          <w:szCs w:val="24"/>
        </w:rPr>
      </w:pPr>
      <w:r w:rsidRPr="00BA0C89">
        <w:rPr>
          <w:sz w:val="24"/>
          <w:szCs w:val="24"/>
          <w:u w:val="single"/>
        </w:rPr>
        <w:t>Security for Improvements</w:t>
      </w:r>
      <w:r w:rsidRPr="00BA0C89">
        <w:rPr>
          <w:sz w:val="24"/>
          <w:szCs w:val="24"/>
        </w:rPr>
        <w:t>.</w:t>
      </w:r>
    </w:p>
    <w:p w14:paraId="3EDE7726" w14:textId="77777777" w:rsidR="00BA0C89" w:rsidRPr="00BA0C89" w:rsidRDefault="00BA0C89" w:rsidP="00BA0C89">
      <w:pPr>
        <w:pStyle w:val="ListParagraph"/>
        <w:tabs>
          <w:tab w:val="left" w:pos="1598"/>
          <w:tab w:val="left" w:pos="1599"/>
        </w:tabs>
        <w:spacing w:line="252" w:lineRule="auto"/>
        <w:ind w:left="360" w:right="213" w:firstLine="0"/>
        <w:rPr>
          <w:color w:val="1F1F1F"/>
          <w:sz w:val="24"/>
          <w:szCs w:val="24"/>
        </w:rPr>
      </w:pPr>
    </w:p>
    <w:p w14:paraId="778DB927" w14:textId="77777777" w:rsidR="00BA0C89" w:rsidRPr="00BA0C89" w:rsidRDefault="00000000" w:rsidP="00BA0C89">
      <w:pPr>
        <w:pStyle w:val="ListParagraph"/>
        <w:numPr>
          <w:ilvl w:val="1"/>
          <w:numId w:val="13"/>
        </w:numPr>
        <w:tabs>
          <w:tab w:val="left" w:pos="1598"/>
          <w:tab w:val="left" w:pos="1599"/>
        </w:tabs>
        <w:spacing w:line="252" w:lineRule="auto"/>
        <w:ind w:right="213"/>
        <w:rPr>
          <w:color w:val="1F1F1F"/>
          <w:sz w:val="24"/>
          <w:szCs w:val="24"/>
        </w:rPr>
      </w:pPr>
      <w:r w:rsidRPr="00BA0C89">
        <w:rPr>
          <w:sz w:val="24"/>
          <w:szCs w:val="24"/>
          <w:u w:val="single"/>
        </w:rPr>
        <w:t>Security for Public Improvements</w:t>
      </w:r>
      <w:r w:rsidRPr="00BA0C89">
        <w:rPr>
          <w:sz w:val="24"/>
          <w:szCs w:val="24"/>
        </w:rPr>
        <w:t xml:space="preserve">. The completion of all improvements shall be subject to collateral requirements established by the </w:t>
      </w:r>
      <w:r w:rsidR="00E84038">
        <w:rPr>
          <w:sz w:val="24"/>
          <w:szCs w:val="24"/>
        </w:rPr>
        <w:t>City</w:t>
      </w:r>
      <w:r w:rsidRPr="00BA0C89">
        <w:rPr>
          <w:sz w:val="24"/>
          <w:szCs w:val="24"/>
        </w:rPr>
        <w:t xml:space="preserve"> using forms for surety approved by the </w:t>
      </w:r>
      <w:r w:rsidR="00E84038">
        <w:rPr>
          <w:sz w:val="24"/>
          <w:szCs w:val="24"/>
        </w:rPr>
        <w:t>City</w:t>
      </w:r>
      <w:r w:rsidRPr="00BA0C89">
        <w:rPr>
          <w:sz w:val="24"/>
          <w:szCs w:val="24"/>
        </w:rPr>
        <w:t xml:space="preserve">, in compliance with State law. Any such security shall be, at the Developer’s request, partially released pro rata as work proceeds, to a maximum of ninety percent (90%). Upon Substantial Completion of the On-Site or Off-Site Infrastructure, as certified by the Developer’s engineers, the remainder of such security, except ten percent (10%) as security for a one (1) year warranty against defects in materials and workmanship, shall be released. At the end of the one (1) year warranty, unless the Developer has been notified by the </w:t>
      </w:r>
      <w:r w:rsidR="00E84038">
        <w:rPr>
          <w:sz w:val="24"/>
          <w:szCs w:val="24"/>
        </w:rPr>
        <w:t>City</w:t>
      </w:r>
      <w:r w:rsidRPr="00BA0C89">
        <w:rPr>
          <w:sz w:val="24"/>
          <w:szCs w:val="24"/>
        </w:rPr>
        <w:t xml:space="preserve"> of any repairs required under the warranty, the remaining security shall be released to the Developer upon the </w:t>
      </w:r>
      <w:r w:rsidR="00E84038">
        <w:rPr>
          <w:sz w:val="24"/>
          <w:szCs w:val="24"/>
        </w:rPr>
        <w:t>City</w:t>
      </w:r>
      <w:r w:rsidRPr="00BA0C89">
        <w:rPr>
          <w:sz w:val="24"/>
          <w:szCs w:val="24"/>
        </w:rPr>
        <w:t xml:space="preserve">’s determination that there are no further warranty repairs required. Unless otherwise required in a subsequent development Agreement, no security shall be required for any improvements that are not designated to be dedicated to the </w:t>
      </w:r>
      <w:r w:rsidR="00E84038">
        <w:rPr>
          <w:sz w:val="24"/>
          <w:szCs w:val="24"/>
        </w:rPr>
        <w:t>City</w:t>
      </w:r>
      <w:r w:rsidRPr="00BA0C89">
        <w:rPr>
          <w:sz w:val="24"/>
          <w:szCs w:val="24"/>
        </w:rPr>
        <w:t>, nor for any improvements that are constructed by a public or quasi-public entity.</w:t>
      </w:r>
    </w:p>
    <w:p w14:paraId="130510E5" w14:textId="77777777" w:rsidR="00BA0C89" w:rsidRPr="00BA0C89" w:rsidRDefault="00BA0C89" w:rsidP="00BA0C89">
      <w:pPr>
        <w:pStyle w:val="ListParagraph"/>
        <w:tabs>
          <w:tab w:val="left" w:pos="1598"/>
          <w:tab w:val="left" w:pos="1599"/>
        </w:tabs>
        <w:spacing w:line="252" w:lineRule="auto"/>
        <w:ind w:left="792" w:right="213" w:firstLine="0"/>
        <w:rPr>
          <w:color w:val="1F1F1F"/>
          <w:sz w:val="24"/>
          <w:szCs w:val="24"/>
        </w:rPr>
      </w:pPr>
    </w:p>
    <w:p w14:paraId="4465E141" w14:textId="77777777" w:rsidR="00BA0C89" w:rsidRPr="00BA0C89" w:rsidRDefault="00000000" w:rsidP="00BA0C89">
      <w:pPr>
        <w:pStyle w:val="ListParagraph"/>
        <w:numPr>
          <w:ilvl w:val="1"/>
          <w:numId w:val="13"/>
        </w:numPr>
        <w:tabs>
          <w:tab w:val="left" w:pos="1598"/>
          <w:tab w:val="left" w:pos="1599"/>
        </w:tabs>
        <w:spacing w:line="252" w:lineRule="auto"/>
        <w:ind w:right="213"/>
        <w:rPr>
          <w:color w:val="1F1F1F"/>
          <w:sz w:val="24"/>
          <w:szCs w:val="24"/>
        </w:rPr>
      </w:pPr>
      <w:r w:rsidRPr="00331C3E">
        <w:rPr>
          <w:sz w:val="24"/>
          <w:szCs w:val="24"/>
          <w:u w:val="single"/>
        </w:rPr>
        <w:lastRenderedPageBreak/>
        <w:t xml:space="preserve">Separate Security for </w:t>
      </w:r>
      <w:r w:rsidR="00331C3E">
        <w:rPr>
          <w:sz w:val="24"/>
          <w:szCs w:val="24"/>
          <w:u w:val="single"/>
        </w:rPr>
        <w:t xml:space="preserve">Public </w:t>
      </w:r>
      <w:r w:rsidRPr="00331C3E">
        <w:rPr>
          <w:sz w:val="24"/>
          <w:szCs w:val="24"/>
          <w:u w:val="single"/>
        </w:rPr>
        <w:t>Landscaping</w:t>
      </w:r>
      <w:r w:rsidRPr="00BA0C89">
        <w:rPr>
          <w:sz w:val="24"/>
          <w:szCs w:val="24"/>
        </w:rPr>
        <w:t>. Security for the completion landscaping</w:t>
      </w:r>
      <w:r w:rsidR="00331C3E">
        <w:rPr>
          <w:sz w:val="24"/>
          <w:szCs w:val="24"/>
        </w:rPr>
        <w:t xml:space="preserve"> requirements</w:t>
      </w:r>
      <w:r w:rsidRPr="00BA0C89">
        <w:rPr>
          <w:sz w:val="24"/>
          <w:szCs w:val="24"/>
        </w:rPr>
        <w:t xml:space="preserve"> shall be provided </w:t>
      </w:r>
      <w:r w:rsidR="00331C3E">
        <w:rPr>
          <w:sz w:val="24"/>
          <w:szCs w:val="24"/>
        </w:rPr>
        <w:t xml:space="preserve">only </w:t>
      </w:r>
      <w:r w:rsidRPr="00BA0C89">
        <w:rPr>
          <w:sz w:val="24"/>
          <w:szCs w:val="24"/>
        </w:rPr>
        <w:t>as required by State law.</w:t>
      </w:r>
    </w:p>
    <w:p w14:paraId="137F6012" w14:textId="77777777" w:rsidR="00BA0C89" w:rsidRPr="00BA0C89" w:rsidRDefault="00BA0C89" w:rsidP="00BA0C89">
      <w:pPr>
        <w:pStyle w:val="ListParagraph"/>
        <w:tabs>
          <w:tab w:val="left" w:pos="1598"/>
          <w:tab w:val="left" w:pos="1599"/>
        </w:tabs>
        <w:spacing w:line="252" w:lineRule="auto"/>
        <w:ind w:left="792" w:right="213" w:firstLine="0"/>
        <w:rPr>
          <w:color w:val="1F1F1F"/>
          <w:sz w:val="24"/>
          <w:szCs w:val="24"/>
        </w:rPr>
      </w:pPr>
    </w:p>
    <w:p w14:paraId="189543C5" w14:textId="77777777" w:rsidR="00657618" w:rsidRPr="00657618" w:rsidRDefault="00000000" w:rsidP="00657618">
      <w:pPr>
        <w:pStyle w:val="ListParagraph"/>
        <w:numPr>
          <w:ilvl w:val="0"/>
          <w:numId w:val="13"/>
        </w:numPr>
        <w:tabs>
          <w:tab w:val="left" w:pos="1598"/>
          <w:tab w:val="left" w:pos="1599"/>
        </w:tabs>
        <w:spacing w:line="252" w:lineRule="auto"/>
        <w:ind w:right="213"/>
        <w:rPr>
          <w:color w:val="1F1F1F"/>
          <w:sz w:val="24"/>
          <w:szCs w:val="24"/>
        </w:rPr>
      </w:pPr>
      <w:r w:rsidRPr="00952B4B">
        <w:rPr>
          <w:sz w:val="24"/>
          <w:szCs w:val="24"/>
          <w:u w:val="single"/>
        </w:rPr>
        <w:t>Cable TV/Fiber Optic Service</w:t>
      </w:r>
      <w:r w:rsidRPr="00952B4B">
        <w:rPr>
          <w:sz w:val="24"/>
          <w:szCs w:val="24"/>
        </w:rPr>
        <w:t xml:space="preserve">. Upon application to the </w:t>
      </w:r>
      <w:r w:rsidR="00E84038" w:rsidRPr="00952B4B">
        <w:rPr>
          <w:sz w:val="24"/>
          <w:szCs w:val="24"/>
        </w:rPr>
        <w:t>City</w:t>
      </w:r>
      <w:r w:rsidRPr="00952B4B">
        <w:rPr>
          <w:sz w:val="24"/>
          <w:szCs w:val="24"/>
        </w:rPr>
        <w:t xml:space="preserve"> and approval of a franchise Agreement for such facilities, the Developer may install or cause to be installed underground all conduits and cable service/fiber optic lines within the Project at no expense to the </w:t>
      </w:r>
      <w:r w:rsidR="00E84038" w:rsidRPr="00952B4B">
        <w:rPr>
          <w:sz w:val="24"/>
          <w:szCs w:val="24"/>
        </w:rPr>
        <w:t>City</w:t>
      </w:r>
      <w:r w:rsidRPr="00952B4B">
        <w:rPr>
          <w:sz w:val="24"/>
          <w:szCs w:val="24"/>
        </w:rPr>
        <w:t xml:space="preserve">. The Developer may contract with any cable TV/fiber optic provider of its own choice and grant an exclusive access and/or easement to such provider to furnish cable TV/fiber optic services for those dwelling units or other uses on the Project, so long as the property is private and not dedicated to the public. </w:t>
      </w:r>
      <w:r w:rsidR="00AD5978">
        <w:t>Notwithstanding anything herein to the contrary, the City shall maintain the ability to charge and collect all taxes and/or fees with respect to such cable service and fiber optic lines as allowed under State Law.</w:t>
      </w:r>
    </w:p>
    <w:p w14:paraId="31559D02" w14:textId="77777777" w:rsidR="00657618" w:rsidRPr="00657618" w:rsidRDefault="00657618" w:rsidP="00657618">
      <w:pPr>
        <w:tabs>
          <w:tab w:val="left" w:pos="1598"/>
          <w:tab w:val="left" w:pos="1599"/>
        </w:tabs>
        <w:spacing w:line="252" w:lineRule="auto"/>
        <w:ind w:right="213"/>
        <w:rPr>
          <w:color w:val="1F1F1F"/>
          <w:sz w:val="24"/>
          <w:szCs w:val="24"/>
        </w:rPr>
      </w:pPr>
    </w:p>
    <w:p w14:paraId="3C75114C" w14:textId="77777777" w:rsidR="00BA0C89" w:rsidRPr="001C25ED" w:rsidRDefault="00000000" w:rsidP="00657618">
      <w:pPr>
        <w:pStyle w:val="ListParagraph"/>
        <w:numPr>
          <w:ilvl w:val="0"/>
          <w:numId w:val="13"/>
        </w:numPr>
        <w:tabs>
          <w:tab w:val="left" w:pos="1598"/>
          <w:tab w:val="left" w:pos="1599"/>
        </w:tabs>
        <w:spacing w:line="252" w:lineRule="auto"/>
        <w:ind w:right="213"/>
      </w:pPr>
      <w:r w:rsidRPr="00657618">
        <w:rPr>
          <w:sz w:val="24"/>
          <w:szCs w:val="24"/>
          <w:u w:val="single"/>
        </w:rPr>
        <w:t>Additional Easements</w:t>
      </w:r>
      <w:r w:rsidRPr="00657618">
        <w:rPr>
          <w:sz w:val="24"/>
          <w:szCs w:val="24"/>
        </w:rPr>
        <w:t xml:space="preserve">. </w:t>
      </w:r>
      <w:r w:rsidRPr="001C25ED">
        <w:t xml:space="preserve">The Developer shall secure any necessary utility and similar easements or similar property rights (including without limitation easements for water, sewer, power, gas, telephone, etc.) from neighboring property owners in connection with the planning and development of </w:t>
      </w:r>
      <w:r w:rsidR="00EE2515" w:rsidRPr="001C25ED">
        <w:t>the</w:t>
      </w:r>
      <w:r w:rsidRPr="001C25ED">
        <w:t xml:space="preserve"> Property. </w:t>
      </w:r>
    </w:p>
    <w:p w14:paraId="72255398" w14:textId="77777777" w:rsidR="00BA0C89" w:rsidRPr="00BA0C89" w:rsidRDefault="00BA0C89" w:rsidP="00BA0C89">
      <w:pPr>
        <w:pStyle w:val="ListParagraph"/>
        <w:tabs>
          <w:tab w:val="left" w:pos="1598"/>
          <w:tab w:val="left" w:pos="1599"/>
        </w:tabs>
        <w:spacing w:line="252" w:lineRule="auto"/>
        <w:ind w:left="1224" w:right="213" w:firstLine="0"/>
        <w:rPr>
          <w:color w:val="1F1F1F"/>
          <w:sz w:val="24"/>
          <w:szCs w:val="24"/>
        </w:rPr>
      </w:pPr>
    </w:p>
    <w:p w14:paraId="1D04D6E5" w14:textId="77777777" w:rsidR="00E90FA4" w:rsidRPr="00952B4B" w:rsidRDefault="00000000" w:rsidP="00E90FA4">
      <w:pPr>
        <w:pStyle w:val="ListParagraph"/>
        <w:numPr>
          <w:ilvl w:val="0"/>
          <w:numId w:val="13"/>
        </w:numPr>
        <w:tabs>
          <w:tab w:val="left" w:pos="1598"/>
          <w:tab w:val="left" w:pos="1599"/>
        </w:tabs>
        <w:spacing w:line="252" w:lineRule="auto"/>
        <w:ind w:right="213"/>
        <w:rPr>
          <w:color w:val="1F1F1F"/>
          <w:sz w:val="24"/>
          <w:szCs w:val="24"/>
        </w:rPr>
      </w:pPr>
      <w:r w:rsidRPr="00E90FA4">
        <w:rPr>
          <w:sz w:val="24"/>
          <w:szCs w:val="24"/>
          <w:u w:val="single"/>
        </w:rPr>
        <w:t>Future Property</w:t>
      </w:r>
      <w:r w:rsidRPr="00BA0C89">
        <w:rPr>
          <w:sz w:val="24"/>
          <w:szCs w:val="24"/>
        </w:rPr>
        <w:t xml:space="preserve">. If the Developer acquires any additional </w:t>
      </w:r>
      <w:r w:rsidR="00EE2515" w:rsidRPr="00BA0C89">
        <w:rPr>
          <w:sz w:val="24"/>
          <w:szCs w:val="24"/>
        </w:rPr>
        <w:t>property,</w:t>
      </w:r>
      <w:r w:rsidRPr="00BA0C89">
        <w:rPr>
          <w:sz w:val="24"/>
          <w:szCs w:val="24"/>
        </w:rPr>
        <w:t xml:space="preserve"> then such future property may be added to this Agreement if the </w:t>
      </w:r>
      <w:r w:rsidR="00E84038">
        <w:rPr>
          <w:sz w:val="24"/>
          <w:szCs w:val="24"/>
        </w:rPr>
        <w:t>City</w:t>
      </w:r>
      <w:r w:rsidRPr="00BA0C89">
        <w:rPr>
          <w:sz w:val="24"/>
          <w:szCs w:val="24"/>
        </w:rPr>
        <w:t xml:space="preserve"> determines </w:t>
      </w:r>
      <w:r w:rsidR="00AD5978">
        <w:rPr>
          <w:sz w:val="24"/>
          <w:szCs w:val="24"/>
        </w:rPr>
        <w:t xml:space="preserve">in its sole and absolute </w:t>
      </w:r>
      <w:r w:rsidR="00EE2515">
        <w:rPr>
          <w:sz w:val="24"/>
          <w:szCs w:val="24"/>
        </w:rPr>
        <w:t>discretion</w:t>
      </w:r>
      <w:r w:rsidR="00AD5978">
        <w:rPr>
          <w:sz w:val="24"/>
          <w:szCs w:val="24"/>
        </w:rPr>
        <w:t xml:space="preserve"> </w:t>
      </w:r>
      <w:r w:rsidRPr="00BA0C89">
        <w:rPr>
          <w:sz w:val="24"/>
          <w:szCs w:val="24"/>
        </w:rPr>
        <w:t xml:space="preserve">that the addition of such future property is appropriate </w:t>
      </w:r>
      <w:proofErr w:type="gramStart"/>
      <w:r w:rsidRPr="00BA0C89">
        <w:rPr>
          <w:sz w:val="24"/>
          <w:szCs w:val="24"/>
        </w:rPr>
        <w:t>in light of</w:t>
      </w:r>
      <w:proofErr w:type="gramEnd"/>
      <w:r w:rsidRPr="00BA0C89">
        <w:rPr>
          <w:sz w:val="24"/>
          <w:szCs w:val="24"/>
        </w:rPr>
        <w:t xml:space="preserve"> its proximity to the Project, compatibility and the appropriateness of such a development pattern.</w:t>
      </w:r>
    </w:p>
    <w:p w14:paraId="5DB4DF97" w14:textId="77777777" w:rsidR="006D1CD8" w:rsidRPr="00952B4B" w:rsidRDefault="006D1CD8" w:rsidP="00952B4B">
      <w:pPr>
        <w:pStyle w:val="ListParagraph"/>
        <w:tabs>
          <w:tab w:val="left" w:pos="1598"/>
          <w:tab w:val="left" w:pos="1599"/>
        </w:tabs>
        <w:spacing w:line="252" w:lineRule="auto"/>
        <w:ind w:left="360" w:right="213" w:firstLine="0"/>
        <w:rPr>
          <w:color w:val="1F1F1F"/>
          <w:sz w:val="24"/>
          <w:szCs w:val="24"/>
        </w:rPr>
      </w:pPr>
    </w:p>
    <w:p w14:paraId="7EF279DF" w14:textId="77777777" w:rsidR="001C25ED" w:rsidRPr="00952B4B" w:rsidRDefault="00000000" w:rsidP="00E90FA4">
      <w:pPr>
        <w:pStyle w:val="ListParagraph"/>
        <w:numPr>
          <w:ilvl w:val="0"/>
          <w:numId w:val="13"/>
        </w:numPr>
        <w:tabs>
          <w:tab w:val="left" w:pos="1598"/>
          <w:tab w:val="left" w:pos="1599"/>
        </w:tabs>
        <w:spacing w:line="252" w:lineRule="auto"/>
        <w:ind w:right="213"/>
        <w:rPr>
          <w:color w:val="1F1F1F"/>
          <w:sz w:val="24"/>
          <w:szCs w:val="24"/>
        </w:rPr>
      </w:pPr>
      <w:r>
        <w:rPr>
          <w:sz w:val="24"/>
          <w:szCs w:val="24"/>
          <w:u w:val="single"/>
        </w:rPr>
        <w:t>Impact Fees</w:t>
      </w:r>
      <w:r w:rsidRPr="00952B4B">
        <w:rPr>
          <w:color w:val="1F1F1F"/>
          <w:sz w:val="24"/>
          <w:szCs w:val="24"/>
        </w:rPr>
        <w:t>.</w:t>
      </w:r>
      <w:r>
        <w:rPr>
          <w:color w:val="1F1F1F"/>
          <w:sz w:val="24"/>
          <w:szCs w:val="24"/>
        </w:rPr>
        <w:t xml:space="preserve"> </w:t>
      </w:r>
      <w:r w:rsidRPr="00BA0C89">
        <w:rPr>
          <w:sz w:val="24"/>
          <w:szCs w:val="24"/>
        </w:rPr>
        <w:t xml:space="preserve"> </w:t>
      </w:r>
      <w:r>
        <w:t xml:space="preserve">Notwithstanding anything herein to the contrary, the City may adopt impact fees </w:t>
      </w:r>
      <w:r w:rsidR="006D1CD8">
        <w:t>pursuant</w:t>
      </w:r>
      <w:r>
        <w:t xml:space="preserve"> to Utah Code </w:t>
      </w:r>
      <w:r w:rsidR="006D1CD8">
        <w:t>Section</w:t>
      </w:r>
      <w:r>
        <w:t xml:space="preserve"> </w:t>
      </w:r>
      <w:r w:rsidR="006D1CD8">
        <w:t xml:space="preserve">11-36a-101 et seq. or as allowed </w:t>
      </w:r>
      <w:r>
        <w:t>under State Law</w:t>
      </w:r>
      <w:r w:rsidR="006D1CD8">
        <w:t>.</w:t>
      </w:r>
    </w:p>
    <w:p w14:paraId="373A4DEF" w14:textId="77777777" w:rsidR="00E90FA4" w:rsidRPr="00657618" w:rsidRDefault="00E90FA4" w:rsidP="00657618">
      <w:pPr>
        <w:tabs>
          <w:tab w:val="left" w:pos="1598"/>
          <w:tab w:val="left" w:pos="1599"/>
        </w:tabs>
        <w:spacing w:line="252" w:lineRule="auto"/>
        <w:ind w:right="213"/>
        <w:rPr>
          <w:color w:val="1F1F1F"/>
          <w:sz w:val="24"/>
          <w:szCs w:val="24"/>
        </w:rPr>
      </w:pPr>
    </w:p>
    <w:p w14:paraId="52CC8F48" w14:textId="77777777" w:rsidR="00E90FA4" w:rsidRPr="00E90FA4" w:rsidRDefault="00000000" w:rsidP="00E90FA4">
      <w:pPr>
        <w:pStyle w:val="ListParagraph"/>
        <w:numPr>
          <w:ilvl w:val="0"/>
          <w:numId w:val="13"/>
        </w:numPr>
        <w:tabs>
          <w:tab w:val="left" w:pos="1598"/>
          <w:tab w:val="left" w:pos="1599"/>
        </w:tabs>
        <w:spacing w:line="252" w:lineRule="auto"/>
        <w:ind w:right="213"/>
        <w:rPr>
          <w:color w:val="1F1F1F"/>
          <w:sz w:val="24"/>
          <w:szCs w:val="24"/>
        </w:rPr>
      </w:pPr>
      <w:r w:rsidRPr="00E90FA4">
        <w:rPr>
          <w:sz w:val="24"/>
          <w:szCs w:val="24"/>
          <w:u w:val="single"/>
        </w:rPr>
        <w:t>Default</w:t>
      </w:r>
      <w:r w:rsidRPr="00E90FA4">
        <w:rPr>
          <w:sz w:val="24"/>
          <w:szCs w:val="24"/>
        </w:rPr>
        <w:t>.</w:t>
      </w:r>
    </w:p>
    <w:p w14:paraId="0CA1A59C" w14:textId="77777777" w:rsidR="00E90FA4" w:rsidRPr="00E90FA4" w:rsidRDefault="00E90FA4" w:rsidP="00E90FA4">
      <w:pPr>
        <w:pStyle w:val="ListParagraph"/>
        <w:tabs>
          <w:tab w:val="left" w:pos="1598"/>
          <w:tab w:val="left" w:pos="1599"/>
        </w:tabs>
        <w:spacing w:line="252" w:lineRule="auto"/>
        <w:ind w:left="360" w:right="213" w:firstLine="0"/>
        <w:rPr>
          <w:color w:val="1F1F1F"/>
          <w:sz w:val="24"/>
          <w:szCs w:val="24"/>
        </w:rPr>
      </w:pPr>
    </w:p>
    <w:p w14:paraId="305B0D17" w14:textId="77777777" w:rsidR="00E90FA4" w:rsidRPr="00E90FA4" w:rsidRDefault="00000000" w:rsidP="00161FE0">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Notice</w:t>
      </w:r>
      <w:r w:rsidRPr="00E90FA4">
        <w:rPr>
          <w:sz w:val="24"/>
          <w:szCs w:val="24"/>
        </w:rPr>
        <w:t xml:space="preserve">. If the Developer or a Successor Developer or the </w:t>
      </w:r>
      <w:r w:rsidR="00E84038">
        <w:rPr>
          <w:sz w:val="24"/>
          <w:szCs w:val="24"/>
        </w:rPr>
        <w:t>City</w:t>
      </w:r>
      <w:r w:rsidRPr="00E90FA4">
        <w:rPr>
          <w:sz w:val="24"/>
          <w:szCs w:val="24"/>
        </w:rPr>
        <w:t xml:space="preserve"> fails to perform their respective obligations hereunder or to comply with the terms hereof, the party believing that a Default has occurred shall provide Notice to the other party. If the </w:t>
      </w:r>
      <w:r w:rsidR="00E84038">
        <w:rPr>
          <w:sz w:val="24"/>
          <w:szCs w:val="24"/>
        </w:rPr>
        <w:t>City</w:t>
      </w:r>
      <w:r w:rsidRPr="00E90FA4">
        <w:rPr>
          <w:sz w:val="24"/>
          <w:szCs w:val="24"/>
        </w:rPr>
        <w:t xml:space="preserve"> believes that the Default has been committed by a Successor </w:t>
      </w:r>
      <w:r w:rsidR="00EE2515" w:rsidRPr="00E90FA4">
        <w:rPr>
          <w:sz w:val="24"/>
          <w:szCs w:val="24"/>
        </w:rPr>
        <w:t>Developer,</w:t>
      </w:r>
      <w:r w:rsidRPr="00E90FA4">
        <w:rPr>
          <w:sz w:val="24"/>
          <w:szCs w:val="24"/>
        </w:rPr>
        <w:t xml:space="preserve"> then the </w:t>
      </w:r>
      <w:r w:rsidR="00E84038">
        <w:rPr>
          <w:sz w:val="24"/>
          <w:szCs w:val="24"/>
        </w:rPr>
        <w:t>City</w:t>
      </w:r>
      <w:r w:rsidRPr="00E90FA4">
        <w:rPr>
          <w:sz w:val="24"/>
          <w:szCs w:val="24"/>
        </w:rPr>
        <w:t xml:space="preserve"> shall also provide a courtesy copy of the Notice to the Developer (“</w:t>
      </w:r>
      <w:r w:rsidRPr="005B1B29">
        <w:rPr>
          <w:b/>
          <w:sz w:val="24"/>
          <w:szCs w:val="24"/>
        </w:rPr>
        <w:t>Default</w:t>
      </w:r>
      <w:r w:rsidRPr="00E90FA4">
        <w:rPr>
          <w:sz w:val="24"/>
          <w:szCs w:val="24"/>
        </w:rPr>
        <w:t xml:space="preserve">”). </w:t>
      </w:r>
    </w:p>
    <w:p w14:paraId="301206C5" w14:textId="77777777" w:rsidR="00E90FA4" w:rsidRPr="00E90FA4" w:rsidRDefault="00E90FA4" w:rsidP="00E90FA4">
      <w:pPr>
        <w:pStyle w:val="ListParagraph"/>
        <w:tabs>
          <w:tab w:val="left" w:pos="1598"/>
          <w:tab w:val="left" w:pos="1599"/>
        </w:tabs>
        <w:spacing w:line="252" w:lineRule="auto"/>
        <w:ind w:left="360" w:right="213" w:firstLine="0"/>
        <w:rPr>
          <w:color w:val="1F1F1F"/>
          <w:sz w:val="24"/>
          <w:szCs w:val="24"/>
        </w:rPr>
      </w:pPr>
    </w:p>
    <w:p w14:paraId="3E9A7E1F" w14:textId="77777777" w:rsidR="00E90FA4" w:rsidRPr="00E90FA4" w:rsidRDefault="00000000" w:rsidP="001455FC">
      <w:pPr>
        <w:pStyle w:val="ListParagraph"/>
        <w:numPr>
          <w:ilvl w:val="2"/>
          <w:numId w:val="13"/>
        </w:numPr>
        <w:tabs>
          <w:tab w:val="left" w:pos="1598"/>
          <w:tab w:val="left" w:pos="1599"/>
        </w:tabs>
        <w:spacing w:line="252" w:lineRule="auto"/>
        <w:ind w:right="213"/>
        <w:rPr>
          <w:color w:val="1F1F1F"/>
          <w:sz w:val="24"/>
          <w:szCs w:val="24"/>
        </w:rPr>
      </w:pPr>
      <w:r w:rsidRPr="00E90FA4">
        <w:rPr>
          <w:sz w:val="24"/>
          <w:szCs w:val="24"/>
          <w:u w:val="single"/>
        </w:rPr>
        <w:t>Contents of the Notice of Default</w:t>
      </w:r>
      <w:r w:rsidRPr="00E90FA4">
        <w:rPr>
          <w:sz w:val="24"/>
          <w:szCs w:val="24"/>
        </w:rPr>
        <w:t>. The notice of default shall:</w:t>
      </w:r>
    </w:p>
    <w:p w14:paraId="47E53AD6"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400EF9D6" w14:textId="77777777" w:rsidR="00E90FA4" w:rsidRPr="00E90FA4" w:rsidRDefault="00000000" w:rsidP="001455FC">
      <w:pPr>
        <w:pStyle w:val="ListParagraph"/>
        <w:numPr>
          <w:ilvl w:val="3"/>
          <w:numId w:val="13"/>
        </w:numPr>
        <w:tabs>
          <w:tab w:val="left" w:pos="1598"/>
          <w:tab w:val="left" w:pos="1599"/>
        </w:tabs>
        <w:spacing w:line="252" w:lineRule="auto"/>
        <w:ind w:right="213"/>
        <w:rPr>
          <w:color w:val="1F1F1F"/>
          <w:sz w:val="24"/>
          <w:szCs w:val="24"/>
        </w:rPr>
      </w:pPr>
      <w:r w:rsidRPr="00E90FA4">
        <w:rPr>
          <w:sz w:val="24"/>
          <w:szCs w:val="24"/>
        </w:rPr>
        <w:t xml:space="preserve">Specify the claimed event of </w:t>
      </w:r>
      <w:proofErr w:type="gramStart"/>
      <w:r w:rsidRPr="00E90FA4">
        <w:rPr>
          <w:sz w:val="24"/>
          <w:szCs w:val="24"/>
        </w:rPr>
        <w:t>Default;</w:t>
      </w:r>
      <w:proofErr w:type="gramEnd"/>
    </w:p>
    <w:p w14:paraId="19935545" w14:textId="77777777" w:rsidR="00E90FA4" w:rsidRPr="00E90FA4" w:rsidRDefault="00E90FA4" w:rsidP="00E90FA4">
      <w:pPr>
        <w:pStyle w:val="ListParagraph"/>
        <w:tabs>
          <w:tab w:val="left" w:pos="1598"/>
          <w:tab w:val="left" w:pos="1599"/>
        </w:tabs>
        <w:spacing w:line="252" w:lineRule="auto"/>
        <w:ind w:left="1224" w:right="213" w:firstLine="0"/>
        <w:rPr>
          <w:color w:val="1F1F1F"/>
          <w:sz w:val="24"/>
          <w:szCs w:val="24"/>
        </w:rPr>
      </w:pPr>
    </w:p>
    <w:p w14:paraId="443AF954" w14:textId="77777777" w:rsidR="00E90FA4" w:rsidRPr="00E90FA4" w:rsidRDefault="00000000" w:rsidP="001455FC">
      <w:pPr>
        <w:pStyle w:val="ListParagraph"/>
        <w:numPr>
          <w:ilvl w:val="3"/>
          <w:numId w:val="13"/>
        </w:numPr>
        <w:tabs>
          <w:tab w:val="left" w:pos="1598"/>
          <w:tab w:val="left" w:pos="1599"/>
        </w:tabs>
        <w:spacing w:line="252" w:lineRule="auto"/>
        <w:ind w:right="213"/>
        <w:rPr>
          <w:color w:val="1F1F1F"/>
          <w:sz w:val="24"/>
          <w:szCs w:val="24"/>
        </w:rPr>
      </w:pPr>
      <w:r w:rsidRPr="00E90FA4">
        <w:rPr>
          <w:sz w:val="24"/>
          <w:szCs w:val="24"/>
        </w:rPr>
        <w:t xml:space="preserve">Identify with particularity the provisions of any applicable law, rule, regulation or provision of this Agreement that is claimed to be in </w:t>
      </w:r>
      <w:proofErr w:type="gramStart"/>
      <w:r w:rsidRPr="00E90FA4">
        <w:rPr>
          <w:sz w:val="24"/>
          <w:szCs w:val="24"/>
        </w:rPr>
        <w:t>Default;</w:t>
      </w:r>
      <w:proofErr w:type="gramEnd"/>
      <w:r w:rsidRPr="00E90FA4">
        <w:rPr>
          <w:sz w:val="24"/>
          <w:szCs w:val="24"/>
        </w:rPr>
        <w:t xml:space="preserve"> </w:t>
      </w:r>
    </w:p>
    <w:p w14:paraId="257BED60" w14:textId="77777777" w:rsidR="00E90FA4" w:rsidRPr="00E90FA4" w:rsidRDefault="00E90FA4" w:rsidP="00E90FA4">
      <w:pPr>
        <w:pStyle w:val="ListParagraph"/>
        <w:tabs>
          <w:tab w:val="left" w:pos="1598"/>
          <w:tab w:val="left" w:pos="1599"/>
        </w:tabs>
        <w:spacing w:line="252" w:lineRule="auto"/>
        <w:ind w:left="1224" w:right="213" w:firstLine="0"/>
        <w:rPr>
          <w:color w:val="1F1F1F"/>
          <w:sz w:val="24"/>
          <w:szCs w:val="24"/>
        </w:rPr>
      </w:pPr>
    </w:p>
    <w:p w14:paraId="1E4E37E5" w14:textId="77777777" w:rsidR="00E90FA4" w:rsidRPr="00E90FA4" w:rsidRDefault="00000000" w:rsidP="001455FC">
      <w:pPr>
        <w:pStyle w:val="ListParagraph"/>
        <w:numPr>
          <w:ilvl w:val="3"/>
          <w:numId w:val="13"/>
        </w:numPr>
        <w:tabs>
          <w:tab w:val="left" w:pos="1598"/>
          <w:tab w:val="left" w:pos="1599"/>
        </w:tabs>
        <w:spacing w:line="252" w:lineRule="auto"/>
        <w:ind w:right="213"/>
        <w:rPr>
          <w:color w:val="1F1F1F"/>
          <w:sz w:val="24"/>
          <w:szCs w:val="24"/>
        </w:rPr>
      </w:pPr>
      <w:r w:rsidRPr="00E90FA4">
        <w:rPr>
          <w:sz w:val="24"/>
          <w:szCs w:val="24"/>
        </w:rPr>
        <w:t>Identify why the Default is claimed to be material; and</w:t>
      </w:r>
    </w:p>
    <w:p w14:paraId="39C312A0" w14:textId="77777777" w:rsidR="00E90FA4" w:rsidRPr="00E90FA4" w:rsidRDefault="00E90FA4" w:rsidP="00E90FA4">
      <w:pPr>
        <w:pStyle w:val="ListParagraph"/>
        <w:tabs>
          <w:tab w:val="left" w:pos="1598"/>
          <w:tab w:val="left" w:pos="1599"/>
        </w:tabs>
        <w:spacing w:line="252" w:lineRule="auto"/>
        <w:ind w:left="1224" w:right="213" w:firstLine="0"/>
        <w:rPr>
          <w:color w:val="1F1F1F"/>
          <w:sz w:val="24"/>
          <w:szCs w:val="24"/>
        </w:rPr>
      </w:pPr>
    </w:p>
    <w:p w14:paraId="0BAE5414" w14:textId="77777777" w:rsidR="00E90FA4" w:rsidRPr="00E90FA4" w:rsidRDefault="00000000" w:rsidP="001455FC">
      <w:pPr>
        <w:pStyle w:val="ListParagraph"/>
        <w:numPr>
          <w:ilvl w:val="3"/>
          <w:numId w:val="13"/>
        </w:numPr>
        <w:tabs>
          <w:tab w:val="left" w:pos="1598"/>
          <w:tab w:val="left" w:pos="1599"/>
        </w:tabs>
        <w:spacing w:line="252" w:lineRule="auto"/>
        <w:ind w:right="213"/>
        <w:rPr>
          <w:color w:val="1F1F1F"/>
          <w:sz w:val="24"/>
          <w:szCs w:val="24"/>
        </w:rPr>
      </w:pPr>
      <w:r w:rsidRPr="00E90FA4">
        <w:rPr>
          <w:sz w:val="24"/>
          <w:szCs w:val="24"/>
        </w:rPr>
        <w:t xml:space="preserve">If the </w:t>
      </w:r>
      <w:r w:rsidR="00E84038">
        <w:rPr>
          <w:sz w:val="24"/>
          <w:szCs w:val="24"/>
        </w:rPr>
        <w:t>City</w:t>
      </w:r>
      <w:r w:rsidRPr="00E90FA4">
        <w:rPr>
          <w:sz w:val="24"/>
          <w:szCs w:val="24"/>
        </w:rPr>
        <w:t xml:space="preserve"> chooses, in its discretion, propose a method and time for </w:t>
      </w:r>
      <w:r w:rsidRPr="00E90FA4">
        <w:rPr>
          <w:sz w:val="24"/>
          <w:szCs w:val="24"/>
        </w:rPr>
        <w:lastRenderedPageBreak/>
        <w:t>curing the Default which shall be of no less than sixty (60) days duration.</w:t>
      </w:r>
    </w:p>
    <w:p w14:paraId="39DC2F79" w14:textId="77777777" w:rsidR="00E90FA4" w:rsidRPr="00E90FA4" w:rsidRDefault="00E90FA4" w:rsidP="00E90FA4">
      <w:pPr>
        <w:pStyle w:val="ListParagraph"/>
        <w:tabs>
          <w:tab w:val="left" w:pos="1598"/>
          <w:tab w:val="left" w:pos="1599"/>
        </w:tabs>
        <w:spacing w:line="252" w:lineRule="auto"/>
        <w:ind w:left="1224" w:right="213" w:firstLine="0"/>
        <w:rPr>
          <w:color w:val="1F1F1F"/>
          <w:sz w:val="24"/>
          <w:szCs w:val="24"/>
        </w:rPr>
      </w:pPr>
    </w:p>
    <w:p w14:paraId="4F16153D" w14:textId="77777777" w:rsidR="00E90FA4" w:rsidRPr="00657618" w:rsidRDefault="00000000" w:rsidP="00657618">
      <w:pPr>
        <w:pStyle w:val="ListParagraph"/>
        <w:numPr>
          <w:ilvl w:val="2"/>
          <w:numId w:val="13"/>
        </w:numPr>
        <w:tabs>
          <w:tab w:val="left" w:pos="1598"/>
          <w:tab w:val="left" w:pos="1599"/>
        </w:tabs>
        <w:spacing w:line="252" w:lineRule="auto"/>
        <w:ind w:right="213"/>
        <w:rPr>
          <w:color w:val="1F1F1F"/>
          <w:sz w:val="24"/>
          <w:szCs w:val="24"/>
        </w:rPr>
      </w:pPr>
      <w:r w:rsidRPr="00765498">
        <w:rPr>
          <w:sz w:val="24"/>
          <w:szCs w:val="24"/>
          <w:u w:val="single"/>
        </w:rPr>
        <w:t>Remedies</w:t>
      </w:r>
      <w:r w:rsidRPr="00765498">
        <w:rPr>
          <w:sz w:val="24"/>
          <w:szCs w:val="24"/>
        </w:rPr>
        <w:t xml:space="preserve">. </w:t>
      </w:r>
      <w:r w:rsidR="00A63F59" w:rsidRPr="00765498">
        <w:rPr>
          <w:sz w:val="24"/>
          <w:szCs w:val="24"/>
        </w:rPr>
        <w:t xml:space="preserve">IF THE PARTIES ARE NOT ABLE TO RESOLVE THE DEFAULT THROUGH GOOD FAITH NEGOTIATIONS OR THROUGH MEDIATION (WHICH BOTH PARTIES AGREE TO SUBMIT TO UPON THE REQUEST OF THE OTHER PARTY), THEN THE </w:t>
      </w:r>
      <w:r w:rsidR="00A63F59" w:rsidRPr="00765498">
        <w:rPr>
          <w:bCs/>
        </w:rPr>
        <w:t>SOLE REMEDY AVAILABLE TO</w:t>
      </w:r>
      <w:r w:rsidR="00A63F59">
        <w:rPr>
          <w:bCs/>
        </w:rPr>
        <w:t xml:space="preserve"> A PARTY HEREUNEDER </w:t>
      </w:r>
      <w:r w:rsidR="00A63F59" w:rsidRPr="00765498">
        <w:rPr>
          <w:bCs/>
        </w:rPr>
        <w:t xml:space="preserve"> SHALL BE THAT OF SPECIFIC PERFORMANCE AND DEVELOPER</w:t>
      </w:r>
      <w:r w:rsidR="000F2CE7">
        <w:rPr>
          <w:bCs/>
        </w:rPr>
        <w:t>, SUCCESOR DEVELOPER</w:t>
      </w:r>
      <w:r w:rsidR="00A63F59" w:rsidRPr="00765498">
        <w:rPr>
          <w:bCs/>
        </w:rPr>
        <w:t xml:space="preserve"> AN</w:t>
      </w:r>
      <w:r w:rsidR="00A63F59">
        <w:rPr>
          <w:bCs/>
        </w:rPr>
        <w:t>D THE DEFAULTING PARTY</w:t>
      </w:r>
      <w:r w:rsidR="00A63F59" w:rsidRPr="00765498">
        <w:rPr>
          <w:bCs/>
        </w:rPr>
        <w:t xml:space="preserve"> SHALL NOT BE</w:t>
      </w:r>
      <w:r w:rsidR="00A63F59" w:rsidRPr="00765498">
        <w:t xml:space="preserve"> </w:t>
      </w:r>
      <w:r w:rsidR="00A63F59">
        <w:t xml:space="preserve">ENTITLED TO ANY CLAIM FOR ANY MONETARY DAMAGES INCLUDING BUT NOT LIMITED TO </w:t>
      </w:r>
      <w:r w:rsidR="00A63F59" w:rsidRPr="00BA79D5">
        <w:t>ANY INDIRECT, PUNITIVE, SPECIAL, CONSEQUENTIAL, OR INCIDENTAL DAMAGES WHATSOEVER, INCLUDING LOSS OF GOODWILL OR LOSS OF PROFITS</w:t>
      </w:r>
      <w:r w:rsidR="00A63F59">
        <w:t xml:space="preserve"> AS A RESULT OF ANY BREACH OF THIS AGREEMENT</w:t>
      </w:r>
      <w:r w:rsidR="00A63F59" w:rsidRPr="00A63F59">
        <w:t xml:space="preserve"> </w:t>
      </w:r>
      <w:r w:rsidR="00A63F59" w:rsidRPr="00BA79D5">
        <w:t>OR FOR ANY OTHER REASON</w:t>
      </w:r>
      <w:r w:rsidR="00A63F59">
        <w:t xml:space="preserve">.  PROVIDED, HOWEVER, THE CITY </w:t>
      </w:r>
      <w:r w:rsidR="00A63F59" w:rsidRPr="00765498">
        <w:rPr>
          <w:sz w:val="24"/>
          <w:szCs w:val="24"/>
        </w:rPr>
        <w:t>MAY DRAW ON ANY SECURITY POSTED OR PROVIDED IN CONNECTION WITH THE PROJECT AND RELATING TO REMEDYING OF THE PARTICULAR DEFAULT AND</w:t>
      </w:r>
      <w:r w:rsidR="00A63F59" w:rsidRPr="00E90FA4">
        <w:rPr>
          <w:sz w:val="24"/>
          <w:szCs w:val="24"/>
        </w:rPr>
        <w:t xml:space="preserve"> WITHHOLD ALL FURTHER REVIEWS, APPROVALS, LICENSES, BUILDING PERMITS AND/OR OTHER PERMITS FOR DEVELOPMENT OF THE PROJECT IN THE CASE OF A DEFAULT BY THE DEVELOPER, OR IN THE CASE OF A DEFAULT BY A SUCCESSOR DEVELOPER, DEVELOPMENT OF THOSE PARCELS OWNED BY THE SUCCESSOR DEVELOPER UNTIL THE DEFAULT HAS BEEN CURED.</w:t>
      </w:r>
    </w:p>
    <w:p w14:paraId="1D39AEA9"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48EE59A4"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Extended Cure Period</w:t>
      </w:r>
      <w:r w:rsidRPr="00E90FA4">
        <w:rPr>
          <w:sz w:val="24"/>
          <w:szCs w:val="24"/>
        </w:rPr>
        <w:t xml:space="preserve">. If any Default cannot be reasonably cured within sixty (60) </w:t>
      </w:r>
      <w:r w:rsidR="00EE2515" w:rsidRPr="00E90FA4">
        <w:rPr>
          <w:sz w:val="24"/>
          <w:szCs w:val="24"/>
        </w:rPr>
        <w:t>days,</w:t>
      </w:r>
      <w:r w:rsidRPr="00E90FA4">
        <w:rPr>
          <w:sz w:val="24"/>
          <w:szCs w:val="24"/>
        </w:rPr>
        <w:t xml:space="preserve"> then such cure period shall be extended so long as the defaulting party is pursuing a cure with reasonable diligence. </w:t>
      </w:r>
    </w:p>
    <w:p w14:paraId="7AF1D705"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2AD2D0FB" w14:textId="77777777" w:rsidR="00E90FA4" w:rsidRPr="00E90FA4" w:rsidRDefault="00000000" w:rsidP="00E90FA4">
      <w:pPr>
        <w:pStyle w:val="ListParagraph"/>
        <w:numPr>
          <w:ilvl w:val="0"/>
          <w:numId w:val="13"/>
        </w:numPr>
        <w:tabs>
          <w:tab w:val="left" w:pos="1598"/>
          <w:tab w:val="left" w:pos="1599"/>
        </w:tabs>
        <w:spacing w:line="252" w:lineRule="auto"/>
        <w:ind w:right="213"/>
        <w:rPr>
          <w:color w:val="1F1F1F"/>
          <w:sz w:val="24"/>
          <w:szCs w:val="24"/>
        </w:rPr>
      </w:pPr>
      <w:r w:rsidRPr="00E90FA4">
        <w:rPr>
          <w:sz w:val="24"/>
          <w:szCs w:val="24"/>
          <w:u w:val="single"/>
        </w:rPr>
        <w:t>Miscellaneous</w:t>
      </w:r>
      <w:r w:rsidRPr="00E90FA4">
        <w:rPr>
          <w:b/>
          <w:sz w:val="24"/>
          <w:szCs w:val="24"/>
        </w:rPr>
        <w:t>.</w:t>
      </w:r>
    </w:p>
    <w:p w14:paraId="74A7F1E4" w14:textId="77777777" w:rsidR="00E90FA4" w:rsidRPr="00E90FA4" w:rsidRDefault="00E90FA4" w:rsidP="00E90FA4">
      <w:pPr>
        <w:pStyle w:val="ListParagraph"/>
        <w:tabs>
          <w:tab w:val="left" w:pos="1598"/>
          <w:tab w:val="left" w:pos="1599"/>
        </w:tabs>
        <w:spacing w:line="252" w:lineRule="auto"/>
        <w:ind w:left="360" w:right="213" w:firstLine="0"/>
        <w:rPr>
          <w:color w:val="1F1F1F"/>
          <w:sz w:val="24"/>
          <w:szCs w:val="24"/>
        </w:rPr>
      </w:pPr>
    </w:p>
    <w:p w14:paraId="69F7A752"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Authority</w:t>
      </w:r>
      <w:r w:rsidRPr="00E90FA4">
        <w:rPr>
          <w:sz w:val="24"/>
          <w:szCs w:val="24"/>
        </w:rPr>
        <w:t xml:space="preserve">. The Parties to this Agreement each warrant that they have </w:t>
      </w:r>
      <w:proofErr w:type="gramStart"/>
      <w:r w:rsidRPr="00E90FA4">
        <w:rPr>
          <w:sz w:val="24"/>
          <w:szCs w:val="24"/>
        </w:rPr>
        <w:t>all of</w:t>
      </w:r>
      <w:proofErr w:type="gramEnd"/>
      <w:r w:rsidRPr="00E90FA4">
        <w:rPr>
          <w:sz w:val="24"/>
          <w:szCs w:val="24"/>
        </w:rPr>
        <w:t xml:space="preserve"> the necessary authority to execute this Agreement.</w:t>
      </w:r>
    </w:p>
    <w:p w14:paraId="5CDAD96B"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52D3B589"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Controlling Laws</w:t>
      </w:r>
      <w:r w:rsidRPr="00E90FA4">
        <w:rPr>
          <w:sz w:val="24"/>
          <w:szCs w:val="24"/>
        </w:rPr>
        <w:t xml:space="preserve">. Development of the Property will proceed in accordance with this Agreement, the laws of the State of Utah and the Codes and Ordinances of </w:t>
      </w:r>
      <w:r w:rsidR="0056128F">
        <w:rPr>
          <w:sz w:val="24"/>
          <w:szCs w:val="24"/>
        </w:rPr>
        <w:t>Erda</w:t>
      </w:r>
      <w:r w:rsidRPr="00E90FA4">
        <w:rPr>
          <w:sz w:val="24"/>
          <w:szCs w:val="24"/>
        </w:rPr>
        <w:t xml:space="preserve"> </w:t>
      </w:r>
      <w:r w:rsidR="00E84038">
        <w:rPr>
          <w:sz w:val="24"/>
          <w:szCs w:val="24"/>
        </w:rPr>
        <w:t>City</w:t>
      </w:r>
      <w:r w:rsidRPr="00E90FA4">
        <w:rPr>
          <w:sz w:val="24"/>
          <w:szCs w:val="24"/>
        </w:rPr>
        <w:t xml:space="preserve"> in effect as of the date an application is made, unless otherwise specified herein.</w:t>
      </w:r>
    </w:p>
    <w:p w14:paraId="1EE8368B"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4D8129F1"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Term of Agreement</w:t>
      </w:r>
      <w:r w:rsidRPr="00E90FA4">
        <w:rPr>
          <w:sz w:val="24"/>
          <w:szCs w:val="24"/>
        </w:rPr>
        <w:t xml:space="preserve">. The term of this Agreement shall be until the tenth anniversary of the Effective Date. If as of that date the Developer has not been declared to be in default, or if any such declared default is not being cured as provided therein, then this Agreement shall be automatically extended until the fifteenth anniversary of the Effective Date. </w:t>
      </w:r>
    </w:p>
    <w:p w14:paraId="6F32EC46"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0F9F1E96"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Amendment</w:t>
      </w:r>
      <w:r w:rsidRPr="00E90FA4">
        <w:rPr>
          <w:sz w:val="24"/>
          <w:szCs w:val="24"/>
        </w:rPr>
        <w:t xml:space="preserve">. Any future amendments to this Agreement shall be in writing </w:t>
      </w:r>
      <w:r w:rsidRPr="00E90FA4">
        <w:rPr>
          <w:sz w:val="24"/>
          <w:szCs w:val="24"/>
        </w:rPr>
        <w:lastRenderedPageBreak/>
        <w:t xml:space="preserve">and signed by the Developer (or a duly appointed agent of the Developer) and a duly authorized representative of the </w:t>
      </w:r>
      <w:r w:rsidR="00E84038">
        <w:rPr>
          <w:sz w:val="24"/>
          <w:szCs w:val="24"/>
        </w:rPr>
        <w:t>City</w:t>
      </w:r>
      <w:r w:rsidRPr="00E90FA4">
        <w:rPr>
          <w:sz w:val="24"/>
          <w:szCs w:val="24"/>
        </w:rPr>
        <w:t>.</w:t>
      </w:r>
    </w:p>
    <w:p w14:paraId="66651C5C"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4FFDD448" w14:textId="77777777" w:rsidR="00E90FA4" w:rsidRPr="00110EF0" w:rsidRDefault="00000000" w:rsidP="00657618">
      <w:pPr>
        <w:pStyle w:val="ListParagraph"/>
        <w:numPr>
          <w:ilvl w:val="1"/>
          <w:numId w:val="13"/>
        </w:numPr>
        <w:tabs>
          <w:tab w:val="left" w:pos="1598"/>
          <w:tab w:val="left" w:pos="1599"/>
        </w:tabs>
        <w:spacing w:line="252" w:lineRule="auto"/>
        <w:ind w:right="213" w:firstLine="0"/>
        <w:rPr>
          <w:color w:val="1F1F1F"/>
          <w:sz w:val="24"/>
          <w:szCs w:val="24"/>
        </w:rPr>
      </w:pPr>
      <w:r w:rsidRPr="00D5359D">
        <w:rPr>
          <w:sz w:val="24"/>
          <w:szCs w:val="24"/>
          <w:u w:val="single"/>
        </w:rPr>
        <w:t>Assignability</w:t>
      </w:r>
      <w:r w:rsidRPr="00D5359D">
        <w:rPr>
          <w:sz w:val="24"/>
          <w:szCs w:val="24"/>
        </w:rPr>
        <w:t xml:space="preserve">. </w:t>
      </w:r>
      <w:r w:rsidR="00D5359D">
        <w:t>Except as provide below n</w:t>
      </w:r>
      <w:r w:rsidR="00D5359D" w:rsidRPr="006911E9">
        <w:t>either this Agreement nor any of the provisions, terms or conditions hereof can be assigned to any other party, individual or entity without the consent of the other party. This Agreement shall be binding upon any successors and assigns.  This restriction on assignment is not intended to prohibit or impede the sale by Developer</w:t>
      </w:r>
      <w:r w:rsidR="00D5359D">
        <w:t xml:space="preserve"> and shall not be unreas</w:t>
      </w:r>
      <w:r w:rsidR="00EE2515">
        <w:t>onabl</w:t>
      </w:r>
      <w:r w:rsidR="00110EF0">
        <w:t>y</w:t>
      </w:r>
      <w:r w:rsidR="00D5359D">
        <w:t xml:space="preserve"> </w:t>
      </w:r>
      <w:r w:rsidR="00EE2515">
        <w:t>withheld</w:t>
      </w:r>
      <w:r w:rsidR="00D5359D" w:rsidRPr="006911E9">
        <w:t>.</w:t>
      </w:r>
      <w:r w:rsidR="00D5359D" w:rsidRPr="00AD7393">
        <w:t xml:space="preserve"> </w:t>
      </w:r>
      <w:r w:rsidR="00D5359D">
        <w:t xml:space="preserve"> </w:t>
      </w:r>
      <w:r w:rsidR="00D5359D" w:rsidRPr="00227D48">
        <w:t xml:space="preserve">Developer’s transfer of all or any part of the </w:t>
      </w:r>
      <w:r w:rsidR="00D5359D">
        <w:t>Property</w:t>
      </w:r>
      <w:r w:rsidR="00D5359D" w:rsidRPr="00227D48">
        <w:t xml:space="preserve"> to any </w:t>
      </w:r>
      <w:r w:rsidR="00D5359D">
        <w:t xml:space="preserve">entity </w:t>
      </w:r>
      <w:r w:rsidR="00EE2515">
        <w:t>controlled</w:t>
      </w:r>
      <w:r w:rsidR="00D5359D">
        <w:t xml:space="preserve"> by Developer</w:t>
      </w:r>
      <w:r w:rsidR="00D5359D" w:rsidRPr="00227D48">
        <w:t>, Developer’s entry into a joint venture for the development of the Project</w:t>
      </w:r>
      <w:r w:rsidR="00D5359D">
        <w:t>,</w:t>
      </w:r>
      <w:r w:rsidR="00D5359D" w:rsidRPr="00227D48">
        <w:t xml:space="preserve"> or Developer’s pledging of part or </w:t>
      </w:r>
      <w:proofErr w:type="gramStart"/>
      <w:r w:rsidR="00D5359D" w:rsidRPr="00227D48">
        <w:t>all of</w:t>
      </w:r>
      <w:proofErr w:type="gramEnd"/>
      <w:r w:rsidR="00D5359D" w:rsidRPr="00227D48">
        <w:t xml:space="preserve"> the Project as security for financing shall not be deemed to be an “assignment” subject to the above-referenced approval</w:t>
      </w:r>
      <w:r w:rsidR="00D5359D">
        <w:t>.</w:t>
      </w:r>
      <w:r w:rsidR="00D5359D" w:rsidRPr="00227D48">
        <w:t xml:space="preserve"> Developer shall give the </w:t>
      </w:r>
      <w:r w:rsidR="00D5359D">
        <w:t>City</w:t>
      </w:r>
      <w:r w:rsidR="00D5359D" w:rsidRPr="00227D48">
        <w:t xml:space="preserve"> </w:t>
      </w:r>
      <w:r w:rsidR="00D5359D">
        <w:t>n</w:t>
      </w:r>
      <w:r w:rsidR="00D5359D" w:rsidRPr="00227D48">
        <w:t xml:space="preserve">otice of any event specified in this sub-section within ten (10) days </w:t>
      </w:r>
      <w:r w:rsidR="00D5359D">
        <w:t>before</w:t>
      </w:r>
      <w:r w:rsidR="00D5359D" w:rsidRPr="00227D48">
        <w:t xml:space="preserve"> the event </w:t>
      </w:r>
      <w:r w:rsidR="00EE2515" w:rsidRPr="00227D48">
        <w:t>occurs</w:t>
      </w:r>
      <w:r w:rsidR="00D5359D" w:rsidRPr="00227D48">
        <w:t xml:space="preserve">.  Such </w:t>
      </w:r>
      <w:r w:rsidR="00D5359D">
        <w:t>n</w:t>
      </w:r>
      <w:r w:rsidR="00D5359D" w:rsidRPr="00227D48">
        <w:t xml:space="preserve">otice shall include providing the </w:t>
      </w:r>
      <w:r w:rsidR="00D5359D">
        <w:t>City</w:t>
      </w:r>
      <w:r w:rsidR="00D5359D" w:rsidRPr="00227D48">
        <w:t xml:space="preserve"> with all necessary contact information</w:t>
      </w:r>
      <w:r w:rsidR="00D5359D">
        <w:t xml:space="preserve">. </w:t>
      </w:r>
    </w:p>
    <w:p w14:paraId="57C5A659" w14:textId="77777777" w:rsidR="00110EF0" w:rsidRPr="00D5359D" w:rsidRDefault="00110EF0" w:rsidP="00110EF0">
      <w:pPr>
        <w:pStyle w:val="ListParagraph"/>
        <w:tabs>
          <w:tab w:val="left" w:pos="1598"/>
          <w:tab w:val="left" w:pos="1599"/>
        </w:tabs>
        <w:spacing w:line="252" w:lineRule="auto"/>
        <w:ind w:left="792" w:right="213" w:firstLine="0"/>
        <w:rPr>
          <w:color w:val="1F1F1F"/>
          <w:sz w:val="24"/>
          <w:szCs w:val="24"/>
        </w:rPr>
      </w:pPr>
    </w:p>
    <w:p w14:paraId="548B7627"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Binding Effect</w:t>
      </w:r>
      <w:r w:rsidRPr="00E90FA4">
        <w:rPr>
          <w:sz w:val="24"/>
          <w:szCs w:val="24"/>
        </w:rPr>
        <w:t xml:space="preserve">. This Agreement shall be deemed to run with the </w:t>
      </w:r>
      <w:r w:rsidR="00EE2515" w:rsidRPr="00E90FA4">
        <w:rPr>
          <w:sz w:val="24"/>
          <w:szCs w:val="24"/>
        </w:rPr>
        <w:t>Property and</w:t>
      </w:r>
      <w:r w:rsidRPr="00E90FA4">
        <w:rPr>
          <w:sz w:val="24"/>
          <w:szCs w:val="24"/>
        </w:rPr>
        <w:t xml:space="preserve"> shall be binding upon and inure to the benefit of the heirs and assigns of the parties hereto, and to any entities resulting from the reorganization, consolidation, or merger of any party hereto. </w:t>
      </w:r>
    </w:p>
    <w:p w14:paraId="05409D7F"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1AE6D71F"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Notices</w:t>
      </w:r>
      <w:r w:rsidRPr="00E90FA4">
        <w:rPr>
          <w:sz w:val="24"/>
          <w:szCs w:val="24"/>
        </w:rPr>
        <w:t xml:space="preserve">. Any notices, requests and demands required or permitted to be given by any provision of this Agreement shall be in writing and shall be deemed to have been sufficiently given or served for all purposes if delivered personally to the party to whom the same is directed or three (3) days after being sent by United States mail, certified or registered mail, postage prepaid, addressed to such party's address set forth next to such party's signature below. Any party may change its address or notice by giving written notice to the other party in accordance with the provisions of this Section. </w:t>
      </w:r>
    </w:p>
    <w:p w14:paraId="24D78CC4"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7C400022"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Headings</w:t>
      </w:r>
      <w:r w:rsidRPr="00E90FA4">
        <w:rPr>
          <w:sz w:val="24"/>
          <w:szCs w:val="24"/>
        </w:rPr>
        <w:t xml:space="preserve">. The headings contained in this Agreement are intended for convenience only and are in no way to be used to construe or limit the text herein. </w:t>
      </w:r>
    </w:p>
    <w:p w14:paraId="3E521CC0"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6F25CA17"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Integration</w:t>
      </w:r>
      <w:r w:rsidRPr="00E90FA4">
        <w:rPr>
          <w:sz w:val="24"/>
          <w:szCs w:val="24"/>
        </w:rPr>
        <w:t xml:space="preserve">. This Agreement constitutes the entire understanding and Agreement between the parties, and supersedes any previous Agreement, representation, or understanding between the parties relating to the subject matter hereof. </w:t>
      </w:r>
    </w:p>
    <w:p w14:paraId="17C6B41E"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3CF89BC5"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Severability</w:t>
      </w:r>
      <w:r w:rsidRPr="00E90FA4">
        <w:rPr>
          <w:sz w:val="24"/>
          <w:szCs w:val="24"/>
        </w:rPr>
        <w:t xml:space="preserve">. If any part or provision of this Agreement shall be adjudged unconstitutional, </w:t>
      </w:r>
      <w:proofErr w:type="gramStart"/>
      <w:r w:rsidRPr="00E90FA4">
        <w:rPr>
          <w:sz w:val="24"/>
          <w:szCs w:val="24"/>
        </w:rPr>
        <w:t>invalid</w:t>
      </w:r>
      <w:proofErr w:type="gramEnd"/>
      <w:r w:rsidRPr="00E90FA4">
        <w:rPr>
          <w:sz w:val="24"/>
          <w:szCs w:val="24"/>
        </w:rPr>
        <w:t xml:space="preserve"> or unenforceable by a court or competent jurisdiction, then such a judgment shall not affect any other part or provision of this Agreement except that part or provision so adjudged to be unconstitutional, invalid or unenforceable. If any condition, covenant, or other provision of this Agreement shall be deemed invalid due to its scope or breadth, such provision shall be deemed valid to the extent of the scope or breadth permitted by law.</w:t>
      </w:r>
    </w:p>
    <w:p w14:paraId="287CA93D"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51754660" w14:textId="77777777" w:rsidR="00E90FA4" w:rsidRPr="00E90FA4" w:rsidRDefault="00000000" w:rsidP="00E90FA4">
      <w:pPr>
        <w:pStyle w:val="ListParagraph"/>
        <w:numPr>
          <w:ilvl w:val="1"/>
          <w:numId w:val="13"/>
        </w:numPr>
        <w:tabs>
          <w:tab w:val="left" w:pos="1598"/>
          <w:tab w:val="left" w:pos="1599"/>
        </w:tabs>
        <w:spacing w:line="252" w:lineRule="auto"/>
        <w:ind w:right="213"/>
        <w:rPr>
          <w:color w:val="1F1F1F"/>
          <w:sz w:val="24"/>
          <w:szCs w:val="24"/>
        </w:rPr>
      </w:pPr>
      <w:r w:rsidRPr="00E90FA4">
        <w:rPr>
          <w:sz w:val="24"/>
          <w:szCs w:val="24"/>
          <w:u w:val="single"/>
        </w:rPr>
        <w:t>Waiver</w:t>
      </w:r>
      <w:r w:rsidRPr="00E90FA4">
        <w:rPr>
          <w:sz w:val="24"/>
          <w:szCs w:val="24"/>
        </w:rPr>
        <w:t xml:space="preserve">. Any waiver by any party hereto of any breach of any kind or character </w:t>
      </w:r>
      <w:r w:rsidR="00EE2515" w:rsidRPr="00E90FA4">
        <w:rPr>
          <w:sz w:val="24"/>
          <w:szCs w:val="24"/>
        </w:rPr>
        <w:t>whatsoever</w:t>
      </w:r>
      <w:r w:rsidRPr="00E90FA4">
        <w:rPr>
          <w:sz w:val="24"/>
          <w:szCs w:val="24"/>
        </w:rPr>
        <w:t xml:space="preserve"> by the other party, whether such waiver be direct or implied, shall not be construed as a continuing waiver of or consent to any subsequent breach of this Agreement on the part of the other part.</w:t>
      </w:r>
    </w:p>
    <w:p w14:paraId="1B19BA14" w14:textId="77777777" w:rsidR="00E90FA4" w:rsidRPr="00E90FA4" w:rsidRDefault="00E90FA4" w:rsidP="00E90FA4">
      <w:pPr>
        <w:pStyle w:val="ListParagraph"/>
        <w:tabs>
          <w:tab w:val="left" w:pos="1598"/>
          <w:tab w:val="left" w:pos="1599"/>
        </w:tabs>
        <w:spacing w:line="252" w:lineRule="auto"/>
        <w:ind w:left="792" w:right="213" w:firstLine="0"/>
        <w:rPr>
          <w:color w:val="1F1F1F"/>
          <w:sz w:val="24"/>
          <w:szCs w:val="24"/>
        </w:rPr>
      </w:pPr>
    </w:p>
    <w:p w14:paraId="450445A4" w14:textId="77777777" w:rsidR="005044AE" w:rsidRPr="005044AE" w:rsidRDefault="00000000" w:rsidP="005044AE">
      <w:pPr>
        <w:pStyle w:val="ListParagraph"/>
        <w:numPr>
          <w:ilvl w:val="1"/>
          <w:numId w:val="13"/>
        </w:numPr>
        <w:tabs>
          <w:tab w:val="left" w:pos="1598"/>
          <w:tab w:val="left" w:pos="1599"/>
        </w:tabs>
        <w:spacing w:line="252" w:lineRule="auto"/>
        <w:ind w:right="213"/>
        <w:rPr>
          <w:color w:val="1F1F1F"/>
          <w:sz w:val="24"/>
          <w:szCs w:val="24"/>
        </w:rPr>
      </w:pPr>
      <w:r w:rsidRPr="005044AE">
        <w:rPr>
          <w:sz w:val="24"/>
          <w:szCs w:val="24"/>
          <w:u w:val="single"/>
        </w:rPr>
        <w:t>Governing Law</w:t>
      </w:r>
      <w:r w:rsidRPr="00E90FA4">
        <w:rPr>
          <w:sz w:val="24"/>
          <w:szCs w:val="24"/>
        </w:rPr>
        <w:t xml:space="preserve">. This Agreement shall be interpreted, </w:t>
      </w:r>
      <w:proofErr w:type="gramStart"/>
      <w:r w:rsidRPr="00E90FA4">
        <w:rPr>
          <w:sz w:val="24"/>
          <w:szCs w:val="24"/>
        </w:rPr>
        <w:t>construed</w:t>
      </w:r>
      <w:proofErr w:type="gramEnd"/>
      <w:r w:rsidRPr="00E90FA4">
        <w:rPr>
          <w:sz w:val="24"/>
          <w:szCs w:val="24"/>
        </w:rPr>
        <w:t xml:space="preserve"> and enforced according to the laws of the State of Utah. </w:t>
      </w:r>
    </w:p>
    <w:p w14:paraId="4FF07D25" w14:textId="77777777" w:rsidR="005044AE" w:rsidRPr="005044AE" w:rsidRDefault="005044AE" w:rsidP="005044AE">
      <w:pPr>
        <w:pStyle w:val="ListParagraph"/>
        <w:tabs>
          <w:tab w:val="left" w:pos="1598"/>
          <w:tab w:val="left" w:pos="1599"/>
        </w:tabs>
        <w:spacing w:line="252" w:lineRule="auto"/>
        <w:ind w:left="792" w:right="213" w:firstLine="0"/>
        <w:rPr>
          <w:color w:val="1F1F1F"/>
          <w:sz w:val="24"/>
          <w:szCs w:val="24"/>
        </w:rPr>
      </w:pPr>
    </w:p>
    <w:p w14:paraId="57FDC2BE" w14:textId="77777777" w:rsidR="005044AE" w:rsidRPr="005044AE" w:rsidRDefault="005044AE" w:rsidP="005044AE">
      <w:pPr>
        <w:pStyle w:val="ListParagraph"/>
        <w:tabs>
          <w:tab w:val="left" w:pos="1598"/>
          <w:tab w:val="left" w:pos="1599"/>
        </w:tabs>
        <w:spacing w:line="252" w:lineRule="auto"/>
        <w:ind w:left="792" w:right="213" w:firstLine="0"/>
        <w:rPr>
          <w:color w:val="1F1F1F"/>
          <w:sz w:val="24"/>
          <w:szCs w:val="24"/>
        </w:rPr>
      </w:pPr>
    </w:p>
    <w:p w14:paraId="3D24C5BF" w14:textId="77777777" w:rsidR="005044AE" w:rsidRPr="005044AE" w:rsidRDefault="00000000" w:rsidP="005044AE">
      <w:pPr>
        <w:pStyle w:val="ListParagraph"/>
        <w:numPr>
          <w:ilvl w:val="1"/>
          <w:numId w:val="13"/>
        </w:numPr>
        <w:tabs>
          <w:tab w:val="left" w:pos="1598"/>
          <w:tab w:val="left" w:pos="1599"/>
        </w:tabs>
        <w:spacing w:line="252" w:lineRule="auto"/>
        <w:ind w:right="213"/>
        <w:rPr>
          <w:color w:val="1F1F1F"/>
          <w:sz w:val="24"/>
          <w:szCs w:val="24"/>
        </w:rPr>
      </w:pPr>
      <w:r w:rsidRPr="005044AE">
        <w:rPr>
          <w:sz w:val="24"/>
          <w:szCs w:val="24"/>
          <w:u w:val="single"/>
        </w:rPr>
        <w:t>Further Documentation</w:t>
      </w:r>
      <w:r w:rsidRPr="005044AE">
        <w:rPr>
          <w:sz w:val="24"/>
          <w:szCs w:val="24"/>
        </w:rPr>
        <w:t>. This Agreement is entered into by both parties with the recognition and anticipation that subsequent Agreements implementing and carrying out the provisions of this Agreement may be necessary. The parties agree to negotiate in good faith with respect to all such future Agreements.</w:t>
      </w:r>
    </w:p>
    <w:p w14:paraId="46C2F83E" w14:textId="77777777" w:rsidR="005044AE" w:rsidRPr="005044AE" w:rsidRDefault="005044AE" w:rsidP="005044AE">
      <w:pPr>
        <w:pStyle w:val="ListParagraph"/>
        <w:tabs>
          <w:tab w:val="left" w:pos="1598"/>
          <w:tab w:val="left" w:pos="1599"/>
        </w:tabs>
        <w:spacing w:line="252" w:lineRule="auto"/>
        <w:ind w:left="792" w:right="213" w:firstLine="0"/>
        <w:rPr>
          <w:color w:val="1F1F1F"/>
          <w:sz w:val="24"/>
          <w:szCs w:val="24"/>
        </w:rPr>
      </w:pPr>
    </w:p>
    <w:p w14:paraId="40BA43C8" w14:textId="77777777" w:rsidR="005044AE" w:rsidRPr="005044AE" w:rsidRDefault="00000000" w:rsidP="005044AE">
      <w:pPr>
        <w:pStyle w:val="ListParagraph"/>
        <w:numPr>
          <w:ilvl w:val="1"/>
          <w:numId w:val="13"/>
        </w:numPr>
        <w:tabs>
          <w:tab w:val="left" w:pos="1598"/>
          <w:tab w:val="left" w:pos="1599"/>
        </w:tabs>
        <w:spacing w:line="252" w:lineRule="auto"/>
        <w:ind w:right="213"/>
        <w:rPr>
          <w:color w:val="1F1F1F"/>
          <w:sz w:val="24"/>
          <w:szCs w:val="24"/>
        </w:rPr>
      </w:pPr>
      <w:r w:rsidRPr="005044AE">
        <w:rPr>
          <w:sz w:val="24"/>
          <w:szCs w:val="24"/>
          <w:u w:val="single"/>
        </w:rPr>
        <w:t>Estoppel Certificate</w:t>
      </w:r>
      <w:r w:rsidRPr="005044AE">
        <w:rPr>
          <w:sz w:val="24"/>
          <w:szCs w:val="24"/>
        </w:rPr>
        <w:t xml:space="preserve">. If no default has occurred in the provisions of this Agreement and upon twenty (20) days prior written request by the Developer or a Successor Developer, the </w:t>
      </w:r>
      <w:r w:rsidR="00E84038">
        <w:rPr>
          <w:sz w:val="24"/>
          <w:szCs w:val="24"/>
        </w:rPr>
        <w:t>City</w:t>
      </w:r>
      <w:r w:rsidRPr="005044AE">
        <w:rPr>
          <w:sz w:val="24"/>
          <w:szCs w:val="24"/>
        </w:rPr>
        <w:t xml:space="preserve"> will execute an estoppel certificate to any third party, certifying that the Developer or a Successor Developer</w:t>
      </w:r>
      <w:proofErr w:type="gramStart"/>
      <w:r w:rsidRPr="005044AE">
        <w:rPr>
          <w:sz w:val="24"/>
          <w:szCs w:val="24"/>
        </w:rPr>
        <w:t>, as the case may be, at</w:t>
      </w:r>
      <w:proofErr w:type="gramEnd"/>
      <w:r w:rsidRPr="005044AE">
        <w:rPr>
          <w:sz w:val="24"/>
          <w:szCs w:val="24"/>
        </w:rPr>
        <w:t xml:space="preserve"> that time is not in default of the terms of this Agreement. </w:t>
      </w:r>
    </w:p>
    <w:p w14:paraId="44C720A7" w14:textId="77777777" w:rsidR="005044AE" w:rsidRPr="005044AE" w:rsidRDefault="005044AE" w:rsidP="005044AE">
      <w:pPr>
        <w:pStyle w:val="ListParagraph"/>
        <w:tabs>
          <w:tab w:val="left" w:pos="1598"/>
          <w:tab w:val="left" w:pos="1599"/>
        </w:tabs>
        <w:spacing w:line="252" w:lineRule="auto"/>
        <w:ind w:left="792" w:right="213" w:firstLine="0"/>
        <w:rPr>
          <w:color w:val="1F1F1F"/>
          <w:sz w:val="24"/>
          <w:szCs w:val="24"/>
        </w:rPr>
      </w:pPr>
    </w:p>
    <w:p w14:paraId="263C8E12" w14:textId="77777777" w:rsidR="005044AE" w:rsidRPr="005044AE" w:rsidRDefault="00000000" w:rsidP="005044AE">
      <w:pPr>
        <w:pStyle w:val="ListParagraph"/>
        <w:numPr>
          <w:ilvl w:val="1"/>
          <w:numId w:val="13"/>
        </w:numPr>
        <w:tabs>
          <w:tab w:val="left" w:pos="1598"/>
          <w:tab w:val="left" w:pos="1599"/>
        </w:tabs>
        <w:spacing w:line="252" w:lineRule="auto"/>
        <w:ind w:right="213"/>
        <w:rPr>
          <w:color w:val="1F1F1F"/>
          <w:sz w:val="24"/>
          <w:szCs w:val="24"/>
        </w:rPr>
      </w:pPr>
      <w:r w:rsidRPr="005044AE">
        <w:rPr>
          <w:sz w:val="24"/>
          <w:szCs w:val="24"/>
          <w:u w:val="single"/>
        </w:rPr>
        <w:t>No Joint Venture</w:t>
      </w:r>
      <w:r w:rsidRPr="005044AE">
        <w:rPr>
          <w:sz w:val="24"/>
          <w:szCs w:val="24"/>
        </w:rPr>
        <w:t xml:space="preserve">. This Agreement does not create a joint venture relationship, partnership or agency relationship between the </w:t>
      </w:r>
      <w:proofErr w:type="gramStart"/>
      <w:r w:rsidR="00E84038">
        <w:rPr>
          <w:sz w:val="24"/>
          <w:szCs w:val="24"/>
        </w:rPr>
        <w:t>City</w:t>
      </w:r>
      <w:proofErr w:type="gramEnd"/>
      <w:r w:rsidRPr="005044AE">
        <w:rPr>
          <w:sz w:val="24"/>
          <w:szCs w:val="24"/>
        </w:rPr>
        <w:t xml:space="preserve"> and the Developer.</w:t>
      </w:r>
    </w:p>
    <w:p w14:paraId="7C23157D" w14:textId="77777777" w:rsidR="005044AE" w:rsidRPr="005044AE" w:rsidRDefault="005044AE" w:rsidP="005044AE">
      <w:pPr>
        <w:pStyle w:val="ListParagraph"/>
        <w:tabs>
          <w:tab w:val="left" w:pos="1598"/>
          <w:tab w:val="left" w:pos="1599"/>
        </w:tabs>
        <w:spacing w:line="252" w:lineRule="auto"/>
        <w:ind w:left="792" w:right="213" w:firstLine="0"/>
        <w:rPr>
          <w:color w:val="1F1F1F"/>
          <w:sz w:val="24"/>
          <w:szCs w:val="24"/>
        </w:rPr>
      </w:pPr>
    </w:p>
    <w:p w14:paraId="68FC4B27" w14:textId="77777777" w:rsidR="005044AE" w:rsidRPr="005044AE" w:rsidRDefault="00000000" w:rsidP="005044AE">
      <w:pPr>
        <w:pStyle w:val="ListParagraph"/>
        <w:numPr>
          <w:ilvl w:val="1"/>
          <w:numId w:val="13"/>
        </w:numPr>
        <w:tabs>
          <w:tab w:val="left" w:pos="1598"/>
          <w:tab w:val="left" w:pos="1599"/>
        </w:tabs>
        <w:spacing w:line="252" w:lineRule="auto"/>
        <w:ind w:right="213"/>
        <w:rPr>
          <w:color w:val="1F1F1F"/>
          <w:sz w:val="24"/>
          <w:szCs w:val="24"/>
        </w:rPr>
      </w:pPr>
      <w:r w:rsidRPr="005044AE">
        <w:rPr>
          <w:sz w:val="24"/>
          <w:szCs w:val="24"/>
          <w:u w:val="single"/>
        </w:rPr>
        <w:t>Mutual Drafting</w:t>
      </w:r>
      <w:r w:rsidRPr="005044AE">
        <w:rPr>
          <w:sz w:val="24"/>
          <w:szCs w:val="24"/>
        </w:rPr>
        <w:t xml:space="preserve">. Each party has participated in negotiating and drafting this Agreement and therefore no provision of this Agreement shall be construed for or against either party based on which party drafted any </w:t>
      </w:r>
      <w:proofErr w:type="gramStart"/>
      <w:r w:rsidRPr="005044AE">
        <w:rPr>
          <w:sz w:val="24"/>
          <w:szCs w:val="24"/>
        </w:rPr>
        <w:t>particular portion</w:t>
      </w:r>
      <w:proofErr w:type="gramEnd"/>
      <w:r w:rsidRPr="005044AE">
        <w:rPr>
          <w:sz w:val="24"/>
          <w:szCs w:val="24"/>
        </w:rPr>
        <w:t xml:space="preserve"> of this Agreement. </w:t>
      </w:r>
    </w:p>
    <w:p w14:paraId="31DC02FE" w14:textId="77777777" w:rsidR="005044AE" w:rsidRPr="005044AE" w:rsidRDefault="005044AE" w:rsidP="005044AE">
      <w:pPr>
        <w:pStyle w:val="ListParagraph"/>
        <w:tabs>
          <w:tab w:val="left" w:pos="1598"/>
          <w:tab w:val="left" w:pos="1599"/>
        </w:tabs>
        <w:spacing w:line="252" w:lineRule="auto"/>
        <w:ind w:left="792" w:right="213" w:firstLine="0"/>
        <w:rPr>
          <w:color w:val="1F1F1F"/>
          <w:sz w:val="24"/>
          <w:szCs w:val="24"/>
        </w:rPr>
      </w:pPr>
    </w:p>
    <w:p w14:paraId="606B8C5C" w14:textId="77777777" w:rsidR="00A55401" w:rsidRPr="00110EF0" w:rsidRDefault="00000000" w:rsidP="005044AE">
      <w:pPr>
        <w:pStyle w:val="ListParagraph"/>
        <w:numPr>
          <w:ilvl w:val="1"/>
          <w:numId w:val="13"/>
        </w:numPr>
        <w:tabs>
          <w:tab w:val="left" w:pos="1598"/>
          <w:tab w:val="left" w:pos="1599"/>
        </w:tabs>
        <w:spacing w:line="252" w:lineRule="auto"/>
        <w:ind w:right="213"/>
        <w:rPr>
          <w:color w:val="1F1F1F"/>
          <w:sz w:val="24"/>
          <w:szCs w:val="24"/>
        </w:rPr>
      </w:pPr>
      <w:r w:rsidRPr="005044AE">
        <w:rPr>
          <w:sz w:val="24"/>
          <w:szCs w:val="24"/>
          <w:u w:val="single"/>
        </w:rPr>
        <w:t>Authority</w:t>
      </w:r>
      <w:r w:rsidRPr="005044AE">
        <w:rPr>
          <w:sz w:val="24"/>
          <w:szCs w:val="24"/>
        </w:rPr>
        <w:t xml:space="preserve">. The parties to this Agreement each warrant that they have </w:t>
      </w:r>
      <w:proofErr w:type="gramStart"/>
      <w:r w:rsidRPr="005044AE">
        <w:rPr>
          <w:sz w:val="24"/>
          <w:szCs w:val="24"/>
        </w:rPr>
        <w:t>all of</w:t>
      </w:r>
      <w:proofErr w:type="gramEnd"/>
      <w:r w:rsidRPr="005044AE">
        <w:rPr>
          <w:sz w:val="24"/>
          <w:szCs w:val="24"/>
        </w:rPr>
        <w:t xml:space="preserve"> the necessary authority to execute this Agreement. Specifically, on behalf of the </w:t>
      </w:r>
      <w:proofErr w:type="gramStart"/>
      <w:r w:rsidR="00E84038">
        <w:rPr>
          <w:sz w:val="24"/>
          <w:szCs w:val="24"/>
        </w:rPr>
        <w:t>City</w:t>
      </w:r>
      <w:proofErr w:type="gramEnd"/>
      <w:r w:rsidRPr="005044AE">
        <w:rPr>
          <w:sz w:val="24"/>
          <w:szCs w:val="24"/>
        </w:rPr>
        <w:t xml:space="preserve">, the signature of the Mayor of the </w:t>
      </w:r>
      <w:r w:rsidR="00E84038">
        <w:rPr>
          <w:sz w:val="24"/>
          <w:szCs w:val="24"/>
        </w:rPr>
        <w:t>City</w:t>
      </w:r>
      <w:r w:rsidRPr="005044AE">
        <w:rPr>
          <w:sz w:val="24"/>
          <w:szCs w:val="24"/>
        </w:rPr>
        <w:t xml:space="preserve"> is affixed to this Agreement lawfully binding the </w:t>
      </w:r>
      <w:r w:rsidR="00E84038">
        <w:rPr>
          <w:sz w:val="24"/>
          <w:szCs w:val="24"/>
        </w:rPr>
        <w:t>City</w:t>
      </w:r>
      <w:r w:rsidRPr="005044AE">
        <w:rPr>
          <w:sz w:val="24"/>
          <w:szCs w:val="24"/>
        </w:rPr>
        <w:t xml:space="preserve"> pursuant to and is further certified as to being lawful and binding on the </w:t>
      </w:r>
      <w:r w:rsidR="00E84038">
        <w:rPr>
          <w:sz w:val="24"/>
          <w:szCs w:val="24"/>
        </w:rPr>
        <w:t>City</w:t>
      </w:r>
      <w:r w:rsidRPr="005044AE">
        <w:rPr>
          <w:sz w:val="24"/>
          <w:szCs w:val="24"/>
        </w:rPr>
        <w:t xml:space="preserve"> by the signature of the </w:t>
      </w:r>
      <w:r w:rsidR="00E84038">
        <w:rPr>
          <w:sz w:val="24"/>
          <w:szCs w:val="24"/>
        </w:rPr>
        <w:t>City</w:t>
      </w:r>
      <w:r w:rsidRPr="005044AE">
        <w:rPr>
          <w:sz w:val="24"/>
          <w:szCs w:val="24"/>
        </w:rPr>
        <w:t xml:space="preserve"> Attorney.</w:t>
      </w:r>
    </w:p>
    <w:p w14:paraId="18F48735" w14:textId="77777777" w:rsidR="00D5359D" w:rsidRPr="00110EF0" w:rsidRDefault="00D5359D" w:rsidP="00110EF0">
      <w:pPr>
        <w:pStyle w:val="ListParagraph"/>
        <w:rPr>
          <w:color w:val="1F1F1F"/>
          <w:sz w:val="24"/>
          <w:szCs w:val="24"/>
        </w:rPr>
      </w:pPr>
    </w:p>
    <w:p w14:paraId="77F3B14D" w14:textId="77777777" w:rsidR="00D5359D" w:rsidRPr="005044AE" w:rsidRDefault="00000000" w:rsidP="005044AE">
      <w:pPr>
        <w:pStyle w:val="ListParagraph"/>
        <w:numPr>
          <w:ilvl w:val="1"/>
          <w:numId w:val="13"/>
        </w:numPr>
        <w:tabs>
          <w:tab w:val="left" w:pos="1598"/>
          <w:tab w:val="left" w:pos="1599"/>
        </w:tabs>
        <w:spacing w:line="252" w:lineRule="auto"/>
        <w:ind w:right="213"/>
        <w:rPr>
          <w:color w:val="1F1F1F"/>
          <w:sz w:val="24"/>
          <w:szCs w:val="24"/>
        </w:rPr>
      </w:pPr>
      <w:r>
        <w:rPr>
          <w:color w:val="1F1F1F"/>
          <w:sz w:val="24"/>
          <w:szCs w:val="24"/>
          <w:u w:val="single"/>
        </w:rPr>
        <w:t>Clearly Established State Law</w:t>
      </w:r>
      <w:r>
        <w:rPr>
          <w:color w:val="1F1F1F"/>
          <w:sz w:val="24"/>
          <w:szCs w:val="24"/>
        </w:rPr>
        <w:t xml:space="preserve">.  The Developer acknowledges and agrees that this Agreement does not </w:t>
      </w:r>
      <w:r w:rsidR="00EE2515">
        <w:rPr>
          <w:color w:val="1F1F1F"/>
          <w:sz w:val="24"/>
          <w:szCs w:val="24"/>
        </w:rPr>
        <w:t>restrict</w:t>
      </w:r>
      <w:r>
        <w:rPr>
          <w:color w:val="1F1F1F"/>
          <w:sz w:val="24"/>
          <w:szCs w:val="24"/>
        </w:rPr>
        <w:t xml:space="preserve"> the Developer’s rights under clearly established state rights as contemplated in Utah Coe Section 10-9a-532(c). </w:t>
      </w:r>
    </w:p>
    <w:p w14:paraId="5AE5C7E3" w14:textId="77777777" w:rsidR="00A55401" w:rsidRPr="00A55401" w:rsidRDefault="00A55401" w:rsidP="00A55401">
      <w:pPr>
        <w:rPr>
          <w:sz w:val="24"/>
          <w:szCs w:val="24"/>
        </w:rPr>
      </w:pPr>
    </w:p>
    <w:p w14:paraId="3C32457A" w14:textId="77777777" w:rsidR="00965B8C" w:rsidRPr="00423960" w:rsidRDefault="00000000" w:rsidP="005044AE">
      <w:pPr>
        <w:rPr>
          <w:sz w:val="24"/>
          <w:szCs w:val="24"/>
        </w:rPr>
        <w:sectPr w:rsidR="00965B8C" w:rsidRPr="00423960" w:rsidSect="00504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380" w:gutter="0"/>
          <w:cols w:space="720"/>
          <w:docGrid w:linePitch="299"/>
        </w:sectPr>
      </w:pPr>
      <w:r w:rsidRPr="00A55401">
        <w:rPr>
          <w:sz w:val="24"/>
          <w:szCs w:val="24"/>
        </w:rPr>
        <w:t>IN WITNESS WHEREOF, the parties have executed this Agreement by their authorized representatives effective as of the date first written above.</w:t>
      </w:r>
      <w:r w:rsidR="005044AE" w:rsidRPr="00423960">
        <w:rPr>
          <w:sz w:val="24"/>
          <w:szCs w:val="24"/>
        </w:rPr>
        <w:t xml:space="preserve"> </w:t>
      </w:r>
    </w:p>
    <w:p w14:paraId="6FA03661" w14:textId="77777777" w:rsidR="00965B8C" w:rsidRPr="00423960" w:rsidRDefault="00965B8C" w:rsidP="000C7605">
      <w:pPr>
        <w:pStyle w:val="BodyText"/>
        <w:spacing w:before="4"/>
        <w:rPr>
          <w:sz w:val="24"/>
          <w:szCs w:val="24"/>
        </w:rPr>
      </w:pPr>
    </w:p>
    <w:sectPr w:rsidR="00965B8C" w:rsidRPr="00423960" w:rsidSect="005044AE">
      <w:type w:val="continuous"/>
      <w:pgSz w:w="12240" w:h="15840"/>
      <w:pgMar w:top="1440" w:right="1440" w:bottom="1440" w:left="1440" w:header="720" w:footer="720" w:gutter="0"/>
      <w:cols w:num="3" w:space="720" w:equalWidth="0">
        <w:col w:w="2424" w:space="40"/>
        <w:col w:w="3566" w:space="39"/>
        <w:col w:w="329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F4C8" w14:textId="77777777" w:rsidR="009434A5" w:rsidRDefault="009434A5">
      <w:r>
        <w:separator/>
      </w:r>
    </w:p>
  </w:endnote>
  <w:endnote w:type="continuationSeparator" w:id="0">
    <w:p w14:paraId="11995C99" w14:textId="77777777" w:rsidR="009434A5" w:rsidRDefault="0094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66A6" w14:textId="77777777" w:rsidR="005044AE" w:rsidRDefault="00504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A3A3" w14:textId="77777777" w:rsidR="005044AE" w:rsidRDefault="00504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BD56" w14:textId="77777777" w:rsidR="005044AE" w:rsidRDefault="00504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647D" w14:textId="77777777" w:rsidR="009434A5" w:rsidRDefault="009434A5">
      <w:r>
        <w:separator/>
      </w:r>
    </w:p>
  </w:footnote>
  <w:footnote w:type="continuationSeparator" w:id="0">
    <w:p w14:paraId="71A03127" w14:textId="77777777" w:rsidR="009434A5" w:rsidRDefault="0094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A3ED" w14:textId="77777777" w:rsidR="005044AE" w:rsidRDefault="00504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B42E" w14:textId="77777777" w:rsidR="005044AE" w:rsidRDefault="00504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1C79" w14:textId="77777777" w:rsidR="005044AE" w:rsidRDefault="0050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D15"/>
    <w:multiLevelType w:val="multilevel"/>
    <w:tmpl w:val="3B3A8FF0"/>
    <w:lvl w:ilvl="0">
      <w:start w:val="7"/>
      <w:numFmt w:val="decimal"/>
      <w:lvlText w:val="%1."/>
      <w:lvlJc w:val="left"/>
      <w:pPr>
        <w:tabs>
          <w:tab w:val="num" w:pos="864"/>
        </w:tabs>
        <w:ind w:left="0" w:firstLine="720"/>
      </w:pPr>
      <w:rPr>
        <w:rFonts w:hint="default"/>
        <w:b w:val="0"/>
      </w:rPr>
    </w:lvl>
    <w:lvl w:ilvl="1">
      <w:start w:val="1"/>
      <w:numFmt w:val="decimal"/>
      <w:lvlText w:val="%1.%2."/>
      <w:lvlJc w:val="left"/>
      <w:pPr>
        <w:tabs>
          <w:tab w:val="num" w:pos="1584"/>
        </w:tabs>
        <w:ind w:left="1440" w:firstLine="0"/>
      </w:pPr>
      <w:rPr>
        <w:rFonts w:hint="default"/>
        <w:b w:val="0"/>
        <w:i w:val="0"/>
      </w:rPr>
    </w:lvl>
    <w:lvl w:ilvl="2">
      <w:start w:val="1"/>
      <w:numFmt w:val="decimal"/>
      <w:lvlText w:val="%1.%2.%3."/>
      <w:lvlJc w:val="left"/>
      <w:pPr>
        <w:tabs>
          <w:tab w:val="num" w:pos="2304"/>
        </w:tabs>
        <w:ind w:left="2160" w:firstLine="0"/>
      </w:pPr>
      <w:rPr>
        <w:rFonts w:hint="default"/>
        <w:b w:val="0"/>
        <w:i w:val="0"/>
      </w:rPr>
    </w:lvl>
    <w:lvl w:ilvl="3">
      <w:start w:val="1"/>
      <w:numFmt w:val="decimal"/>
      <w:lvlText w:val="%1.%2.%3.%4."/>
      <w:lvlJc w:val="left"/>
      <w:pPr>
        <w:tabs>
          <w:tab w:val="num" w:pos="2448"/>
        </w:tabs>
        <w:ind w:left="230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AA5EBD"/>
    <w:multiLevelType w:val="multilevel"/>
    <w:tmpl w:val="379CB7B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412C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70ABF"/>
    <w:multiLevelType w:val="multilevel"/>
    <w:tmpl w:val="1910D290"/>
    <w:lvl w:ilvl="0">
      <w:start w:val="2"/>
      <w:numFmt w:val="decimal"/>
      <w:lvlText w:val="%1."/>
      <w:lvlJc w:val="left"/>
      <w:pPr>
        <w:tabs>
          <w:tab w:val="num" w:pos="864"/>
        </w:tabs>
        <w:ind w:left="0" w:firstLine="720"/>
      </w:pPr>
      <w:rPr>
        <w:rFonts w:hint="default"/>
        <w:b w:val="0"/>
      </w:rPr>
    </w:lvl>
    <w:lvl w:ilvl="1">
      <w:start w:val="2"/>
      <w:numFmt w:val="decimal"/>
      <w:lvlText w:val="%1.%2."/>
      <w:lvlJc w:val="left"/>
      <w:pPr>
        <w:tabs>
          <w:tab w:val="num" w:pos="1584"/>
        </w:tabs>
        <w:ind w:left="1440" w:firstLine="0"/>
      </w:pPr>
      <w:rPr>
        <w:rFonts w:hint="default"/>
        <w:b w:val="0"/>
        <w:i w:val="0"/>
      </w:rPr>
    </w:lvl>
    <w:lvl w:ilvl="2">
      <w:start w:val="60"/>
      <w:numFmt w:val="decimal"/>
      <w:lvlText w:val="%1.%2.%3."/>
      <w:lvlJc w:val="left"/>
      <w:pPr>
        <w:tabs>
          <w:tab w:val="num" w:pos="2304"/>
        </w:tabs>
        <w:ind w:left="2160" w:firstLine="0"/>
      </w:pPr>
      <w:rPr>
        <w:rFonts w:hint="default"/>
        <w:b w:val="0"/>
        <w:i w:val="0"/>
      </w:rPr>
    </w:lvl>
    <w:lvl w:ilvl="3">
      <w:start w:val="1"/>
      <w:numFmt w:val="decimal"/>
      <w:lvlText w:val="%1.%2.%3.%4."/>
      <w:lvlJc w:val="left"/>
      <w:pPr>
        <w:tabs>
          <w:tab w:val="num" w:pos="2520"/>
        </w:tabs>
        <w:ind w:left="25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626617"/>
    <w:multiLevelType w:val="hybridMultilevel"/>
    <w:tmpl w:val="9D66C2D6"/>
    <w:lvl w:ilvl="0" w:tplc="EC90EDCC">
      <w:start w:val="1"/>
      <w:numFmt w:val="upperLetter"/>
      <w:lvlText w:val="%1."/>
      <w:lvlJc w:val="left"/>
      <w:pPr>
        <w:ind w:left="0" w:firstLine="0"/>
      </w:pPr>
      <w:rPr>
        <w:rFonts w:hint="default"/>
        <w:spacing w:val="-1"/>
        <w:w w:val="110"/>
      </w:rPr>
    </w:lvl>
    <w:lvl w:ilvl="1" w:tplc="6E38C7A8">
      <w:start w:val="1"/>
      <w:numFmt w:val="lowerLetter"/>
      <w:lvlText w:val="%2."/>
      <w:lvlJc w:val="left"/>
      <w:pPr>
        <w:ind w:left="1440" w:hanging="360"/>
      </w:pPr>
    </w:lvl>
    <w:lvl w:ilvl="2" w:tplc="1820E940" w:tentative="1">
      <w:start w:val="1"/>
      <w:numFmt w:val="lowerRoman"/>
      <w:lvlText w:val="%3."/>
      <w:lvlJc w:val="right"/>
      <w:pPr>
        <w:ind w:left="2160" w:hanging="180"/>
      </w:pPr>
    </w:lvl>
    <w:lvl w:ilvl="3" w:tplc="EC588CA0" w:tentative="1">
      <w:start w:val="1"/>
      <w:numFmt w:val="decimal"/>
      <w:lvlText w:val="%4."/>
      <w:lvlJc w:val="left"/>
      <w:pPr>
        <w:ind w:left="2880" w:hanging="360"/>
      </w:pPr>
    </w:lvl>
    <w:lvl w:ilvl="4" w:tplc="66486D2A" w:tentative="1">
      <w:start w:val="1"/>
      <w:numFmt w:val="lowerLetter"/>
      <w:lvlText w:val="%5."/>
      <w:lvlJc w:val="left"/>
      <w:pPr>
        <w:ind w:left="3600" w:hanging="360"/>
      </w:pPr>
    </w:lvl>
    <w:lvl w:ilvl="5" w:tplc="61B03254" w:tentative="1">
      <w:start w:val="1"/>
      <w:numFmt w:val="lowerRoman"/>
      <w:lvlText w:val="%6."/>
      <w:lvlJc w:val="right"/>
      <w:pPr>
        <w:ind w:left="4320" w:hanging="180"/>
      </w:pPr>
    </w:lvl>
    <w:lvl w:ilvl="6" w:tplc="3A4838AE" w:tentative="1">
      <w:start w:val="1"/>
      <w:numFmt w:val="decimal"/>
      <w:lvlText w:val="%7."/>
      <w:lvlJc w:val="left"/>
      <w:pPr>
        <w:ind w:left="5040" w:hanging="360"/>
      </w:pPr>
    </w:lvl>
    <w:lvl w:ilvl="7" w:tplc="C03A21B8" w:tentative="1">
      <w:start w:val="1"/>
      <w:numFmt w:val="lowerLetter"/>
      <w:lvlText w:val="%8."/>
      <w:lvlJc w:val="left"/>
      <w:pPr>
        <w:ind w:left="5760" w:hanging="360"/>
      </w:pPr>
    </w:lvl>
    <w:lvl w:ilvl="8" w:tplc="E03A8ED4" w:tentative="1">
      <w:start w:val="1"/>
      <w:numFmt w:val="lowerRoman"/>
      <w:lvlText w:val="%9."/>
      <w:lvlJc w:val="right"/>
      <w:pPr>
        <w:ind w:left="6480" w:hanging="180"/>
      </w:pPr>
    </w:lvl>
  </w:abstractNum>
  <w:abstractNum w:abstractNumId="5" w15:restartNumberingAfterBreak="0">
    <w:nsid w:val="3DE23892"/>
    <w:multiLevelType w:val="hybridMultilevel"/>
    <w:tmpl w:val="117C0BDA"/>
    <w:lvl w:ilvl="0" w:tplc="A32A27F8">
      <w:numFmt w:val="bullet"/>
      <w:lvlText w:val="•"/>
      <w:lvlJc w:val="left"/>
      <w:pPr>
        <w:ind w:left="93" w:hanging="94"/>
      </w:pPr>
      <w:rPr>
        <w:rFonts w:ascii="Arial" w:eastAsia="Arial" w:hAnsi="Arial" w:cs="Arial" w:hint="default"/>
        <w:color w:val="1D1A1C"/>
        <w:spacing w:val="-21"/>
        <w:w w:val="97"/>
        <w:position w:val="-12"/>
        <w:sz w:val="25"/>
        <w:szCs w:val="25"/>
      </w:rPr>
    </w:lvl>
    <w:lvl w:ilvl="1" w:tplc="C6C4E93A">
      <w:numFmt w:val="bullet"/>
      <w:lvlText w:val="•"/>
      <w:lvlJc w:val="left"/>
      <w:pPr>
        <w:ind w:left="118" w:hanging="94"/>
      </w:pPr>
      <w:rPr>
        <w:rFonts w:hint="default"/>
      </w:rPr>
    </w:lvl>
    <w:lvl w:ilvl="2" w:tplc="F42CD6D6">
      <w:numFmt w:val="bullet"/>
      <w:lvlText w:val="•"/>
      <w:lvlJc w:val="left"/>
      <w:pPr>
        <w:ind w:left="137" w:hanging="94"/>
      </w:pPr>
      <w:rPr>
        <w:rFonts w:hint="default"/>
      </w:rPr>
    </w:lvl>
    <w:lvl w:ilvl="3" w:tplc="7104175E">
      <w:numFmt w:val="bullet"/>
      <w:lvlText w:val="•"/>
      <w:lvlJc w:val="left"/>
      <w:pPr>
        <w:ind w:left="156" w:hanging="94"/>
      </w:pPr>
      <w:rPr>
        <w:rFonts w:hint="default"/>
      </w:rPr>
    </w:lvl>
    <w:lvl w:ilvl="4" w:tplc="D43A4F8A">
      <w:numFmt w:val="bullet"/>
      <w:lvlText w:val="•"/>
      <w:lvlJc w:val="left"/>
      <w:pPr>
        <w:ind w:left="175" w:hanging="94"/>
      </w:pPr>
      <w:rPr>
        <w:rFonts w:hint="default"/>
      </w:rPr>
    </w:lvl>
    <w:lvl w:ilvl="5" w:tplc="B7D6FDBA">
      <w:numFmt w:val="bullet"/>
      <w:lvlText w:val="•"/>
      <w:lvlJc w:val="left"/>
      <w:pPr>
        <w:ind w:left="194" w:hanging="94"/>
      </w:pPr>
      <w:rPr>
        <w:rFonts w:hint="default"/>
      </w:rPr>
    </w:lvl>
    <w:lvl w:ilvl="6" w:tplc="51E4EDB0">
      <w:numFmt w:val="bullet"/>
      <w:lvlText w:val="•"/>
      <w:lvlJc w:val="left"/>
      <w:pPr>
        <w:ind w:left="213" w:hanging="94"/>
      </w:pPr>
      <w:rPr>
        <w:rFonts w:hint="default"/>
      </w:rPr>
    </w:lvl>
    <w:lvl w:ilvl="7" w:tplc="3322F988">
      <w:numFmt w:val="bullet"/>
      <w:lvlText w:val="•"/>
      <w:lvlJc w:val="left"/>
      <w:pPr>
        <w:ind w:left="232" w:hanging="94"/>
      </w:pPr>
      <w:rPr>
        <w:rFonts w:hint="default"/>
      </w:rPr>
    </w:lvl>
    <w:lvl w:ilvl="8" w:tplc="70144376">
      <w:numFmt w:val="bullet"/>
      <w:lvlText w:val="•"/>
      <w:lvlJc w:val="left"/>
      <w:pPr>
        <w:ind w:left="251" w:hanging="94"/>
      </w:pPr>
      <w:rPr>
        <w:rFonts w:hint="default"/>
      </w:rPr>
    </w:lvl>
  </w:abstractNum>
  <w:abstractNum w:abstractNumId="6" w15:restartNumberingAfterBreak="0">
    <w:nsid w:val="4A7370D8"/>
    <w:multiLevelType w:val="hybridMultilevel"/>
    <w:tmpl w:val="CA6C4FD8"/>
    <w:lvl w:ilvl="0" w:tplc="9DAC6356">
      <w:numFmt w:val="bullet"/>
      <w:lvlText w:val="-"/>
      <w:lvlJc w:val="left"/>
      <w:pPr>
        <w:ind w:left="999" w:hanging="636"/>
      </w:pPr>
      <w:rPr>
        <w:rFonts w:ascii="Times New Roman" w:eastAsia="Times New Roman" w:hAnsi="Times New Roman" w:cs="Times New Roman" w:hint="default"/>
        <w:color w:val="1D1A1C"/>
        <w:w w:val="74"/>
        <w:position w:val="-38"/>
        <w:sz w:val="74"/>
        <w:szCs w:val="74"/>
      </w:rPr>
    </w:lvl>
    <w:lvl w:ilvl="1" w:tplc="57EC501E">
      <w:numFmt w:val="bullet"/>
      <w:lvlText w:val="·"/>
      <w:lvlJc w:val="left"/>
      <w:pPr>
        <w:ind w:left="1079" w:hanging="84"/>
      </w:pPr>
      <w:rPr>
        <w:rFonts w:ascii="Times New Roman" w:eastAsia="Times New Roman" w:hAnsi="Times New Roman" w:cs="Times New Roman" w:hint="default"/>
        <w:b/>
        <w:bCs/>
        <w:i/>
        <w:color w:val="1D1A1C"/>
        <w:spacing w:val="-35"/>
        <w:w w:val="53"/>
        <w:position w:val="-17"/>
        <w:sz w:val="48"/>
        <w:szCs w:val="48"/>
      </w:rPr>
    </w:lvl>
    <w:lvl w:ilvl="2" w:tplc="01FED360">
      <w:numFmt w:val="bullet"/>
      <w:lvlText w:val="•"/>
      <w:lvlJc w:val="left"/>
      <w:pPr>
        <w:ind w:left="849" w:hanging="84"/>
      </w:pPr>
      <w:rPr>
        <w:rFonts w:hint="default"/>
      </w:rPr>
    </w:lvl>
    <w:lvl w:ilvl="3" w:tplc="87E62094">
      <w:numFmt w:val="bullet"/>
      <w:lvlText w:val="•"/>
      <w:lvlJc w:val="left"/>
      <w:pPr>
        <w:ind w:left="618" w:hanging="84"/>
      </w:pPr>
      <w:rPr>
        <w:rFonts w:hint="default"/>
      </w:rPr>
    </w:lvl>
    <w:lvl w:ilvl="4" w:tplc="41C6A7BA">
      <w:numFmt w:val="bullet"/>
      <w:lvlText w:val="•"/>
      <w:lvlJc w:val="left"/>
      <w:pPr>
        <w:ind w:left="387" w:hanging="84"/>
      </w:pPr>
      <w:rPr>
        <w:rFonts w:hint="default"/>
      </w:rPr>
    </w:lvl>
    <w:lvl w:ilvl="5" w:tplc="101C545E">
      <w:numFmt w:val="bullet"/>
      <w:lvlText w:val="•"/>
      <w:lvlJc w:val="left"/>
      <w:pPr>
        <w:ind w:left="156" w:hanging="84"/>
      </w:pPr>
      <w:rPr>
        <w:rFonts w:hint="default"/>
      </w:rPr>
    </w:lvl>
    <w:lvl w:ilvl="6" w:tplc="1804A00C">
      <w:numFmt w:val="bullet"/>
      <w:lvlText w:val="•"/>
      <w:lvlJc w:val="left"/>
      <w:pPr>
        <w:ind w:left="-75" w:hanging="84"/>
      </w:pPr>
      <w:rPr>
        <w:rFonts w:hint="default"/>
      </w:rPr>
    </w:lvl>
    <w:lvl w:ilvl="7" w:tplc="57B08ACE">
      <w:numFmt w:val="bullet"/>
      <w:lvlText w:val="•"/>
      <w:lvlJc w:val="left"/>
      <w:pPr>
        <w:ind w:left="-306" w:hanging="84"/>
      </w:pPr>
      <w:rPr>
        <w:rFonts w:hint="default"/>
      </w:rPr>
    </w:lvl>
    <w:lvl w:ilvl="8" w:tplc="716CC790">
      <w:numFmt w:val="bullet"/>
      <w:lvlText w:val="•"/>
      <w:lvlJc w:val="left"/>
      <w:pPr>
        <w:ind w:left="-537" w:hanging="84"/>
      </w:pPr>
      <w:rPr>
        <w:rFonts w:hint="default"/>
      </w:rPr>
    </w:lvl>
  </w:abstractNum>
  <w:abstractNum w:abstractNumId="7" w15:restartNumberingAfterBreak="0">
    <w:nsid w:val="508C557C"/>
    <w:multiLevelType w:val="multilevel"/>
    <w:tmpl w:val="CC161D56"/>
    <w:lvl w:ilvl="0">
      <w:start w:val="2"/>
      <w:numFmt w:val="decimal"/>
      <w:lvlText w:val="%1"/>
      <w:lvlJc w:val="left"/>
      <w:pPr>
        <w:ind w:left="948" w:hanging="699"/>
      </w:pPr>
      <w:rPr>
        <w:rFonts w:hint="default"/>
      </w:rPr>
    </w:lvl>
    <w:lvl w:ilvl="1">
      <w:start w:val="2"/>
      <w:numFmt w:val="decimal"/>
      <w:lvlText w:val="%1.%2"/>
      <w:lvlJc w:val="left"/>
      <w:pPr>
        <w:ind w:left="948" w:hanging="699"/>
        <w:jc w:val="right"/>
      </w:pPr>
      <w:rPr>
        <w:rFonts w:hint="default"/>
        <w:w w:val="105"/>
      </w:rPr>
    </w:lvl>
    <w:lvl w:ilvl="2">
      <w:numFmt w:val="bullet"/>
      <w:lvlText w:val="•"/>
      <w:lvlJc w:val="left"/>
      <w:pPr>
        <w:ind w:left="2696" w:hanging="699"/>
      </w:pPr>
      <w:rPr>
        <w:rFonts w:hint="default"/>
      </w:rPr>
    </w:lvl>
    <w:lvl w:ilvl="3">
      <w:numFmt w:val="bullet"/>
      <w:lvlText w:val="•"/>
      <w:lvlJc w:val="left"/>
      <w:pPr>
        <w:ind w:left="3574" w:hanging="699"/>
      </w:pPr>
      <w:rPr>
        <w:rFonts w:hint="default"/>
      </w:rPr>
    </w:lvl>
    <w:lvl w:ilvl="4">
      <w:numFmt w:val="bullet"/>
      <w:lvlText w:val="•"/>
      <w:lvlJc w:val="left"/>
      <w:pPr>
        <w:ind w:left="4452" w:hanging="699"/>
      </w:pPr>
      <w:rPr>
        <w:rFonts w:hint="default"/>
      </w:rPr>
    </w:lvl>
    <w:lvl w:ilvl="5">
      <w:numFmt w:val="bullet"/>
      <w:lvlText w:val="•"/>
      <w:lvlJc w:val="left"/>
      <w:pPr>
        <w:ind w:left="5330" w:hanging="699"/>
      </w:pPr>
      <w:rPr>
        <w:rFonts w:hint="default"/>
      </w:rPr>
    </w:lvl>
    <w:lvl w:ilvl="6">
      <w:numFmt w:val="bullet"/>
      <w:lvlText w:val="•"/>
      <w:lvlJc w:val="left"/>
      <w:pPr>
        <w:ind w:left="6208" w:hanging="699"/>
      </w:pPr>
      <w:rPr>
        <w:rFonts w:hint="default"/>
      </w:rPr>
    </w:lvl>
    <w:lvl w:ilvl="7">
      <w:numFmt w:val="bullet"/>
      <w:lvlText w:val="•"/>
      <w:lvlJc w:val="left"/>
      <w:pPr>
        <w:ind w:left="7086" w:hanging="699"/>
      </w:pPr>
      <w:rPr>
        <w:rFonts w:hint="default"/>
      </w:rPr>
    </w:lvl>
    <w:lvl w:ilvl="8">
      <w:numFmt w:val="bullet"/>
      <w:lvlText w:val="•"/>
      <w:lvlJc w:val="left"/>
      <w:pPr>
        <w:ind w:left="7964" w:hanging="699"/>
      </w:pPr>
      <w:rPr>
        <w:rFonts w:hint="default"/>
      </w:rPr>
    </w:lvl>
  </w:abstractNum>
  <w:abstractNum w:abstractNumId="8" w15:restartNumberingAfterBreak="0">
    <w:nsid w:val="54C42DD8"/>
    <w:multiLevelType w:val="multilevel"/>
    <w:tmpl w:val="5E9E656E"/>
    <w:lvl w:ilvl="0">
      <w:start w:val="3"/>
      <w:numFmt w:val="decimal"/>
      <w:lvlText w:val="%1."/>
      <w:lvlJc w:val="left"/>
      <w:pPr>
        <w:tabs>
          <w:tab w:val="num" w:pos="864"/>
        </w:tabs>
        <w:ind w:left="0" w:firstLine="720"/>
      </w:pPr>
      <w:rPr>
        <w:rFonts w:hint="default"/>
        <w:b w:val="0"/>
      </w:rPr>
    </w:lvl>
    <w:lvl w:ilvl="1">
      <w:start w:val="1"/>
      <w:numFmt w:val="decimal"/>
      <w:lvlText w:val="%1.%2."/>
      <w:lvlJc w:val="left"/>
      <w:pPr>
        <w:tabs>
          <w:tab w:val="num" w:pos="1584"/>
        </w:tabs>
        <w:ind w:left="1440" w:firstLine="0"/>
      </w:pPr>
      <w:rPr>
        <w:rFonts w:hint="default"/>
        <w:b w:val="0"/>
        <w:i w:val="0"/>
      </w:rPr>
    </w:lvl>
    <w:lvl w:ilvl="2">
      <w:start w:val="60"/>
      <w:numFmt w:val="decimal"/>
      <w:lvlText w:val="%1.%2.%3."/>
      <w:lvlJc w:val="left"/>
      <w:pPr>
        <w:tabs>
          <w:tab w:val="num" w:pos="2304"/>
        </w:tabs>
        <w:ind w:left="2160" w:firstLine="0"/>
      </w:pPr>
      <w:rPr>
        <w:rFonts w:hint="default"/>
        <w:b w:val="0"/>
        <w:i w:val="0"/>
      </w:rPr>
    </w:lvl>
    <w:lvl w:ilvl="3">
      <w:start w:val="1"/>
      <w:numFmt w:val="decimal"/>
      <w:lvlText w:val="%1.%2.%3.%4."/>
      <w:lvlJc w:val="left"/>
      <w:pPr>
        <w:tabs>
          <w:tab w:val="num" w:pos="2520"/>
        </w:tabs>
        <w:ind w:left="25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9D04594"/>
    <w:multiLevelType w:val="hybridMultilevel"/>
    <w:tmpl w:val="24EE03A4"/>
    <w:lvl w:ilvl="0" w:tplc="3E9074FC">
      <w:numFmt w:val="bullet"/>
      <w:lvlText w:val="-"/>
      <w:lvlJc w:val="left"/>
      <w:pPr>
        <w:ind w:left="286" w:hanging="180"/>
      </w:pPr>
      <w:rPr>
        <w:rFonts w:ascii="Times New Roman" w:eastAsia="Times New Roman" w:hAnsi="Times New Roman" w:cs="Times New Roman" w:hint="default"/>
        <w:color w:val="3B3B3B"/>
        <w:w w:val="108"/>
        <w:sz w:val="8"/>
        <w:szCs w:val="8"/>
      </w:rPr>
    </w:lvl>
    <w:lvl w:ilvl="1" w:tplc="4C969364">
      <w:numFmt w:val="bullet"/>
      <w:lvlText w:val="·"/>
      <w:lvlJc w:val="left"/>
      <w:pPr>
        <w:ind w:left="18648" w:hanging="114"/>
      </w:pPr>
      <w:rPr>
        <w:rFonts w:hint="default"/>
        <w:w w:val="51"/>
        <w:sz w:val="64"/>
        <w:szCs w:val="64"/>
        <w:highlight w:val="black"/>
      </w:rPr>
    </w:lvl>
    <w:lvl w:ilvl="2" w:tplc="C8A277E8">
      <w:numFmt w:val="bullet"/>
      <w:lvlText w:val="•"/>
      <w:lvlJc w:val="left"/>
      <w:pPr>
        <w:ind w:left="16987" w:hanging="114"/>
      </w:pPr>
      <w:rPr>
        <w:rFonts w:hint="default"/>
      </w:rPr>
    </w:lvl>
    <w:lvl w:ilvl="3" w:tplc="A1663AA8">
      <w:numFmt w:val="bullet"/>
      <w:lvlText w:val="•"/>
      <w:lvlJc w:val="left"/>
      <w:pPr>
        <w:ind w:left="15335" w:hanging="114"/>
      </w:pPr>
      <w:rPr>
        <w:rFonts w:hint="default"/>
      </w:rPr>
    </w:lvl>
    <w:lvl w:ilvl="4" w:tplc="993C0932">
      <w:numFmt w:val="bullet"/>
      <w:lvlText w:val="•"/>
      <w:lvlJc w:val="left"/>
      <w:pPr>
        <w:ind w:left="13683" w:hanging="114"/>
      </w:pPr>
      <w:rPr>
        <w:rFonts w:hint="default"/>
      </w:rPr>
    </w:lvl>
    <w:lvl w:ilvl="5" w:tplc="437428F8">
      <w:numFmt w:val="bullet"/>
      <w:lvlText w:val="•"/>
      <w:lvlJc w:val="left"/>
      <w:pPr>
        <w:ind w:left="12030" w:hanging="114"/>
      </w:pPr>
      <w:rPr>
        <w:rFonts w:hint="default"/>
      </w:rPr>
    </w:lvl>
    <w:lvl w:ilvl="6" w:tplc="191EFA8C">
      <w:numFmt w:val="bullet"/>
      <w:lvlText w:val="•"/>
      <w:lvlJc w:val="left"/>
      <w:pPr>
        <w:ind w:left="10378" w:hanging="114"/>
      </w:pPr>
      <w:rPr>
        <w:rFonts w:hint="default"/>
      </w:rPr>
    </w:lvl>
    <w:lvl w:ilvl="7" w:tplc="7332C838">
      <w:numFmt w:val="bullet"/>
      <w:lvlText w:val="•"/>
      <w:lvlJc w:val="left"/>
      <w:pPr>
        <w:ind w:left="8726" w:hanging="114"/>
      </w:pPr>
      <w:rPr>
        <w:rFonts w:hint="default"/>
      </w:rPr>
    </w:lvl>
    <w:lvl w:ilvl="8" w:tplc="97725822">
      <w:numFmt w:val="bullet"/>
      <w:lvlText w:val="•"/>
      <w:lvlJc w:val="left"/>
      <w:pPr>
        <w:ind w:left="7073" w:hanging="114"/>
      </w:pPr>
      <w:rPr>
        <w:rFonts w:hint="default"/>
      </w:rPr>
    </w:lvl>
  </w:abstractNum>
  <w:abstractNum w:abstractNumId="10" w15:restartNumberingAfterBreak="0">
    <w:nsid w:val="5B84104A"/>
    <w:multiLevelType w:val="multilevel"/>
    <w:tmpl w:val="76AE91E0"/>
    <w:lvl w:ilvl="0">
      <w:start w:val="3"/>
      <w:numFmt w:val="decimal"/>
      <w:lvlText w:val="%1."/>
      <w:lvlJc w:val="left"/>
      <w:pPr>
        <w:tabs>
          <w:tab w:val="num" w:pos="864"/>
        </w:tabs>
        <w:ind w:left="0" w:firstLine="720"/>
      </w:pPr>
      <w:rPr>
        <w:rFonts w:hint="default"/>
        <w:b w:val="0"/>
      </w:rPr>
    </w:lvl>
    <w:lvl w:ilvl="1">
      <w:start w:val="5"/>
      <w:numFmt w:val="decimal"/>
      <w:lvlText w:val="%1.%2."/>
      <w:lvlJc w:val="left"/>
      <w:pPr>
        <w:tabs>
          <w:tab w:val="num" w:pos="1584"/>
        </w:tabs>
        <w:ind w:left="1440" w:firstLine="0"/>
      </w:pPr>
      <w:rPr>
        <w:rFonts w:hint="default"/>
        <w:b w:val="0"/>
        <w:i w:val="0"/>
      </w:rPr>
    </w:lvl>
    <w:lvl w:ilvl="2">
      <w:start w:val="1"/>
      <w:numFmt w:val="decimal"/>
      <w:lvlText w:val="%1.%2.%3."/>
      <w:lvlJc w:val="left"/>
      <w:pPr>
        <w:tabs>
          <w:tab w:val="num" w:pos="2304"/>
        </w:tabs>
        <w:ind w:left="2160" w:firstLine="0"/>
      </w:pPr>
      <w:rPr>
        <w:rFonts w:hint="default"/>
        <w:b w:val="0"/>
        <w:i w:val="0"/>
      </w:rPr>
    </w:lvl>
    <w:lvl w:ilvl="3">
      <w:start w:val="1"/>
      <w:numFmt w:val="decimal"/>
      <w:lvlText w:val="%1.%2.%3.%4."/>
      <w:lvlJc w:val="left"/>
      <w:pPr>
        <w:tabs>
          <w:tab w:val="num" w:pos="2520"/>
        </w:tabs>
        <w:ind w:left="25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C156B7A"/>
    <w:multiLevelType w:val="hybridMultilevel"/>
    <w:tmpl w:val="F71ECB3A"/>
    <w:lvl w:ilvl="0" w:tplc="A2481482">
      <w:start w:val="1"/>
      <w:numFmt w:val="upperLetter"/>
      <w:lvlText w:val="%1."/>
      <w:lvlJc w:val="left"/>
      <w:pPr>
        <w:ind w:left="1929" w:hanging="361"/>
      </w:pPr>
      <w:rPr>
        <w:rFonts w:hint="default"/>
        <w:spacing w:val="-1"/>
        <w:w w:val="103"/>
      </w:rPr>
    </w:lvl>
    <w:lvl w:ilvl="1" w:tplc="00287922">
      <w:numFmt w:val="bullet"/>
      <w:lvlText w:val="•"/>
      <w:lvlJc w:val="left"/>
      <w:pPr>
        <w:ind w:left="2700" w:hanging="361"/>
      </w:pPr>
      <w:rPr>
        <w:rFonts w:hint="default"/>
      </w:rPr>
    </w:lvl>
    <w:lvl w:ilvl="2" w:tplc="84123D18">
      <w:numFmt w:val="bullet"/>
      <w:lvlText w:val="•"/>
      <w:lvlJc w:val="left"/>
      <w:pPr>
        <w:ind w:left="3480" w:hanging="361"/>
      </w:pPr>
      <w:rPr>
        <w:rFonts w:hint="default"/>
      </w:rPr>
    </w:lvl>
    <w:lvl w:ilvl="3" w:tplc="212E24CC">
      <w:numFmt w:val="bullet"/>
      <w:lvlText w:val="•"/>
      <w:lvlJc w:val="left"/>
      <w:pPr>
        <w:ind w:left="4260" w:hanging="361"/>
      </w:pPr>
      <w:rPr>
        <w:rFonts w:hint="default"/>
      </w:rPr>
    </w:lvl>
    <w:lvl w:ilvl="4" w:tplc="0E32DE24">
      <w:numFmt w:val="bullet"/>
      <w:lvlText w:val="•"/>
      <w:lvlJc w:val="left"/>
      <w:pPr>
        <w:ind w:left="5040" w:hanging="361"/>
      </w:pPr>
      <w:rPr>
        <w:rFonts w:hint="default"/>
      </w:rPr>
    </w:lvl>
    <w:lvl w:ilvl="5" w:tplc="C74054F0">
      <w:numFmt w:val="bullet"/>
      <w:lvlText w:val="•"/>
      <w:lvlJc w:val="left"/>
      <w:pPr>
        <w:ind w:left="5820" w:hanging="361"/>
      </w:pPr>
      <w:rPr>
        <w:rFonts w:hint="default"/>
      </w:rPr>
    </w:lvl>
    <w:lvl w:ilvl="6" w:tplc="E692F742">
      <w:numFmt w:val="bullet"/>
      <w:lvlText w:val="•"/>
      <w:lvlJc w:val="left"/>
      <w:pPr>
        <w:ind w:left="6600" w:hanging="361"/>
      </w:pPr>
      <w:rPr>
        <w:rFonts w:hint="default"/>
      </w:rPr>
    </w:lvl>
    <w:lvl w:ilvl="7" w:tplc="6330A9AE">
      <w:numFmt w:val="bullet"/>
      <w:lvlText w:val="•"/>
      <w:lvlJc w:val="left"/>
      <w:pPr>
        <w:ind w:left="7380" w:hanging="361"/>
      </w:pPr>
      <w:rPr>
        <w:rFonts w:hint="default"/>
      </w:rPr>
    </w:lvl>
    <w:lvl w:ilvl="8" w:tplc="003EB23E">
      <w:numFmt w:val="bullet"/>
      <w:lvlText w:val="•"/>
      <w:lvlJc w:val="left"/>
      <w:pPr>
        <w:ind w:left="8160" w:hanging="361"/>
      </w:pPr>
      <w:rPr>
        <w:rFonts w:hint="default"/>
      </w:rPr>
    </w:lvl>
  </w:abstractNum>
  <w:abstractNum w:abstractNumId="12" w15:restartNumberingAfterBreak="0">
    <w:nsid w:val="5C445C7E"/>
    <w:multiLevelType w:val="hybridMultilevel"/>
    <w:tmpl w:val="541AF16A"/>
    <w:lvl w:ilvl="0" w:tplc="27B6EE60">
      <w:numFmt w:val="bullet"/>
      <w:lvlText w:val="'"/>
      <w:lvlJc w:val="left"/>
      <w:pPr>
        <w:ind w:left="364" w:hanging="278"/>
      </w:pPr>
      <w:rPr>
        <w:rFonts w:ascii="Arial" w:eastAsia="Arial" w:hAnsi="Arial" w:cs="Arial" w:hint="default"/>
        <w:color w:val="1D1A1C"/>
        <w:w w:val="53"/>
        <w:sz w:val="27"/>
        <w:szCs w:val="27"/>
      </w:rPr>
    </w:lvl>
    <w:lvl w:ilvl="1" w:tplc="868063D2">
      <w:numFmt w:val="bullet"/>
      <w:lvlText w:val="•"/>
      <w:lvlJc w:val="left"/>
      <w:pPr>
        <w:ind w:left="253" w:hanging="88"/>
      </w:pPr>
      <w:rPr>
        <w:rFonts w:hint="default"/>
        <w:w w:val="97"/>
      </w:rPr>
    </w:lvl>
    <w:lvl w:ilvl="2" w:tplc="EB1E8E82">
      <w:numFmt w:val="bullet"/>
      <w:lvlText w:val="•"/>
      <w:lvlJc w:val="left"/>
      <w:pPr>
        <w:ind w:left="360" w:hanging="88"/>
      </w:pPr>
      <w:rPr>
        <w:rFonts w:hint="default"/>
      </w:rPr>
    </w:lvl>
    <w:lvl w:ilvl="3" w:tplc="92068DDC">
      <w:numFmt w:val="bullet"/>
      <w:lvlText w:val="•"/>
      <w:lvlJc w:val="left"/>
      <w:pPr>
        <w:ind w:left="-478" w:hanging="88"/>
      </w:pPr>
      <w:rPr>
        <w:rFonts w:hint="default"/>
      </w:rPr>
    </w:lvl>
    <w:lvl w:ilvl="4" w:tplc="CA1ACB42">
      <w:numFmt w:val="bullet"/>
      <w:lvlText w:val="•"/>
      <w:lvlJc w:val="left"/>
      <w:pPr>
        <w:ind w:left="-1316" w:hanging="88"/>
      </w:pPr>
      <w:rPr>
        <w:rFonts w:hint="default"/>
      </w:rPr>
    </w:lvl>
    <w:lvl w:ilvl="5" w:tplc="628E4B12">
      <w:numFmt w:val="bullet"/>
      <w:lvlText w:val="•"/>
      <w:lvlJc w:val="left"/>
      <w:pPr>
        <w:ind w:left="-2154" w:hanging="88"/>
      </w:pPr>
      <w:rPr>
        <w:rFonts w:hint="default"/>
      </w:rPr>
    </w:lvl>
    <w:lvl w:ilvl="6" w:tplc="6A2ECC5A">
      <w:numFmt w:val="bullet"/>
      <w:lvlText w:val="•"/>
      <w:lvlJc w:val="left"/>
      <w:pPr>
        <w:ind w:left="-2992" w:hanging="88"/>
      </w:pPr>
      <w:rPr>
        <w:rFonts w:hint="default"/>
      </w:rPr>
    </w:lvl>
    <w:lvl w:ilvl="7" w:tplc="54606DA2">
      <w:numFmt w:val="bullet"/>
      <w:lvlText w:val="•"/>
      <w:lvlJc w:val="left"/>
      <w:pPr>
        <w:ind w:left="-3830" w:hanging="88"/>
      </w:pPr>
      <w:rPr>
        <w:rFonts w:hint="default"/>
      </w:rPr>
    </w:lvl>
    <w:lvl w:ilvl="8" w:tplc="612C3AA8">
      <w:numFmt w:val="bullet"/>
      <w:lvlText w:val="•"/>
      <w:lvlJc w:val="left"/>
      <w:pPr>
        <w:ind w:left="-4668" w:hanging="88"/>
      </w:pPr>
      <w:rPr>
        <w:rFonts w:hint="default"/>
      </w:rPr>
    </w:lvl>
  </w:abstractNum>
  <w:abstractNum w:abstractNumId="13" w15:restartNumberingAfterBreak="0">
    <w:nsid w:val="5FD65DFF"/>
    <w:multiLevelType w:val="multilevel"/>
    <w:tmpl w:val="1632D616"/>
    <w:lvl w:ilvl="0">
      <w:start w:val="1"/>
      <w:numFmt w:val="decimal"/>
      <w:suff w:val="space"/>
      <w:lvlText w:val="%1."/>
      <w:lvlJc w:val="left"/>
      <w:pPr>
        <w:ind w:left="0" w:firstLine="360"/>
      </w:pPr>
      <w:rPr>
        <w:rFonts w:hint="default"/>
        <w:b w:val="0"/>
      </w:rPr>
    </w:lvl>
    <w:lvl w:ilvl="1">
      <w:start w:val="1"/>
      <w:numFmt w:val="decimal"/>
      <w:suff w:val="space"/>
      <w:lvlText w:val="%1.%2."/>
      <w:lvlJc w:val="left"/>
      <w:pPr>
        <w:ind w:left="720" w:firstLine="0"/>
      </w:pPr>
      <w:rPr>
        <w:rFonts w:hint="default"/>
        <w:b w:val="0"/>
      </w:rPr>
    </w:lvl>
    <w:lvl w:ilvl="2">
      <w:start w:val="1"/>
      <w:numFmt w:val="lowerLetter"/>
      <w:suff w:val="space"/>
      <w:lvlText w:val="(%3)"/>
      <w:lvlJc w:val="left"/>
      <w:pPr>
        <w:ind w:left="990" w:firstLine="0"/>
      </w:pPr>
      <w:rPr>
        <w:rFonts w:ascii="Times New Roman" w:eastAsia="Times New Roman" w:hAnsi="Times New Roman" w:cs="Times New Roman"/>
        <w:b w:val="0"/>
      </w:rPr>
    </w:lvl>
    <w:lvl w:ilvl="3">
      <w:start w:val="1"/>
      <w:numFmt w:val="decimal"/>
      <w:lvlText w:val="%1.%2.%3.%4."/>
      <w:lvlJc w:val="left"/>
      <w:pPr>
        <w:ind w:left="144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0B19F5"/>
    <w:multiLevelType w:val="hybridMultilevel"/>
    <w:tmpl w:val="E27E91BE"/>
    <w:lvl w:ilvl="0" w:tplc="893AE0B4">
      <w:start w:val="1"/>
      <w:numFmt w:val="upperLetter"/>
      <w:lvlText w:val="%1."/>
      <w:lvlJc w:val="left"/>
      <w:pPr>
        <w:ind w:left="1080" w:hanging="360"/>
      </w:pPr>
    </w:lvl>
    <w:lvl w:ilvl="1" w:tplc="1C68092C">
      <w:start w:val="1"/>
      <w:numFmt w:val="lowerLetter"/>
      <w:lvlText w:val="%2."/>
      <w:lvlJc w:val="left"/>
      <w:pPr>
        <w:ind w:left="1800" w:hanging="360"/>
      </w:pPr>
    </w:lvl>
    <w:lvl w:ilvl="2" w:tplc="5BB4A62E" w:tentative="1">
      <w:start w:val="1"/>
      <w:numFmt w:val="lowerRoman"/>
      <w:lvlText w:val="%3."/>
      <w:lvlJc w:val="right"/>
      <w:pPr>
        <w:ind w:left="2520" w:hanging="180"/>
      </w:pPr>
    </w:lvl>
    <w:lvl w:ilvl="3" w:tplc="A48E8D1E" w:tentative="1">
      <w:start w:val="1"/>
      <w:numFmt w:val="decimal"/>
      <w:lvlText w:val="%4."/>
      <w:lvlJc w:val="left"/>
      <w:pPr>
        <w:ind w:left="3240" w:hanging="360"/>
      </w:pPr>
    </w:lvl>
    <w:lvl w:ilvl="4" w:tplc="62FE0548" w:tentative="1">
      <w:start w:val="1"/>
      <w:numFmt w:val="lowerLetter"/>
      <w:lvlText w:val="%5."/>
      <w:lvlJc w:val="left"/>
      <w:pPr>
        <w:ind w:left="3960" w:hanging="360"/>
      </w:pPr>
    </w:lvl>
    <w:lvl w:ilvl="5" w:tplc="DB0E2E04" w:tentative="1">
      <w:start w:val="1"/>
      <w:numFmt w:val="lowerRoman"/>
      <w:lvlText w:val="%6."/>
      <w:lvlJc w:val="right"/>
      <w:pPr>
        <w:ind w:left="4680" w:hanging="180"/>
      </w:pPr>
    </w:lvl>
    <w:lvl w:ilvl="6" w:tplc="9C1A125E" w:tentative="1">
      <w:start w:val="1"/>
      <w:numFmt w:val="decimal"/>
      <w:lvlText w:val="%7."/>
      <w:lvlJc w:val="left"/>
      <w:pPr>
        <w:ind w:left="5400" w:hanging="360"/>
      </w:pPr>
    </w:lvl>
    <w:lvl w:ilvl="7" w:tplc="1FAED766" w:tentative="1">
      <w:start w:val="1"/>
      <w:numFmt w:val="lowerLetter"/>
      <w:lvlText w:val="%8."/>
      <w:lvlJc w:val="left"/>
      <w:pPr>
        <w:ind w:left="6120" w:hanging="360"/>
      </w:pPr>
    </w:lvl>
    <w:lvl w:ilvl="8" w:tplc="FD66D87C" w:tentative="1">
      <w:start w:val="1"/>
      <w:numFmt w:val="lowerRoman"/>
      <w:lvlText w:val="%9."/>
      <w:lvlJc w:val="right"/>
      <w:pPr>
        <w:ind w:left="6840" w:hanging="180"/>
      </w:pPr>
    </w:lvl>
  </w:abstractNum>
  <w:abstractNum w:abstractNumId="15" w15:restartNumberingAfterBreak="0">
    <w:nsid w:val="67865820"/>
    <w:multiLevelType w:val="hybridMultilevel"/>
    <w:tmpl w:val="F468E6A8"/>
    <w:lvl w:ilvl="0" w:tplc="1CB21D1A">
      <w:start w:val="1"/>
      <w:numFmt w:val="upperLetter"/>
      <w:lvlText w:val="%1."/>
      <w:lvlJc w:val="left"/>
      <w:pPr>
        <w:ind w:left="0" w:firstLine="0"/>
      </w:pPr>
      <w:rPr>
        <w:rFonts w:hint="default"/>
        <w:spacing w:val="-1"/>
        <w:w w:val="110"/>
      </w:rPr>
    </w:lvl>
    <w:lvl w:ilvl="1" w:tplc="DA58FDCE">
      <w:start w:val="1"/>
      <w:numFmt w:val="lowerRoman"/>
      <w:lvlText w:val="(%2)"/>
      <w:lvlJc w:val="left"/>
      <w:pPr>
        <w:ind w:left="2306" w:hanging="720"/>
      </w:pPr>
      <w:rPr>
        <w:rFonts w:ascii="Times New Roman" w:eastAsia="Times New Roman" w:hAnsi="Times New Roman" w:cs="Times New Roman" w:hint="default"/>
        <w:color w:val="1C1C1C"/>
        <w:spacing w:val="-1"/>
        <w:w w:val="103"/>
        <w:sz w:val="24"/>
        <w:szCs w:val="24"/>
      </w:rPr>
    </w:lvl>
    <w:lvl w:ilvl="2" w:tplc="6712B09A">
      <w:numFmt w:val="bullet"/>
      <w:lvlText w:val="•"/>
      <w:lvlJc w:val="left"/>
      <w:pPr>
        <w:ind w:left="3124" w:hanging="720"/>
      </w:pPr>
      <w:rPr>
        <w:rFonts w:hint="default"/>
      </w:rPr>
    </w:lvl>
    <w:lvl w:ilvl="3" w:tplc="77A459C0">
      <w:numFmt w:val="bullet"/>
      <w:lvlText w:val="•"/>
      <w:lvlJc w:val="left"/>
      <w:pPr>
        <w:ind w:left="3948" w:hanging="720"/>
      </w:pPr>
      <w:rPr>
        <w:rFonts w:hint="default"/>
      </w:rPr>
    </w:lvl>
    <w:lvl w:ilvl="4" w:tplc="A37AE69A">
      <w:numFmt w:val="bullet"/>
      <w:lvlText w:val="•"/>
      <w:lvlJc w:val="left"/>
      <w:pPr>
        <w:ind w:left="4773" w:hanging="720"/>
      </w:pPr>
      <w:rPr>
        <w:rFonts w:hint="default"/>
      </w:rPr>
    </w:lvl>
    <w:lvl w:ilvl="5" w:tplc="38543C20">
      <w:numFmt w:val="bullet"/>
      <w:lvlText w:val="•"/>
      <w:lvlJc w:val="left"/>
      <w:pPr>
        <w:ind w:left="5597" w:hanging="720"/>
      </w:pPr>
      <w:rPr>
        <w:rFonts w:hint="default"/>
      </w:rPr>
    </w:lvl>
    <w:lvl w:ilvl="6" w:tplc="F766B926">
      <w:numFmt w:val="bullet"/>
      <w:lvlText w:val="•"/>
      <w:lvlJc w:val="left"/>
      <w:pPr>
        <w:ind w:left="6422" w:hanging="720"/>
      </w:pPr>
      <w:rPr>
        <w:rFonts w:hint="default"/>
      </w:rPr>
    </w:lvl>
    <w:lvl w:ilvl="7" w:tplc="89FE7358">
      <w:numFmt w:val="bullet"/>
      <w:lvlText w:val="•"/>
      <w:lvlJc w:val="left"/>
      <w:pPr>
        <w:ind w:left="7246" w:hanging="720"/>
      </w:pPr>
      <w:rPr>
        <w:rFonts w:hint="default"/>
      </w:rPr>
    </w:lvl>
    <w:lvl w:ilvl="8" w:tplc="760E6A96">
      <w:numFmt w:val="bullet"/>
      <w:lvlText w:val="•"/>
      <w:lvlJc w:val="left"/>
      <w:pPr>
        <w:ind w:left="8071" w:hanging="720"/>
      </w:pPr>
      <w:rPr>
        <w:rFonts w:hint="default"/>
      </w:rPr>
    </w:lvl>
  </w:abstractNum>
  <w:abstractNum w:abstractNumId="16" w15:restartNumberingAfterBreak="0">
    <w:nsid w:val="6BC5442E"/>
    <w:multiLevelType w:val="multilevel"/>
    <w:tmpl w:val="F1C82852"/>
    <w:lvl w:ilvl="0">
      <w:start w:val="1"/>
      <w:numFmt w:val="decimal"/>
      <w:lvlText w:val="%1."/>
      <w:lvlJc w:val="left"/>
      <w:pPr>
        <w:ind w:left="857" w:hanging="731"/>
        <w:jc w:val="right"/>
      </w:pPr>
      <w:rPr>
        <w:rFonts w:hint="default"/>
        <w:w w:val="109"/>
      </w:rPr>
    </w:lvl>
    <w:lvl w:ilvl="1">
      <w:start w:val="1"/>
      <w:numFmt w:val="decimal"/>
      <w:lvlText w:val="%1.%2"/>
      <w:lvlJc w:val="left"/>
      <w:pPr>
        <w:ind w:left="982" w:hanging="734"/>
      </w:pPr>
      <w:rPr>
        <w:rFonts w:hint="default"/>
        <w:w w:val="107"/>
      </w:rPr>
    </w:lvl>
    <w:lvl w:ilvl="2">
      <w:numFmt w:val="bullet"/>
      <w:lvlText w:val="•"/>
      <w:lvlJc w:val="left"/>
      <w:pPr>
        <w:ind w:left="980" w:hanging="734"/>
      </w:pPr>
      <w:rPr>
        <w:rFonts w:hint="default"/>
      </w:rPr>
    </w:lvl>
    <w:lvl w:ilvl="3">
      <w:numFmt w:val="bullet"/>
      <w:lvlText w:val="•"/>
      <w:lvlJc w:val="left"/>
      <w:pPr>
        <w:ind w:left="1000" w:hanging="734"/>
      </w:pPr>
      <w:rPr>
        <w:rFonts w:hint="default"/>
      </w:rPr>
    </w:lvl>
    <w:lvl w:ilvl="4">
      <w:numFmt w:val="bullet"/>
      <w:lvlText w:val="•"/>
      <w:lvlJc w:val="left"/>
      <w:pPr>
        <w:ind w:left="2245" w:hanging="734"/>
      </w:pPr>
      <w:rPr>
        <w:rFonts w:hint="default"/>
      </w:rPr>
    </w:lvl>
    <w:lvl w:ilvl="5">
      <w:numFmt w:val="bullet"/>
      <w:lvlText w:val="•"/>
      <w:lvlJc w:val="left"/>
      <w:pPr>
        <w:ind w:left="3491" w:hanging="734"/>
      </w:pPr>
      <w:rPr>
        <w:rFonts w:hint="default"/>
      </w:rPr>
    </w:lvl>
    <w:lvl w:ilvl="6">
      <w:numFmt w:val="bullet"/>
      <w:lvlText w:val="•"/>
      <w:lvlJc w:val="left"/>
      <w:pPr>
        <w:ind w:left="4737" w:hanging="734"/>
      </w:pPr>
      <w:rPr>
        <w:rFonts w:hint="default"/>
      </w:rPr>
    </w:lvl>
    <w:lvl w:ilvl="7">
      <w:numFmt w:val="bullet"/>
      <w:lvlText w:val="•"/>
      <w:lvlJc w:val="left"/>
      <w:pPr>
        <w:ind w:left="5982" w:hanging="734"/>
      </w:pPr>
      <w:rPr>
        <w:rFonts w:hint="default"/>
      </w:rPr>
    </w:lvl>
    <w:lvl w:ilvl="8">
      <w:numFmt w:val="bullet"/>
      <w:lvlText w:val="•"/>
      <w:lvlJc w:val="left"/>
      <w:pPr>
        <w:ind w:left="7228" w:hanging="734"/>
      </w:pPr>
      <w:rPr>
        <w:rFonts w:hint="default"/>
      </w:rPr>
    </w:lvl>
  </w:abstractNum>
  <w:abstractNum w:abstractNumId="17" w15:restartNumberingAfterBreak="0">
    <w:nsid w:val="6E197D01"/>
    <w:multiLevelType w:val="hybridMultilevel"/>
    <w:tmpl w:val="A49EE59A"/>
    <w:lvl w:ilvl="0" w:tplc="C91CB2D2">
      <w:start w:val="1"/>
      <w:numFmt w:val="upperLetter"/>
      <w:lvlText w:val="%1."/>
      <w:lvlJc w:val="left"/>
      <w:pPr>
        <w:ind w:left="1927" w:hanging="356"/>
      </w:pPr>
      <w:rPr>
        <w:rFonts w:hint="default"/>
        <w:spacing w:val="-1"/>
        <w:w w:val="105"/>
      </w:rPr>
    </w:lvl>
    <w:lvl w:ilvl="1" w:tplc="93E2A866">
      <w:numFmt w:val="bullet"/>
      <w:lvlText w:val="•"/>
      <w:lvlJc w:val="left"/>
      <w:pPr>
        <w:ind w:left="2700" w:hanging="356"/>
      </w:pPr>
      <w:rPr>
        <w:rFonts w:hint="default"/>
      </w:rPr>
    </w:lvl>
    <w:lvl w:ilvl="2" w:tplc="F1EC7D22">
      <w:numFmt w:val="bullet"/>
      <w:lvlText w:val="•"/>
      <w:lvlJc w:val="left"/>
      <w:pPr>
        <w:ind w:left="3480" w:hanging="356"/>
      </w:pPr>
      <w:rPr>
        <w:rFonts w:hint="default"/>
      </w:rPr>
    </w:lvl>
    <w:lvl w:ilvl="3" w:tplc="0AA82846">
      <w:numFmt w:val="bullet"/>
      <w:lvlText w:val="•"/>
      <w:lvlJc w:val="left"/>
      <w:pPr>
        <w:ind w:left="4260" w:hanging="356"/>
      </w:pPr>
      <w:rPr>
        <w:rFonts w:hint="default"/>
      </w:rPr>
    </w:lvl>
    <w:lvl w:ilvl="4" w:tplc="5FC2E9F2">
      <w:numFmt w:val="bullet"/>
      <w:lvlText w:val="•"/>
      <w:lvlJc w:val="left"/>
      <w:pPr>
        <w:ind w:left="5040" w:hanging="356"/>
      </w:pPr>
      <w:rPr>
        <w:rFonts w:hint="default"/>
      </w:rPr>
    </w:lvl>
    <w:lvl w:ilvl="5" w:tplc="A47255D8">
      <w:numFmt w:val="bullet"/>
      <w:lvlText w:val="•"/>
      <w:lvlJc w:val="left"/>
      <w:pPr>
        <w:ind w:left="5820" w:hanging="356"/>
      </w:pPr>
      <w:rPr>
        <w:rFonts w:hint="default"/>
      </w:rPr>
    </w:lvl>
    <w:lvl w:ilvl="6" w:tplc="A986FDF4">
      <w:numFmt w:val="bullet"/>
      <w:lvlText w:val="•"/>
      <w:lvlJc w:val="left"/>
      <w:pPr>
        <w:ind w:left="6600" w:hanging="356"/>
      </w:pPr>
      <w:rPr>
        <w:rFonts w:hint="default"/>
      </w:rPr>
    </w:lvl>
    <w:lvl w:ilvl="7" w:tplc="04EE8574">
      <w:numFmt w:val="bullet"/>
      <w:lvlText w:val="•"/>
      <w:lvlJc w:val="left"/>
      <w:pPr>
        <w:ind w:left="7380" w:hanging="356"/>
      </w:pPr>
      <w:rPr>
        <w:rFonts w:hint="default"/>
      </w:rPr>
    </w:lvl>
    <w:lvl w:ilvl="8" w:tplc="4052DCAC">
      <w:numFmt w:val="bullet"/>
      <w:lvlText w:val="•"/>
      <w:lvlJc w:val="left"/>
      <w:pPr>
        <w:ind w:left="8160" w:hanging="356"/>
      </w:pPr>
      <w:rPr>
        <w:rFonts w:hint="default"/>
      </w:rPr>
    </w:lvl>
  </w:abstractNum>
  <w:abstractNum w:abstractNumId="18" w15:restartNumberingAfterBreak="0">
    <w:nsid w:val="78E54909"/>
    <w:multiLevelType w:val="multilevel"/>
    <w:tmpl w:val="1B18BAA0"/>
    <w:lvl w:ilvl="0">
      <w:start w:val="2"/>
      <w:numFmt w:val="decimal"/>
      <w:lvlText w:val="%1"/>
      <w:lvlJc w:val="left"/>
      <w:pPr>
        <w:ind w:left="1011" w:hanging="651"/>
      </w:pPr>
      <w:rPr>
        <w:rFonts w:hint="default"/>
      </w:rPr>
    </w:lvl>
    <w:lvl w:ilvl="1">
      <w:start w:val="6"/>
      <w:numFmt w:val="decimal"/>
      <w:lvlText w:val="%1.%2"/>
      <w:lvlJc w:val="left"/>
      <w:pPr>
        <w:ind w:left="1011" w:hanging="651"/>
      </w:pPr>
      <w:rPr>
        <w:rFonts w:hint="default"/>
        <w:w w:val="105"/>
      </w:rPr>
    </w:lvl>
    <w:lvl w:ilvl="2">
      <w:numFmt w:val="bullet"/>
      <w:lvlText w:val="•"/>
      <w:lvlJc w:val="left"/>
      <w:pPr>
        <w:ind w:left="2760" w:hanging="651"/>
      </w:pPr>
      <w:rPr>
        <w:rFonts w:hint="default"/>
      </w:rPr>
    </w:lvl>
    <w:lvl w:ilvl="3">
      <w:numFmt w:val="bullet"/>
      <w:lvlText w:val="•"/>
      <w:lvlJc w:val="left"/>
      <w:pPr>
        <w:ind w:left="3630" w:hanging="651"/>
      </w:pPr>
      <w:rPr>
        <w:rFonts w:hint="default"/>
      </w:rPr>
    </w:lvl>
    <w:lvl w:ilvl="4">
      <w:numFmt w:val="bullet"/>
      <w:lvlText w:val="•"/>
      <w:lvlJc w:val="left"/>
      <w:pPr>
        <w:ind w:left="4500" w:hanging="651"/>
      </w:pPr>
      <w:rPr>
        <w:rFonts w:hint="default"/>
      </w:rPr>
    </w:lvl>
    <w:lvl w:ilvl="5">
      <w:numFmt w:val="bullet"/>
      <w:lvlText w:val="•"/>
      <w:lvlJc w:val="left"/>
      <w:pPr>
        <w:ind w:left="5370" w:hanging="651"/>
      </w:pPr>
      <w:rPr>
        <w:rFonts w:hint="default"/>
      </w:rPr>
    </w:lvl>
    <w:lvl w:ilvl="6">
      <w:numFmt w:val="bullet"/>
      <w:lvlText w:val="•"/>
      <w:lvlJc w:val="left"/>
      <w:pPr>
        <w:ind w:left="6240" w:hanging="651"/>
      </w:pPr>
      <w:rPr>
        <w:rFonts w:hint="default"/>
      </w:rPr>
    </w:lvl>
    <w:lvl w:ilvl="7">
      <w:numFmt w:val="bullet"/>
      <w:lvlText w:val="•"/>
      <w:lvlJc w:val="left"/>
      <w:pPr>
        <w:ind w:left="7110" w:hanging="651"/>
      </w:pPr>
      <w:rPr>
        <w:rFonts w:hint="default"/>
      </w:rPr>
    </w:lvl>
    <w:lvl w:ilvl="8">
      <w:numFmt w:val="bullet"/>
      <w:lvlText w:val="•"/>
      <w:lvlJc w:val="left"/>
      <w:pPr>
        <w:ind w:left="7980" w:hanging="651"/>
      </w:pPr>
      <w:rPr>
        <w:rFonts w:hint="default"/>
      </w:rPr>
    </w:lvl>
  </w:abstractNum>
  <w:abstractNum w:abstractNumId="19" w15:restartNumberingAfterBreak="0">
    <w:nsid w:val="7D602542"/>
    <w:multiLevelType w:val="hybridMultilevel"/>
    <w:tmpl w:val="FAE023C2"/>
    <w:lvl w:ilvl="0" w:tplc="1F30BA46">
      <w:numFmt w:val="bullet"/>
      <w:lvlText w:val="•"/>
      <w:lvlJc w:val="left"/>
      <w:pPr>
        <w:ind w:left="254" w:hanging="88"/>
      </w:pPr>
      <w:rPr>
        <w:rFonts w:ascii="Arial" w:eastAsia="Arial" w:hAnsi="Arial" w:cs="Arial" w:hint="default"/>
        <w:color w:val="4F4F4F"/>
        <w:w w:val="115"/>
        <w:sz w:val="7"/>
        <w:szCs w:val="7"/>
      </w:rPr>
    </w:lvl>
    <w:lvl w:ilvl="1" w:tplc="C3F88310">
      <w:numFmt w:val="bullet"/>
      <w:lvlText w:val="•"/>
      <w:lvlJc w:val="left"/>
      <w:pPr>
        <w:ind w:left="610" w:hanging="88"/>
      </w:pPr>
      <w:rPr>
        <w:rFonts w:hint="default"/>
      </w:rPr>
    </w:lvl>
    <w:lvl w:ilvl="2" w:tplc="77CC5396">
      <w:numFmt w:val="bullet"/>
      <w:lvlText w:val="•"/>
      <w:lvlJc w:val="left"/>
      <w:pPr>
        <w:ind w:left="961" w:hanging="88"/>
      </w:pPr>
      <w:rPr>
        <w:rFonts w:hint="default"/>
      </w:rPr>
    </w:lvl>
    <w:lvl w:ilvl="3" w:tplc="20C80C42">
      <w:numFmt w:val="bullet"/>
      <w:lvlText w:val="•"/>
      <w:lvlJc w:val="left"/>
      <w:pPr>
        <w:ind w:left="1312" w:hanging="88"/>
      </w:pPr>
      <w:rPr>
        <w:rFonts w:hint="default"/>
      </w:rPr>
    </w:lvl>
    <w:lvl w:ilvl="4" w:tplc="7E26FC3C">
      <w:numFmt w:val="bullet"/>
      <w:lvlText w:val="•"/>
      <w:lvlJc w:val="left"/>
      <w:pPr>
        <w:ind w:left="1663" w:hanging="88"/>
      </w:pPr>
      <w:rPr>
        <w:rFonts w:hint="default"/>
      </w:rPr>
    </w:lvl>
    <w:lvl w:ilvl="5" w:tplc="3E4C37E8">
      <w:numFmt w:val="bullet"/>
      <w:lvlText w:val="•"/>
      <w:lvlJc w:val="left"/>
      <w:pPr>
        <w:ind w:left="2014" w:hanging="88"/>
      </w:pPr>
      <w:rPr>
        <w:rFonts w:hint="default"/>
      </w:rPr>
    </w:lvl>
    <w:lvl w:ilvl="6" w:tplc="2A5C8F46">
      <w:numFmt w:val="bullet"/>
      <w:lvlText w:val="•"/>
      <w:lvlJc w:val="left"/>
      <w:pPr>
        <w:ind w:left="2365" w:hanging="88"/>
      </w:pPr>
      <w:rPr>
        <w:rFonts w:hint="default"/>
      </w:rPr>
    </w:lvl>
    <w:lvl w:ilvl="7" w:tplc="1AB86C54">
      <w:numFmt w:val="bullet"/>
      <w:lvlText w:val="•"/>
      <w:lvlJc w:val="left"/>
      <w:pPr>
        <w:ind w:left="2716" w:hanging="88"/>
      </w:pPr>
      <w:rPr>
        <w:rFonts w:hint="default"/>
      </w:rPr>
    </w:lvl>
    <w:lvl w:ilvl="8" w:tplc="4BB6E840">
      <w:numFmt w:val="bullet"/>
      <w:lvlText w:val="•"/>
      <w:lvlJc w:val="left"/>
      <w:pPr>
        <w:ind w:left="3067" w:hanging="88"/>
      </w:pPr>
      <w:rPr>
        <w:rFonts w:hint="default"/>
      </w:rPr>
    </w:lvl>
  </w:abstractNum>
  <w:num w:numId="1" w16cid:durableId="911424648">
    <w:abstractNumId w:val="17"/>
  </w:num>
  <w:num w:numId="2" w16cid:durableId="1179388075">
    <w:abstractNumId w:val="9"/>
  </w:num>
  <w:num w:numId="3" w16cid:durableId="318657902">
    <w:abstractNumId w:val="19"/>
  </w:num>
  <w:num w:numId="4" w16cid:durableId="806362109">
    <w:abstractNumId w:val="5"/>
  </w:num>
  <w:num w:numId="5" w16cid:durableId="545260229">
    <w:abstractNumId w:val="12"/>
  </w:num>
  <w:num w:numId="6" w16cid:durableId="1508666007">
    <w:abstractNumId w:val="6"/>
  </w:num>
  <w:num w:numId="7" w16cid:durableId="2106682323">
    <w:abstractNumId w:val="18"/>
  </w:num>
  <w:num w:numId="8" w16cid:durableId="1593734815">
    <w:abstractNumId w:val="11"/>
  </w:num>
  <w:num w:numId="9" w16cid:durableId="1632248972">
    <w:abstractNumId w:val="7"/>
  </w:num>
  <w:num w:numId="10" w16cid:durableId="152529845">
    <w:abstractNumId w:val="16"/>
  </w:num>
  <w:num w:numId="11" w16cid:durableId="1649896802">
    <w:abstractNumId w:val="15"/>
  </w:num>
  <w:num w:numId="12" w16cid:durableId="1188249904">
    <w:abstractNumId w:val="4"/>
  </w:num>
  <w:num w:numId="13" w16cid:durableId="461583238">
    <w:abstractNumId w:val="2"/>
  </w:num>
  <w:num w:numId="14" w16cid:durableId="2081518184">
    <w:abstractNumId w:val="1"/>
  </w:num>
  <w:num w:numId="15" w16cid:durableId="1897474516">
    <w:abstractNumId w:val="14"/>
  </w:num>
  <w:num w:numId="16" w16cid:durableId="1245650097">
    <w:abstractNumId w:val="13"/>
  </w:num>
  <w:num w:numId="17" w16cid:durableId="960458986">
    <w:abstractNumId w:val="3"/>
  </w:num>
  <w:num w:numId="18" w16cid:durableId="1429547375">
    <w:abstractNumId w:val="8"/>
  </w:num>
  <w:num w:numId="19" w16cid:durableId="1059132306">
    <w:abstractNumId w:val="10"/>
  </w:num>
  <w:num w:numId="20" w16cid:durableId="214034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B8C"/>
    <w:rsid w:val="0000656B"/>
    <w:rsid w:val="00012DBE"/>
    <w:rsid w:val="00036DE3"/>
    <w:rsid w:val="00041885"/>
    <w:rsid w:val="00082781"/>
    <w:rsid w:val="000B194D"/>
    <w:rsid w:val="000C7605"/>
    <w:rsid w:val="000C7872"/>
    <w:rsid w:val="000D5E62"/>
    <w:rsid w:val="000E37EB"/>
    <w:rsid w:val="000F2CE7"/>
    <w:rsid w:val="001104D5"/>
    <w:rsid w:val="00110EF0"/>
    <w:rsid w:val="00116EAE"/>
    <w:rsid w:val="00137FF9"/>
    <w:rsid w:val="001455FC"/>
    <w:rsid w:val="00161FE0"/>
    <w:rsid w:val="00163A5C"/>
    <w:rsid w:val="001729EA"/>
    <w:rsid w:val="00184C37"/>
    <w:rsid w:val="001B3E92"/>
    <w:rsid w:val="001C25ED"/>
    <w:rsid w:val="001D0AF9"/>
    <w:rsid w:val="001F2510"/>
    <w:rsid w:val="00205EFA"/>
    <w:rsid w:val="00206CC9"/>
    <w:rsid w:val="00227089"/>
    <w:rsid w:val="00227D48"/>
    <w:rsid w:val="002412FA"/>
    <w:rsid w:val="00245B11"/>
    <w:rsid w:val="00252C2B"/>
    <w:rsid w:val="00270E22"/>
    <w:rsid w:val="002828E9"/>
    <w:rsid w:val="00291826"/>
    <w:rsid w:val="002E6266"/>
    <w:rsid w:val="00322234"/>
    <w:rsid w:val="00331C3E"/>
    <w:rsid w:val="00347266"/>
    <w:rsid w:val="00351EEF"/>
    <w:rsid w:val="00357434"/>
    <w:rsid w:val="003622D7"/>
    <w:rsid w:val="00362F97"/>
    <w:rsid w:val="003724BB"/>
    <w:rsid w:val="00395FF3"/>
    <w:rsid w:val="003C6F52"/>
    <w:rsid w:val="003D0F14"/>
    <w:rsid w:val="003F10BA"/>
    <w:rsid w:val="00406940"/>
    <w:rsid w:val="00423960"/>
    <w:rsid w:val="004421A0"/>
    <w:rsid w:val="0045200A"/>
    <w:rsid w:val="00480771"/>
    <w:rsid w:val="004814F7"/>
    <w:rsid w:val="00484E5A"/>
    <w:rsid w:val="004967D7"/>
    <w:rsid w:val="004D08B6"/>
    <w:rsid w:val="004F03A8"/>
    <w:rsid w:val="005044AE"/>
    <w:rsid w:val="00532053"/>
    <w:rsid w:val="00550F9B"/>
    <w:rsid w:val="005522CE"/>
    <w:rsid w:val="0056128F"/>
    <w:rsid w:val="0058018D"/>
    <w:rsid w:val="0059248F"/>
    <w:rsid w:val="005932DF"/>
    <w:rsid w:val="005A2A3F"/>
    <w:rsid w:val="005B1B29"/>
    <w:rsid w:val="005C22E0"/>
    <w:rsid w:val="00610EC6"/>
    <w:rsid w:val="006111A7"/>
    <w:rsid w:val="00620A15"/>
    <w:rsid w:val="00622338"/>
    <w:rsid w:val="00657618"/>
    <w:rsid w:val="00667B8E"/>
    <w:rsid w:val="00671232"/>
    <w:rsid w:val="00685276"/>
    <w:rsid w:val="006911E9"/>
    <w:rsid w:val="006A1CA0"/>
    <w:rsid w:val="006A76B0"/>
    <w:rsid w:val="006B21B9"/>
    <w:rsid w:val="006B35EC"/>
    <w:rsid w:val="006C04E1"/>
    <w:rsid w:val="006D1CD8"/>
    <w:rsid w:val="00713315"/>
    <w:rsid w:val="00742248"/>
    <w:rsid w:val="00745AC7"/>
    <w:rsid w:val="00745CD7"/>
    <w:rsid w:val="00765498"/>
    <w:rsid w:val="007811F5"/>
    <w:rsid w:val="00790548"/>
    <w:rsid w:val="007973EE"/>
    <w:rsid w:val="007A2664"/>
    <w:rsid w:val="007A51C8"/>
    <w:rsid w:val="007A68A3"/>
    <w:rsid w:val="007B13F3"/>
    <w:rsid w:val="007B6144"/>
    <w:rsid w:val="007D2C82"/>
    <w:rsid w:val="007D6283"/>
    <w:rsid w:val="008012E2"/>
    <w:rsid w:val="00803DC5"/>
    <w:rsid w:val="00805069"/>
    <w:rsid w:val="0081368F"/>
    <w:rsid w:val="00827B77"/>
    <w:rsid w:val="00835EC5"/>
    <w:rsid w:val="00836426"/>
    <w:rsid w:val="00870860"/>
    <w:rsid w:val="0087466B"/>
    <w:rsid w:val="008803F6"/>
    <w:rsid w:val="008A6DDA"/>
    <w:rsid w:val="008C31C5"/>
    <w:rsid w:val="008D199F"/>
    <w:rsid w:val="00920871"/>
    <w:rsid w:val="009220A2"/>
    <w:rsid w:val="009434A5"/>
    <w:rsid w:val="00952B4B"/>
    <w:rsid w:val="00965B8C"/>
    <w:rsid w:val="00973610"/>
    <w:rsid w:val="00976E26"/>
    <w:rsid w:val="009B05D0"/>
    <w:rsid w:val="009C0749"/>
    <w:rsid w:val="009E7019"/>
    <w:rsid w:val="009F52FD"/>
    <w:rsid w:val="00A00F8C"/>
    <w:rsid w:val="00A17B0C"/>
    <w:rsid w:val="00A21E03"/>
    <w:rsid w:val="00A253BC"/>
    <w:rsid w:val="00A27D33"/>
    <w:rsid w:val="00A36F78"/>
    <w:rsid w:val="00A54AC1"/>
    <w:rsid w:val="00A55401"/>
    <w:rsid w:val="00A56551"/>
    <w:rsid w:val="00A63F59"/>
    <w:rsid w:val="00A94CC3"/>
    <w:rsid w:val="00AD5978"/>
    <w:rsid w:val="00AD7393"/>
    <w:rsid w:val="00AE4F20"/>
    <w:rsid w:val="00AF34D0"/>
    <w:rsid w:val="00B007C0"/>
    <w:rsid w:val="00B123EB"/>
    <w:rsid w:val="00B3236C"/>
    <w:rsid w:val="00B52752"/>
    <w:rsid w:val="00B76D47"/>
    <w:rsid w:val="00BA0C89"/>
    <w:rsid w:val="00BA77E2"/>
    <w:rsid w:val="00BA79D5"/>
    <w:rsid w:val="00BC47F6"/>
    <w:rsid w:val="00BF61A7"/>
    <w:rsid w:val="00BF7C24"/>
    <w:rsid w:val="00C12D25"/>
    <w:rsid w:val="00C20F47"/>
    <w:rsid w:val="00C22306"/>
    <w:rsid w:val="00C93D81"/>
    <w:rsid w:val="00CB0C52"/>
    <w:rsid w:val="00D04F78"/>
    <w:rsid w:val="00D255F9"/>
    <w:rsid w:val="00D4637B"/>
    <w:rsid w:val="00D5359D"/>
    <w:rsid w:val="00D72BCE"/>
    <w:rsid w:val="00DA1537"/>
    <w:rsid w:val="00DD6A8F"/>
    <w:rsid w:val="00DD7781"/>
    <w:rsid w:val="00DF1A23"/>
    <w:rsid w:val="00E0513A"/>
    <w:rsid w:val="00E10B99"/>
    <w:rsid w:val="00E24B6E"/>
    <w:rsid w:val="00E4531D"/>
    <w:rsid w:val="00E72384"/>
    <w:rsid w:val="00E74EDC"/>
    <w:rsid w:val="00E84038"/>
    <w:rsid w:val="00E90FA4"/>
    <w:rsid w:val="00EB39D7"/>
    <w:rsid w:val="00EE2515"/>
    <w:rsid w:val="00EF4ACB"/>
    <w:rsid w:val="00F00E57"/>
    <w:rsid w:val="00F06D1B"/>
    <w:rsid w:val="00F1725B"/>
    <w:rsid w:val="00F23B31"/>
    <w:rsid w:val="00F61384"/>
    <w:rsid w:val="00F707A0"/>
    <w:rsid w:val="00F90F8A"/>
    <w:rsid w:val="00FD018A"/>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F071"/>
  <w15:docId w15:val="{5E913860-AE7A-E644-8FD8-12C78995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40" w:lineRule="exact"/>
      <w:outlineLvl w:val="0"/>
    </w:pPr>
    <w:rPr>
      <w:rFonts w:ascii="Arial" w:eastAsia="Arial" w:hAnsi="Arial" w:cs="Arial"/>
      <w:sz w:val="96"/>
      <w:szCs w:val="96"/>
    </w:rPr>
  </w:style>
  <w:style w:type="paragraph" w:styleId="Heading2">
    <w:name w:val="heading 2"/>
    <w:basedOn w:val="Normal"/>
    <w:uiPriority w:val="1"/>
    <w:qFormat/>
    <w:pPr>
      <w:spacing w:before="68"/>
      <w:ind w:left="82"/>
      <w:jc w:val="center"/>
      <w:outlineLvl w:val="1"/>
    </w:pPr>
    <w:rPr>
      <w:b/>
      <w:bCs/>
      <w:sz w:val="79"/>
      <w:szCs w:val="79"/>
    </w:rPr>
  </w:style>
  <w:style w:type="paragraph" w:styleId="Heading3">
    <w:name w:val="heading 3"/>
    <w:basedOn w:val="Normal"/>
    <w:uiPriority w:val="1"/>
    <w:qFormat/>
    <w:pPr>
      <w:spacing w:before="68"/>
      <w:ind w:left="76"/>
      <w:jc w:val="center"/>
      <w:outlineLvl w:val="2"/>
    </w:pPr>
    <w:rPr>
      <w:b/>
      <w:bCs/>
      <w:sz w:val="78"/>
      <w:szCs w:val="78"/>
    </w:rPr>
  </w:style>
  <w:style w:type="paragraph" w:styleId="Heading4">
    <w:name w:val="heading 4"/>
    <w:basedOn w:val="Normal"/>
    <w:uiPriority w:val="1"/>
    <w:qFormat/>
    <w:pPr>
      <w:ind w:left="81"/>
      <w:outlineLvl w:val="3"/>
    </w:pPr>
    <w:rPr>
      <w:sz w:val="74"/>
      <w:szCs w:val="74"/>
    </w:rPr>
  </w:style>
  <w:style w:type="paragraph" w:styleId="Heading5">
    <w:name w:val="heading 5"/>
    <w:basedOn w:val="Normal"/>
    <w:uiPriority w:val="1"/>
    <w:qFormat/>
    <w:pPr>
      <w:ind w:left="16"/>
      <w:jc w:val="center"/>
      <w:outlineLvl w:val="4"/>
    </w:pPr>
    <w:rPr>
      <w:sz w:val="70"/>
      <w:szCs w:val="70"/>
    </w:rPr>
  </w:style>
  <w:style w:type="paragraph" w:styleId="Heading6">
    <w:name w:val="heading 6"/>
    <w:basedOn w:val="Normal"/>
    <w:uiPriority w:val="1"/>
    <w:qFormat/>
    <w:pPr>
      <w:ind w:left="12"/>
      <w:jc w:val="center"/>
      <w:outlineLvl w:val="5"/>
    </w:pPr>
    <w:rPr>
      <w:b/>
      <w:bCs/>
      <w:sz w:val="67"/>
      <w:szCs w:val="67"/>
    </w:rPr>
  </w:style>
  <w:style w:type="paragraph" w:styleId="Heading7">
    <w:name w:val="heading 7"/>
    <w:basedOn w:val="Normal"/>
    <w:uiPriority w:val="1"/>
    <w:qFormat/>
    <w:pPr>
      <w:outlineLvl w:val="6"/>
    </w:pPr>
    <w:rPr>
      <w:b/>
      <w:bCs/>
      <w:sz w:val="38"/>
      <w:szCs w:val="38"/>
    </w:rPr>
  </w:style>
  <w:style w:type="paragraph" w:styleId="Heading8">
    <w:name w:val="heading 8"/>
    <w:basedOn w:val="Normal"/>
    <w:uiPriority w:val="1"/>
    <w:qFormat/>
    <w:pPr>
      <w:spacing w:line="325" w:lineRule="exact"/>
      <w:outlineLvl w:val="7"/>
    </w:pPr>
    <w:rPr>
      <w:rFonts w:ascii="Arial" w:eastAsia="Arial" w:hAnsi="Arial" w:cs="Arial"/>
      <w:sz w:val="36"/>
      <w:szCs w:val="36"/>
    </w:rPr>
  </w:style>
  <w:style w:type="paragraph" w:styleId="Heading9">
    <w:name w:val="heading 9"/>
    <w:basedOn w:val="Normal"/>
    <w:uiPriority w:val="1"/>
    <w:qFormat/>
    <w:pPr>
      <w:spacing w:line="355" w:lineRule="exact"/>
      <w:outlineLvl w:val="8"/>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905" w:hanging="72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423960"/>
    <w:pPr>
      <w:tabs>
        <w:tab w:val="center" w:pos="4680"/>
        <w:tab w:val="right" w:pos="9360"/>
      </w:tabs>
    </w:pPr>
  </w:style>
  <w:style w:type="character" w:customStyle="1" w:styleId="HeaderChar">
    <w:name w:val="Header Char"/>
    <w:basedOn w:val="DefaultParagraphFont"/>
    <w:link w:val="Header"/>
    <w:uiPriority w:val="99"/>
    <w:rsid w:val="00423960"/>
    <w:rPr>
      <w:rFonts w:ascii="Times New Roman" w:eastAsia="Times New Roman" w:hAnsi="Times New Roman" w:cs="Times New Roman"/>
    </w:rPr>
  </w:style>
  <w:style w:type="paragraph" w:styleId="Footer">
    <w:name w:val="footer"/>
    <w:basedOn w:val="Normal"/>
    <w:link w:val="FooterChar"/>
    <w:uiPriority w:val="99"/>
    <w:unhideWhenUsed/>
    <w:rsid w:val="00423960"/>
    <w:pPr>
      <w:tabs>
        <w:tab w:val="center" w:pos="4680"/>
        <w:tab w:val="right" w:pos="9360"/>
      </w:tabs>
    </w:pPr>
  </w:style>
  <w:style w:type="character" w:customStyle="1" w:styleId="FooterChar">
    <w:name w:val="Footer Char"/>
    <w:basedOn w:val="DefaultParagraphFont"/>
    <w:link w:val="Footer"/>
    <w:uiPriority w:val="99"/>
    <w:rsid w:val="0042396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41885"/>
    <w:rPr>
      <w:sz w:val="16"/>
      <w:szCs w:val="16"/>
    </w:rPr>
  </w:style>
  <w:style w:type="paragraph" w:styleId="CommentText">
    <w:name w:val="annotation text"/>
    <w:basedOn w:val="Normal"/>
    <w:link w:val="CommentTextChar"/>
    <w:uiPriority w:val="99"/>
    <w:unhideWhenUsed/>
    <w:rsid w:val="00041885"/>
    <w:rPr>
      <w:sz w:val="20"/>
      <w:szCs w:val="20"/>
    </w:rPr>
  </w:style>
  <w:style w:type="character" w:customStyle="1" w:styleId="CommentTextChar">
    <w:name w:val="Comment Text Char"/>
    <w:basedOn w:val="DefaultParagraphFont"/>
    <w:link w:val="CommentText"/>
    <w:uiPriority w:val="99"/>
    <w:rsid w:val="000418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885"/>
    <w:rPr>
      <w:b/>
      <w:bCs/>
    </w:rPr>
  </w:style>
  <w:style w:type="character" w:customStyle="1" w:styleId="CommentSubjectChar">
    <w:name w:val="Comment Subject Char"/>
    <w:basedOn w:val="CommentTextChar"/>
    <w:link w:val="CommentSubject"/>
    <w:uiPriority w:val="99"/>
    <w:semiHidden/>
    <w:rsid w:val="00041885"/>
    <w:rPr>
      <w:rFonts w:ascii="Times New Roman" w:eastAsia="Times New Roman" w:hAnsi="Times New Roman" w:cs="Times New Roman"/>
      <w:b/>
      <w:bCs/>
      <w:sz w:val="20"/>
      <w:szCs w:val="20"/>
    </w:rPr>
  </w:style>
  <w:style w:type="paragraph" w:styleId="Revision">
    <w:name w:val="Revision"/>
    <w:hidden/>
    <w:uiPriority w:val="99"/>
    <w:semiHidden/>
    <w:rsid w:val="00DD6A8F"/>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3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DF"/>
    <w:rPr>
      <w:rFonts w:ascii="Segoe UI" w:eastAsia="Times New Roman" w:hAnsi="Segoe UI" w:cs="Segoe UI"/>
      <w:sz w:val="18"/>
      <w:szCs w:val="18"/>
    </w:rPr>
  </w:style>
  <w:style w:type="paragraph" w:customStyle="1" w:styleId="ColorfulList-Accent11">
    <w:name w:val="Colorful List - Accent 11"/>
    <w:basedOn w:val="Normal"/>
    <w:uiPriority w:val="34"/>
    <w:qFormat/>
    <w:rsid w:val="00685276"/>
    <w:pPr>
      <w:adjustRightInd w:val="0"/>
      <w:ind w:left="720"/>
      <w:contextualSpacing/>
    </w:pPr>
    <w:rPr>
      <w:sz w:val="24"/>
      <w:szCs w:val="24"/>
    </w:rPr>
  </w:style>
  <w:style w:type="paragraph" w:styleId="TOC1">
    <w:name w:val="toc 1"/>
    <w:basedOn w:val="Normal"/>
    <w:next w:val="Normal"/>
    <w:autoRedefine/>
    <w:uiPriority w:val="39"/>
    <w:rsid w:val="001F2510"/>
    <w:pPr>
      <w:adjustRightInd w:val="0"/>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3337</Words>
  <Characters>19026</Characters>
  <Application>Microsoft Office Word</Application>
  <DocSecurity>0</DocSecurity>
  <Lines>158</Lines>
  <Paragraphs>44</Paragraphs>
  <ScaleCrop>false</ScaleCrop>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Derald (PacifiCorp)</dc:creator>
  <cp:lastModifiedBy>Anderson, Derald (PacifiCorp)</cp:lastModifiedBy>
  <cp:revision>2</cp:revision>
  <dcterms:created xsi:type="dcterms:W3CDTF">2023-09-07T01:38:00Z</dcterms:created>
  <dcterms:modified xsi:type="dcterms:W3CDTF">2023-09-07T01:38:00Z</dcterms:modified>
</cp:coreProperties>
</file>