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Open Sans" w:cs="Open Sans" w:eastAsia="Open Sans" w:hAnsi="Open Sans"/>
          <w:sz w:val="36"/>
          <w:szCs w:val="36"/>
        </w:rPr>
      </w:pPr>
      <w:r w:rsidDel="00000000" w:rsidR="00000000" w:rsidRPr="00000000">
        <w:rPr>
          <w:rFonts w:ascii="Open Sans" w:cs="Open Sans" w:eastAsia="Open Sans" w:hAnsi="Open Sans"/>
        </w:rPr>
        <w:drawing>
          <wp:anchor allowOverlap="1" behindDoc="0" distB="0" distT="0" distL="114300" distR="114300" hidden="0" layoutInCell="1" locked="0" relativeHeight="0" simplePos="0">
            <wp:simplePos x="0" y="0"/>
            <wp:positionH relativeFrom="page">
              <wp:posOffset>6172200</wp:posOffset>
            </wp:positionH>
            <wp:positionV relativeFrom="margin">
              <wp:posOffset>175260</wp:posOffset>
            </wp:positionV>
            <wp:extent cx="1405255" cy="826770"/>
            <wp:effectExtent b="0" l="0" r="0" t="0"/>
            <wp:wrapSquare wrapText="bothSides" distB="0" distT="0" distL="114300" distR="114300"/>
            <wp:docPr id="2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5255" cy="82677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rFonts w:ascii="Open Sans" w:cs="Open Sans" w:eastAsia="Open Sans" w:hAnsi="Open Sans"/>
          <w:shd w:fill="a7dbd5" w:val="clear"/>
        </w:rPr>
      </w:pPr>
      <w:bookmarkStart w:colFirst="0" w:colLast="0" w:name="_heading=h.gjdgxs" w:id="0"/>
      <w:bookmarkEnd w:id="0"/>
      <w:r w:rsidDel="00000000" w:rsidR="00000000" w:rsidRPr="00000000">
        <w:rPr>
          <w:rFonts w:ascii="Open Sans" w:cs="Open Sans" w:eastAsia="Open Sans" w:hAnsi="Open Sans"/>
          <w:sz w:val="36"/>
          <w:szCs w:val="36"/>
          <w:shd w:fill="a7dbd5" w:val="clear"/>
          <w:rtl w:val="0"/>
        </w:rPr>
        <w:t xml:space="preserve">Department of Health and Human Services</w:t>
      </w:r>
      <w:r w:rsidDel="00000000" w:rsidR="00000000" w:rsidRPr="00000000">
        <w:rPr>
          <w:rtl w:val="0"/>
        </w:rPr>
      </w:r>
    </w:p>
    <w:p w:rsidR="00000000" w:rsidDel="00000000" w:rsidP="00000000" w:rsidRDefault="00000000" w:rsidRPr="00000000" w14:paraId="00000003">
      <w:pPr>
        <w:pStyle w:val="Heading1"/>
        <w:rPr>
          <w:rFonts w:ascii="Open Sans" w:cs="Open Sans" w:eastAsia="Open Sans" w:hAnsi="Open Sans"/>
          <w:sz w:val="60"/>
          <w:szCs w:val="60"/>
        </w:rPr>
      </w:pPr>
      <w:bookmarkStart w:colFirst="0" w:colLast="0" w:name="_heading=h.30j0zll" w:id="1"/>
      <w:bookmarkEnd w:id="1"/>
      <w:r w:rsidDel="00000000" w:rsidR="00000000" w:rsidRPr="00000000">
        <w:rPr>
          <w:rFonts w:ascii="Open Sans" w:cs="Open Sans" w:eastAsia="Open Sans" w:hAnsi="Open Sans"/>
          <w:sz w:val="60"/>
          <w:szCs w:val="60"/>
          <w:rtl w:val="0"/>
        </w:rPr>
        <w:t xml:space="preserve">Guidance on the suggested use of medical cannabis </w:t>
      </w:r>
    </w:p>
    <w:p w:rsidR="00000000" w:rsidDel="00000000" w:rsidP="00000000" w:rsidRDefault="00000000" w:rsidRPr="00000000" w14:paraId="00000004">
      <w:pPr>
        <w:rPr>
          <w:rFonts w:ascii="Open Sans" w:cs="Open Sans" w:eastAsia="Open Sans" w:hAnsi="Open Sans"/>
        </w:rPr>
      </w:pPr>
      <w:r w:rsidDel="00000000" w:rsidR="00000000" w:rsidRPr="00000000">
        <w:rPr>
          <w:rFonts w:ascii="Open Sans" w:cs="Open Sans" w:eastAsia="Open Sans" w:hAnsi="Open Sans"/>
          <w:sz w:val="60"/>
          <w:szCs w:val="60"/>
          <w:rtl w:val="0"/>
        </w:rPr>
        <w:t xml:space="preserve">Multiple sclerosis</w:t>
      </w:r>
      <w:r w:rsidDel="00000000" w:rsidR="00000000" w:rsidRPr="00000000">
        <w:rPr>
          <w:rtl w:val="0"/>
        </w:rPr>
      </w:r>
    </w:p>
    <w:p w:rsidR="00000000" w:rsidDel="00000000" w:rsidP="00000000" w:rsidRDefault="00000000" w:rsidRPr="00000000" w14:paraId="00000005">
      <w:pPr>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shd w:fill="efefef" w:val="clear"/>
        </w:rPr>
        <w:sectPr>
          <w:headerReference r:id="rId8" w:type="default"/>
          <w:pgSz w:h="15840" w:w="12240" w:orient="portrait"/>
          <w:pgMar w:bottom="1440" w:top="1440" w:left="1440" w:right="1440" w:header="720" w:footer="720"/>
          <w:pgNumType w:start="1"/>
        </w:sect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-25399</wp:posOffset>
                </wp:positionH>
                <wp:positionV relativeFrom="paragraph">
                  <wp:posOffset>287020</wp:posOffset>
                </wp:positionV>
                <wp:extent cx="6248400" cy="4964491"/>
                <wp:effectExtent b="0" l="0" r="0" t="0"/>
                <wp:wrapSquare wrapText="bothSides" distB="45720" distT="45720" distL="114300" distR="114300"/>
                <wp:docPr id="225" name=""/>
                <a:graphic>
                  <a:graphicData uri="http://schemas.microsoft.com/office/word/2010/wordprocessingShape">
                    <wps:wsp>
                      <wps:cNvSpPr/>
                      <wps:cNvPr id="2" name="Shape 2"/>
                      <wps:spPr>
                        <a:xfrm>
                          <a:off x="2240850" y="1319550"/>
                          <a:ext cx="6210300" cy="4920900"/>
                        </a:xfrm>
                        <a:prstGeom prst="rect">
                          <a:avLst/>
                        </a:prstGeom>
                        <a:solidFill>
                          <a:srgbClr val="A7DBD5"/>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24"/>
                                <w:shd w:fill="a7dbd5"/>
                                <w:vertAlign w:val="baseline"/>
                              </w:rPr>
                              <w:t xml:space="preserve">About this document: The following information on the use of medical cannabis serves as a suggested use guide for those participating in the Utah Medical Cannabis Program. The intended audience for this document includes qualified medical providers, pharmacy medical providers, patients intending to use medical cannabis, and caregivers of patients intending to use medical cannabis.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24"/>
                                <w:shd w:fill="a7dbd5"/>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24"/>
                                <w:shd w:fill="a7dbd5"/>
                                <w:vertAlign w:val="baseline"/>
                              </w:rPr>
                            </w:r>
                            <w:r w:rsidDel="00000000" w:rsidR="00000000" w:rsidRPr="00000000">
                              <w:rPr>
                                <w:rFonts w:ascii="Open Sans" w:cs="Open Sans" w:eastAsia="Open Sans" w:hAnsi="Open Sans"/>
                                <w:b w:val="0"/>
                                <w:i w:val="0"/>
                                <w:smallCaps w:val="0"/>
                                <w:strike w:val="0"/>
                                <w:color w:val="000000"/>
                                <w:sz w:val="24"/>
                                <w:shd w:fill="a7dbd5"/>
                                <w:vertAlign w:val="baseline"/>
                              </w:rPr>
                              <w:t xml:space="preserve">This document details the guidance on the use of medical cannabis for multiple sclerosis.  This document does not include general instructions on the use of medical cannabis, contraindications, warnings, precautions and adverse reactions to using cannabis and drug-to-drug interactions which could be found in the extended guidance document titled </w:t>
                            </w:r>
                            <w:r w:rsidDel="00000000" w:rsidR="00000000" w:rsidRPr="00000000">
                              <w:rPr>
                                <w:rFonts w:ascii="Open Sans" w:cs="Open Sans" w:eastAsia="Open Sans" w:hAnsi="Open Sans"/>
                                <w:b w:val="0"/>
                                <w:i w:val="1"/>
                                <w:smallCaps w:val="0"/>
                                <w:strike w:val="0"/>
                                <w:color w:val="000000"/>
                                <w:sz w:val="24"/>
                                <w:shd w:fill="a7dbd5"/>
                                <w:vertAlign w:val="baseline"/>
                              </w:rPr>
                              <w:t xml:space="preserve">Guidance on the Suggested Use of Medical Cannabis.  </w:t>
                            </w:r>
                            <w:r w:rsidDel="00000000" w:rsidR="00000000" w:rsidRPr="00000000">
                              <w:rPr>
                                <w:rFonts w:ascii="Open Sans" w:cs="Open Sans" w:eastAsia="Open Sans" w:hAnsi="Open Sans"/>
                                <w:b w:val="0"/>
                                <w:i w:val="0"/>
                                <w:smallCaps w:val="0"/>
                                <w:strike w:val="0"/>
                                <w:color w:val="000000"/>
                                <w:sz w:val="24"/>
                                <w:shd w:fill="a7dbd5"/>
                                <w:vertAlign w:val="baseline"/>
                              </w:rPr>
                              <w:t xml:space="preserve"> The extended guidance document can be found on the Department of Health and Human Services Center for Medical Cannabis website (</w:t>
                            </w:r>
                            <w:r w:rsidDel="00000000" w:rsidR="00000000" w:rsidRPr="00000000">
                              <w:rPr>
                                <w:rFonts w:ascii="Open Sans" w:cs="Open Sans" w:eastAsia="Open Sans" w:hAnsi="Open Sans"/>
                                <w:b w:val="0"/>
                                <w:i w:val="0"/>
                                <w:smallCaps w:val="0"/>
                                <w:strike w:val="0"/>
                                <w:color w:val="0563c1"/>
                                <w:sz w:val="24"/>
                                <w:u w:val="single"/>
                                <w:shd w:fill="a7dbd5"/>
                                <w:vertAlign w:val="baseline"/>
                              </w:rPr>
                              <w:t xml:space="preserve">www.medicalcannabis.utah.gov</w:t>
                            </w:r>
                            <w:r w:rsidDel="00000000" w:rsidR="00000000" w:rsidRPr="00000000">
                              <w:rPr>
                                <w:rFonts w:ascii="Open Sans" w:cs="Open Sans" w:eastAsia="Open Sans" w:hAnsi="Open Sans"/>
                                <w:b w:val="0"/>
                                <w:i w:val="0"/>
                                <w:smallCaps w:val="0"/>
                                <w:strike w:val="0"/>
                                <w:color w:val="000000"/>
                                <w:sz w:val="24"/>
                                <w:shd w:fill="a7dbd5"/>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24"/>
                                <w:shd w:fill="a7dbd5"/>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24"/>
                                <w:shd w:fill="a7dbd5"/>
                                <w:vertAlign w:val="baseline"/>
                              </w:rPr>
                            </w:r>
                            <w:r w:rsidDel="00000000" w:rsidR="00000000" w:rsidRPr="00000000">
                              <w:rPr>
                                <w:rFonts w:ascii="Open Sans" w:cs="Open Sans" w:eastAsia="Open Sans" w:hAnsi="Open Sans"/>
                                <w:b w:val="0"/>
                                <w:i w:val="0"/>
                                <w:smallCaps w:val="0"/>
                                <w:strike w:val="0"/>
                                <w:color w:val="000000"/>
                                <w:sz w:val="24"/>
                                <w:shd w:fill="a7dbd5"/>
                                <w:vertAlign w:val="baseline"/>
                              </w:rPr>
                              <w:t xml:space="preserve">About the authors:  This document was authored by the Utah Cannabis Research Review Board and Department of Health and Human Services staff.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24"/>
                                <w:shd w:fill="a7dbd5"/>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24"/>
                                <w:shd w:fill="a7dbd5"/>
                                <w:vertAlign w:val="baseline"/>
                              </w:rPr>
                            </w:r>
                            <w:r w:rsidDel="00000000" w:rsidR="00000000" w:rsidRPr="00000000">
                              <w:rPr>
                                <w:rFonts w:ascii="Open Sans" w:cs="Open Sans" w:eastAsia="Open Sans" w:hAnsi="Open Sans"/>
                                <w:b w:val="0"/>
                                <w:i w:val="0"/>
                                <w:smallCaps w:val="0"/>
                                <w:strike w:val="0"/>
                                <w:color w:val="000000"/>
                                <w:sz w:val="24"/>
                                <w:shd w:fill="a7dbd5"/>
                                <w:vertAlign w:val="baseline"/>
                              </w:rPr>
                              <w:t xml:space="preserve">About the Utah Cannabis Research Review Board: Under Utah Health Code 26B-1-420, the Cannabis Research Review Board is a board of medical research professionals and physicians who meet on a voluntary basis to review and discuss any available scientific research related to the human use of cannabis, cannabinoid product or an expanded cannabinoid product that was conducted under a study approved by an Institutional Review Board (IRB) or was conducted and approved by the federal government.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0"/>
                                <w:i w:val="0"/>
                                <w:smallCaps w:val="0"/>
                                <w:strike w:val="0"/>
                                <w:color w:val="000000"/>
                                <w:sz w:val="24"/>
                                <w:shd w:fill="a7dbd5"/>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-25399</wp:posOffset>
                </wp:positionH>
                <wp:positionV relativeFrom="paragraph">
                  <wp:posOffset>287020</wp:posOffset>
                </wp:positionV>
                <wp:extent cx="6248400" cy="4964491"/>
                <wp:effectExtent b="0" l="0" r="0" t="0"/>
                <wp:wrapSquare wrapText="bothSides" distB="45720" distT="45720" distL="114300" distR="114300"/>
                <wp:docPr id="22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248400" cy="4964491"/>
                        </a:xfrm>
                        <a:prstGeom prst="rect"/>
                        <a:ln/>
                      </pic:spPr>
                    </pic:pic>
                  </a:graphicData>
                </a:graphic>
              </wp:anchor>
            </w:drawing>
          </mc:Fallback>
        </mc:AlternateContent>
      </w:r>
    </w:p>
    <w:p w:rsidR="00000000" w:rsidDel="00000000" w:rsidP="00000000" w:rsidRDefault="00000000" w:rsidRPr="00000000" w14:paraId="00000008">
      <w:pPr>
        <w:rPr>
          <w:rFonts w:ascii="Open Sans" w:cs="Open Sans" w:eastAsia="Open Sans" w:hAnsi="Open Sans"/>
          <w:shd w:fill="efefef" w:val="clea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tcBorders>
              <w:bottom w:color="000000" w:space="0" w:sz="0" w:val="nil"/>
            </w:tcBorders>
            <w:shd w:fill="ffc112" w:val="clear"/>
          </w:tcPr>
          <w:p w:rsidR="00000000" w:rsidDel="00000000" w:rsidP="00000000" w:rsidRDefault="00000000" w:rsidRPr="00000000" w14:paraId="00000009">
            <w:pPr>
              <w:rPr>
                <w:rFonts w:ascii="Open Sans" w:cs="Open Sans" w:eastAsia="Open Sans" w:hAnsi="Open Sans"/>
                <w:color w:val="000000"/>
              </w:rPr>
            </w:pPr>
            <w:r w:rsidDel="00000000" w:rsidR="00000000" w:rsidRPr="00000000">
              <w:rPr>
                <w:rFonts w:ascii="Open Sans" w:cs="Open Sans" w:eastAsia="Open Sans" w:hAnsi="Open Sans"/>
                <w:b w:val="1"/>
                <w:color w:val="000000"/>
                <w:u w:val="single"/>
                <w:rtl w:val="0"/>
              </w:rPr>
              <w:t xml:space="preserve">IMPORTANT NOTE:</w:t>
            </w:r>
            <w:r w:rsidDel="00000000" w:rsidR="00000000" w:rsidRPr="00000000">
              <w:rPr>
                <w:rFonts w:ascii="Open Sans" w:cs="Open Sans" w:eastAsia="Open Sans" w:hAnsi="Open Sans"/>
                <w:color w:val="c55911"/>
                <w:rtl w:val="0"/>
              </w:rPr>
              <w:t xml:space="preserve">  </w:t>
            </w:r>
            <w:r w:rsidDel="00000000" w:rsidR="00000000" w:rsidRPr="00000000">
              <w:rPr>
                <w:rFonts w:ascii="Open Sans" w:cs="Open Sans" w:eastAsia="Open Sans" w:hAnsi="Open Sans"/>
                <w:color w:val="000000"/>
                <w:rtl w:val="0"/>
              </w:rPr>
              <w:t xml:space="preserve">As always, in the event of significant side effects, stop use of medical cannabis until side effects have resolved, and then reduce to previous, best-tolerated dose.  To avoid unwanted psychoactive side effects, “start low and go slow” especially when using cannabis products for the first time or using new dosages or types of products.</w:t>
            </w:r>
          </w:p>
          <w:p w:rsidR="00000000" w:rsidDel="00000000" w:rsidP="00000000" w:rsidRDefault="00000000" w:rsidRPr="00000000" w14:paraId="0000000A">
            <w:pPr>
              <w:rPr/>
            </w:pPr>
            <w:r w:rsidDel="00000000" w:rsidR="00000000" w:rsidRPr="00000000">
              <w:rPr>
                <w:rtl w:val="0"/>
              </w:rPr>
            </w:r>
          </w:p>
        </w:tc>
      </w:tr>
      <w:tr>
        <w:trPr>
          <w:cantSplit w:val="0"/>
          <w:tblHeader w:val="0"/>
        </w:trPr>
        <w:tc>
          <w:tcPr>
            <w:tcBorders>
              <w:top w:color="000000" w:space="0" w:sz="0" w:val="nil"/>
            </w:tcBorders>
            <w:shd w:fill="ffc112" w:val="clear"/>
          </w:tcPr>
          <w:p w:rsidR="00000000" w:rsidDel="00000000" w:rsidP="00000000" w:rsidRDefault="00000000" w:rsidRPr="00000000" w14:paraId="0000000B">
            <w:pPr>
              <w:rPr/>
            </w:pPr>
            <w:r w:rsidDel="00000000" w:rsidR="00000000" w:rsidRPr="00000000">
              <w:rPr>
                <w:rFonts w:ascii="Open Sans" w:cs="Open Sans" w:eastAsia="Open Sans" w:hAnsi="Open Sans"/>
                <w:color w:val="000000"/>
                <w:rtl w:val="0"/>
              </w:rPr>
              <w:t xml:space="preserve">There is </w:t>
            </w:r>
            <w:r w:rsidDel="00000000" w:rsidR="00000000" w:rsidRPr="00000000">
              <w:rPr>
                <w:rFonts w:ascii="Open Sans" w:cs="Open Sans" w:eastAsia="Open Sans" w:hAnsi="Open Sans"/>
                <w:color w:val="000000"/>
                <w:u w:val="single"/>
                <w:rtl w:val="0"/>
              </w:rPr>
              <w:t xml:space="preserve">substantial evidence</w:t>
            </w:r>
            <w:r w:rsidDel="00000000" w:rsidR="00000000" w:rsidRPr="00000000">
              <w:rPr>
                <w:rFonts w:ascii="Open Sans" w:cs="Open Sans" w:eastAsia="Open Sans" w:hAnsi="Open Sans"/>
                <w:color w:val="000000"/>
                <w:u w:val="single"/>
                <w:vertAlign w:val="superscript"/>
                <w:rtl w:val="0"/>
              </w:rPr>
              <w:t xml:space="preserve">a</w:t>
            </w:r>
            <w:r w:rsidDel="00000000" w:rsidR="00000000" w:rsidRPr="00000000">
              <w:rPr>
                <w:rFonts w:ascii="Open Sans" w:cs="Open Sans" w:eastAsia="Open Sans" w:hAnsi="Open Sans"/>
                <w:i w:val="1"/>
                <w:color w:val="000000"/>
                <w:rtl w:val="0"/>
              </w:rPr>
              <w:t xml:space="preserve"> </w:t>
            </w:r>
            <w:r w:rsidDel="00000000" w:rsidR="00000000" w:rsidRPr="00000000">
              <w:rPr>
                <w:rFonts w:ascii="Open Sans" w:cs="Open Sans" w:eastAsia="Open Sans" w:hAnsi="Open Sans"/>
                <w:color w:val="000000"/>
                <w:rtl w:val="0"/>
              </w:rPr>
              <w:t xml:space="preserve">to support the conclusion that cannabis and cannabinoids are effective in improving patient-reported multiple sclerosis spasticity symptoms (oral cannabinoids</w:t>
            </w:r>
            <w:r w:rsidDel="00000000" w:rsidR="00000000" w:rsidRPr="00000000">
              <w:rPr>
                <w:rFonts w:ascii="Open Sans" w:cs="Open Sans" w:eastAsia="Open Sans" w:hAnsi="Open Sans"/>
                <w:color w:val="000000"/>
                <w:vertAlign w:val="superscript"/>
                <w:rtl w:val="0"/>
              </w:rPr>
              <w:t xml:space="preserve">b</w:t>
            </w:r>
            <w:r w:rsidDel="00000000" w:rsidR="00000000" w:rsidRPr="00000000">
              <w:rPr>
                <w:rFonts w:ascii="Open Sans" w:cs="Open Sans" w:eastAsia="Open Sans" w:hAnsi="Open Sans"/>
                <w:color w:val="000000"/>
                <w:rtl w:val="0"/>
              </w:rPr>
              <w:t xml:space="preserve">). This is based on supportive findings from good-quality studies with very few or no credible opposing findings.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Open Sans" w:cs="Open Sans" w:eastAsia="Open Sans" w:hAnsi="Open Sans"/>
                <w:color w:val="000000"/>
                <w:rtl w:val="0"/>
              </w:rPr>
              <w:t xml:space="preserve">There is </w:t>
            </w:r>
            <w:r w:rsidDel="00000000" w:rsidR="00000000" w:rsidRPr="00000000">
              <w:rPr>
                <w:rFonts w:ascii="Open Sans" w:cs="Open Sans" w:eastAsia="Open Sans" w:hAnsi="Open Sans"/>
                <w:color w:val="000000"/>
                <w:u w:val="single"/>
                <w:rtl w:val="0"/>
              </w:rPr>
              <w:t xml:space="preserve">moderate evidence</w:t>
            </w:r>
            <w:r w:rsidDel="00000000" w:rsidR="00000000" w:rsidRPr="00000000">
              <w:rPr>
                <w:rFonts w:ascii="Open Sans" w:cs="Open Sans" w:eastAsia="Open Sans" w:hAnsi="Open Sans"/>
                <w:color w:val="000000"/>
                <w:rtl w:val="0"/>
              </w:rPr>
              <w:t xml:space="preserve"> to support the conclusion that cannabis or cannabinoids are effective in treating neuropathic pain </w:t>
            </w:r>
            <w:r w:rsidDel="00000000" w:rsidR="00000000" w:rsidRPr="00000000">
              <w:rPr>
                <w:rFonts w:ascii="Open Sans" w:cs="Open Sans" w:eastAsia="Open Sans" w:hAnsi="Open Sans"/>
                <w:color w:val="000000"/>
                <w:rtl w:val="0"/>
              </w:rPr>
              <w:t xml:space="preserve">in patients wit</w:t>
            </w:r>
            <w:r w:rsidDel="00000000" w:rsidR="00000000" w:rsidRPr="00000000">
              <w:rPr>
                <w:rFonts w:ascii="Open Sans" w:cs="Open Sans" w:eastAsia="Open Sans" w:hAnsi="Open Sans"/>
                <w:color w:val="000000"/>
                <w:rtl w:val="0"/>
              </w:rPr>
              <w:t xml:space="preserve">h multiple sclerosis (oral cannabin</w:t>
            </w:r>
            <w:r w:rsidDel="00000000" w:rsidR="00000000" w:rsidRPr="00000000">
              <w:rPr>
                <w:rFonts w:ascii="Open Sans" w:cs="Open Sans" w:eastAsia="Open Sans" w:hAnsi="Open Sans"/>
                <w:color w:val="000000"/>
                <w:rtl w:val="0"/>
              </w:rPr>
              <w:t xml:space="preserve">oids</w:t>
            </w:r>
            <w:r w:rsidDel="00000000" w:rsidR="00000000" w:rsidRPr="00000000">
              <w:rPr>
                <w:rFonts w:ascii="Open Sans" w:cs="Open Sans" w:eastAsia="Open Sans" w:hAnsi="Open Sans"/>
                <w:color w:val="000000"/>
                <w:vertAlign w:val="superscript"/>
                <w:rtl w:val="0"/>
              </w:rPr>
              <w:t xml:space="preserve">b</w:t>
            </w:r>
            <w:r w:rsidDel="00000000" w:rsidR="00000000" w:rsidRPr="00000000">
              <w:rPr>
                <w:rFonts w:ascii="Open Sans" w:cs="Open Sans" w:eastAsia="Open Sans" w:hAnsi="Open Sans"/>
                <w:color w:val="000000"/>
                <w:rtl w:val="0"/>
              </w:rPr>
              <w:t xml:space="preserve">).</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Open Sans" w:cs="Open Sans" w:eastAsia="Open Sans" w:hAnsi="Open Sans"/>
                <w:color w:val="000000"/>
                <w:rtl w:val="0"/>
              </w:rPr>
              <w:t xml:space="preserve">There is </w:t>
            </w:r>
            <w:r w:rsidDel="00000000" w:rsidR="00000000" w:rsidRPr="00000000">
              <w:rPr>
                <w:rFonts w:ascii="Open Sans" w:cs="Open Sans" w:eastAsia="Open Sans" w:hAnsi="Open Sans"/>
                <w:color w:val="000000"/>
                <w:u w:val="single"/>
                <w:rtl w:val="0"/>
              </w:rPr>
              <w:t xml:space="preserve">limite</w:t>
            </w:r>
            <w:r w:rsidDel="00000000" w:rsidR="00000000" w:rsidRPr="00000000">
              <w:rPr>
                <w:rFonts w:ascii="Open Sans" w:cs="Open Sans" w:eastAsia="Open Sans" w:hAnsi="Open Sans"/>
                <w:color w:val="000000"/>
                <w:u w:val="single"/>
                <w:rtl w:val="0"/>
              </w:rPr>
              <w:t xml:space="preserve">d eviden</w:t>
            </w:r>
            <w:r w:rsidDel="00000000" w:rsidR="00000000" w:rsidRPr="00000000">
              <w:rPr>
                <w:rFonts w:ascii="Open Sans" w:cs="Open Sans" w:eastAsia="Open Sans" w:hAnsi="Open Sans"/>
                <w:color w:val="000000"/>
                <w:u w:val="single"/>
                <w:rtl w:val="0"/>
              </w:rPr>
              <w:t xml:space="preserve">ce</w:t>
            </w:r>
            <w:r w:rsidDel="00000000" w:rsidR="00000000" w:rsidRPr="00000000">
              <w:rPr>
                <w:rFonts w:ascii="Open Sans" w:cs="Open Sans" w:eastAsia="Open Sans" w:hAnsi="Open Sans"/>
                <w:color w:val="000000"/>
                <w:rtl w:val="0"/>
              </w:rPr>
              <w:t xml:space="preserve"> to support the c</w:t>
            </w:r>
            <w:r w:rsidDel="00000000" w:rsidR="00000000" w:rsidRPr="00000000">
              <w:rPr>
                <w:rFonts w:ascii="Open Sans" w:cs="Open Sans" w:eastAsia="Open Sans" w:hAnsi="Open Sans"/>
                <w:color w:val="000000"/>
                <w:rtl w:val="0"/>
              </w:rPr>
              <w:t xml:space="preserve">onclusion that cannabis or cannabinoids may be effective in reducing overactive bladder symptoms in people with MS, including nocturia, daily void frequency, and patient-reported incontinence (nabiximols</w:t>
            </w:r>
            <w:r w:rsidDel="00000000" w:rsidR="00000000" w:rsidRPr="00000000">
              <w:rPr>
                <w:rFonts w:ascii="Open Sans" w:cs="Open Sans" w:eastAsia="Open Sans" w:hAnsi="Open Sans"/>
                <w:color w:val="000000"/>
                <w:vertAlign w:val="superscript"/>
                <w:rtl w:val="0"/>
              </w:rPr>
              <w:t xml:space="preserve">b</w:t>
            </w:r>
            <w:r w:rsidDel="00000000" w:rsidR="00000000" w:rsidRPr="00000000">
              <w:rPr>
                <w:rFonts w:ascii="Open Sans" w:cs="Open Sans" w:eastAsia="Open Sans" w:hAnsi="Open Sans"/>
                <w:color w:val="000000"/>
                <w:rtl w:val="0"/>
              </w:rPr>
              <w:t xml:space="preserve">).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There is </w:t>
            </w:r>
            <w:r w:rsidDel="00000000" w:rsidR="00000000" w:rsidRPr="00000000">
              <w:rPr>
                <w:rFonts w:ascii="Open Sans" w:cs="Open Sans" w:eastAsia="Open Sans" w:hAnsi="Open Sans"/>
                <w:color w:val="000000"/>
                <w:u w:val="single"/>
                <w:rtl w:val="0"/>
              </w:rPr>
              <w:t xml:space="preserve">insufficient evidence</w:t>
            </w:r>
            <w:r w:rsidDel="00000000" w:rsidR="00000000" w:rsidRPr="00000000">
              <w:rPr>
                <w:rFonts w:ascii="Open Sans" w:cs="Open Sans" w:eastAsia="Open Sans" w:hAnsi="Open Sans"/>
                <w:i w:val="1"/>
                <w:color w:val="000000"/>
                <w:rtl w:val="0"/>
              </w:rPr>
              <w:t xml:space="preserve"> </w:t>
            </w:r>
            <w:r w:rsidDel="00000000" w:rsidR="00000000" w:rsidRPr="00000000">
              <w:rPr>
                <w:rFonts w:ascii="Open Sans" w:cs="Open Sans" w:eastAsia="Open Sans" w:hAnsi="Open Sans"/>
                <w:color w:val="000000"/>
                <w:rtl w:val="0"/>
              </w:rPr>
              <w:t xml:space="preserve">to support or refute the conclusion that cannabis or cannabinoids are effective in treating tremor in people with multiple sclerosis.  </w:t>
            </w:r>
          </w:p>
          <w:p w:rsidR="00000000" w:rsidDel="00000000" w:rsidP="00000000" w:rsidRDefault="00000000" w:rsidRPr="00000000" w14:paraId="00000012">
            <w:pPr>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There is </w:t>
            </w:r>
            <w:r w:rsidDel="00000000" w:rsidR="00000000" w:rsidRPr="00000000">
              <w:rPr>
                <w:rFonts w:ascii="Open Sans" w:cs="Open Sans" w:eastAsia="Open Sans" w:hAnsi="Open Sans"/>
                <w:color w:val="000000"/>
                <w:u w:val="single"/>
                <w:rtl w:val="0"/>
              </w:rPr>
              <w:t xml:space="preserve">insufficient evidence</w:t>
            </w:r>
            <w:r w:rsidDel="00000000" w:rsidR="00000000" w:rsidRPr="00000000">
              <w:rPr>
                <w:rFonts w:ascii="Open Sans" w:cs="Open Sans" w:eastAsia="Open Sans" w:hAnsi="Open Sans"/>
                <w:i w:val="1"/>
                <w:color w:val="000000"/>
                <w:rtl w:val="0"/>
              </w:rPr>
              <w:t xml:space="preserve"> </w:t>
            </w:r>
            <w:r w:rsidDel="00000000" w:rsidR="00000000" w:rsidRPr="00000000">
              <w:rPr>
                <w:rFonts w:ascii="Open Sans" w:cs="Open Sans" w:eastAsia="Open Sans" w:hAnsi="Open Sans"/>
                <w:color w:val="000000"/>
                <w:rtl w:val="0"/>
              </w:rPr>
              <w:t xml:space="preserve">to support or refute the conclusion that cannabis or cannabinoids are effective in treating</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color w:val="000000"/>
                <w:rtl w:val="0"/>
              </w:rPr>
              <w:t xml:space="preserve">spasticity in p</w:t>
            </w:r>
            <w:r w:rsidDel="00000000" w:rsidR="00000000" w:rsidRPr="00000000">
              <w:rPr>
                <w:rFonts w:ascii="Open Sans" w:cs="Open Sans" w:eastAsia="Open Sans" w:hAnsi="Open Sans"/>
                <w:color w:val="000000"/>
                <w:rtl w:val="0"/>
              </w:rPr>
              <w:t xml:space="preserve">atients with paralysis due to spinal cord injury. </w:t>
            </w:r>
            <w:r w:rsidDel="00000000" w:rsidR="00000000" w:rsidRPr="00000000">
              <w:rPr>
                <w:rtl w:val="0"/>
              </w:rPr>
            </w:r>
          </w:p>
          <w:p w:rsidR="00000000" w:rsidDel="00000000" w:rsidP="00000000" w:rsidRDefault="00000000" w:rsidRPr="00000000" w14:paraId="00000014">
            <w:pPr>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Open Sans" w:cs="Open Sans" w:eastAsia="Open Sans" w:hAnsi="Open Sans"/>
                <w:color w:val="000000"/>
                <w:vertAlign w:val="superscript"/>
                <w:rtl w:val="0"/>
              </w:rPr>
              <w:t xml:space="preserve">a</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000000"/>
                <w:sz w:val="20"/>
                <w:szCs w:val="20"/>
                <w:rtl w:val="0"/>
              </w:rPr>
              <w:t xml:space="preserve">Developed using level of evidence categories from the 2017 N</w:t>
            </w:r>
            <w:r w:rsidDel="00000000" w:rsidR="00000000" w:rsidRPr="00000000">
              <w:rPr>
                <w:rFonts w:ascii="Open Sans" w:cs="Open Sans" w:eastAsia="Open Sans" w:hAnsi="Open Sans"/>
                <w:color w:val="333333"/>
                <w:sz w:val="20"/>
                <w:szCs w:val="20"/>
                <w:rtl w:val="0"/>
              </w:rPr>
              <w:t xml:space="preserve">ational Academies of Sciences, Engineering, and Medicine report on cannabis (</w:t>
            </w:r>
            <w:r w:rsidDel="00000000" w:rsidR="00000000" w:rsidRPr="00000000">
              <w:rPr>
                <w:rFonts w:ascii="Open Sans" w:cs="Open Sans" w:eastAsia="Open Sans" w:hAnsi="Open Sans"/>
                <w:sz w:val="20"/>
                <w:szCs w:val="20"/>
                <w:rtl w:val="0"/>
              </w:rPr>
              <w:t xml:space="preserve">National Academies of Sciences, Engineering, and Medicine, 2017</w:t>
            </w:r>
            <w:r w:rsidDel="00000000" w:rsidR="00000000" w:rsidRPr="00000000">
              <w:rPr>
                <w:rFonts w:ascii="Open Sans" w:cs="Open Sans" w:eastAsia="Open Sans" w:hAnsi="Open Sans"/>
                <w:i w:val="1"/>
                <w:sz w:val="20"/>
                <w:szCs w:val="20"/>
                <w:rtl w:val="0"/>
              </w:rPr>
              <w:t xml:space="preserve">d</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strike w:val="1"/>
                <w:sz w:val="20"/>
                <w:szCs w:val="20"/>
                <w:highlight w:val="white"/>
                <w:rtl w:val="0"/>
              </w:rPr>
              <w:t xml:space="preserve"> </w:t>
            </w:r>
            <w:r w:rsidDel="00000000" w:rsidR="00000000" w:rsidRPr="00000000">
              <w:rPr>
                <w:rFonts w:ascii="Open Sans" w:cs="Open Sans" w:eastAsia="Open Sans" w:hAnsi="Open Sans"/>
                <w:strike w:val="1"/>
                <w:sz w:val="20"/>
                <w:szCs w:val="20"/>
                <w:rtl w:val="0"/>
              </w:rPr>
              <w:t xml:space="preserve"> </w:t>
            </w:r>
            <w:r w:rsidDel="00000000" w:rsidR="00000000" w:rsidRPr="00000000">
              <w:rPr>
                <w:rtl w:val="0"/>
              </w:rPr>
            </w:r>
          </w:p>
          <w:p w:rsidR="00000000" w:rsidDel="00000000" w:rsidP="00000000" w:rsidRDefault="00000000" w:rsidRPr="00000000" w14:paraId="00000016">
            <w:pPr>
              <w:rPr/>
            </w:pPr>
            <w:r w:rsidDel="00000000" w:rsidR="00000000" w:rsidRPr="00000000">
              <w:rPr>
                <w:sz w:val="20"/>
                <w:szCs w:val="20"/>
                <w:vertAlign w:val="superscript"/>
                <w:rtl w:val="0"/>
              </w:rPr>
              <w:t xml:space="preserve">b</w:t>
            </w:r>
            <w:r w:rsidDel="00000000" w:rsidR="00000000" w:rsidRPr="00000000">
              <w:rPr>
                <w:sz w:val="20"/>
                <w:szCs w:val="20"/>
                <w:rtl w:val="0"/>
              </w:rPr>
              <w:t xml:space="preserve"> </w:t>
            </w:r>
            <w:r w:rsidDel="00000000" w:rsidR="00000000" w:rsidRPr="00000000">
              <w:rPr>
                <w:rFonts w:ascii="Open Sans" w:cs="Open Sans" w:eastAsia="Open Sans" w:hAnsi="Open Sans"/>
                <w:sz w:val="20"/>
                <w:szCs w:val="20"/>
                <w:rtl w:val="0"/>
              </w:rPr>
              <w:t xml:space="preserve">Indicates the type of cannabis or cannabinoids studied in most clinical trials. Oral cannabinoids typically included cannabis extracts (predominantly delta-9-tetrahydrocannabinol [THC]), nabiximols (1:1 THC:CBD [cannabidiol] oromucosal spray), or synthetic THC analogs. </w:t>
            </w:r>
            <w:r w:rsidDel="00000000" w:rsidR="00000000" w:rsidRPr="00000000">
              <w:rPr>
                <w:rtl w:val="0"/>
              </w:rPr>
            </w:r>
          </w:p>
        </w:tc>
      </w:tr>
    </w:tbl>
    <w:p w:rsidR="00000000" w:rsidDel="00000000" w:rsidP="00000000" w:rsidRDefault="00000000" w:rsidRPr="00000000" w14:paraId="00000017">
      <w:pPr>
        <w:spacing w:after="300" w:before="300" w:lineRule="auto"/>
        <w:rPr>
          <w:rFonts w:ascii="Open Sans" w:cs="Open Sans" w:eastAsia="Open Sans" w:hAnsi="Open Sans"/>
          <w:b w:val="1"/>
          <w:i w:val="1"/>
          <w:sz w:val="22"/>
          <w:szCs w:val="22"/>
          <w:shd w:fill="a7dbd5" w:val="clear"/>
        </w:rPr>
      </w:pPr>
      <w:r w:rsidDel="00000000" w:rsidR="00000000" w:rsidRPr="00000000">
        <w:rPr>
          <w:rFonts w:ascii="Open Sans" w:cs="Open Sans" w:eastAsia="Open Sans" w:hAnsi="Open Sans"/>
          <w:b w:val="1"/>
          <w:i w:val="1"/>
          <w:sz w:val="22"/>
          <w:szCs w:val="22"/>
          <w:rtl w:val="0"/>
        </w:rPr>
        <w:t xml:space="preserve">Smoking cannabis is not permitted under the Utah health code.  Any mention of smoking in this document refers to the method used for a particular study and is stated for your information only.  </w:t>
      </w:r>
      <w:r w:rsidDel="00000000" w:rsidR="00000000" w:rsidRPr="00000000">
        <w:rPr>
          <w:rFonts w:ascii="Open Sans" w:cs="Open Sans" w:eastAsia="Open Sans" w:hAnsi="Open Sans"/>
          <w:b w:val="1"/>
          <w:i w:val="1"/>
          <w:sz w:val="22"/>
          <w:szCs w:val="22"/>
          <w:shd w:fill="a7dbd5" w:val="clear"/>
          <w:rtl w:val="0"/>
        </w:rPr>
        <w:t xml:space="preserve">The Department of Health and Human Services, the Cannabis Research Review Board, and the State of Utah do not promote smoking as a method of cannabis use. </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Multiple sclerosis (MS) is an autoimmune disease in which the immune system attacks myelin sheaths of neurons present in the central nervous system. Resulting damage to myelinated neurons of the central nervous system can result in sensory deficits, neuropathic pain (hyperalgesia and allodynia), motor weakness and paralysis involving both striated and smooth muscles, and upper motor neuron hyperreflexia and spasticity.  Several biologic-based disease-modifying agents, immune antagonists, and symptom-based therapies are approved for the treatment of this chronic and often progressive debilitating disorder.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Cannabis or cannabinoids may be effective for treatment of some MS symptoms. The following summarizes clinical efficacy evidence from recent systematic reviews (SRs), primarily of randomized controlled trials (RCTs), for treatment of MS with cannabis-based therapies. </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Spasticity: </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Pooled data from 5 RCTs including about 1100 patients shows short-term (up to 14 weeks) treatment with nabiximols (1:1 THC:CBD oromucosal spray) or oral cannabis extract significantly increases the odds of reporting a clinically significant spasticity symptom reduction (by 30%) compared to placebo. Nabiximols also modestly improve mean change in spasticity compared to placebo in the short term (from 7 RCTs of about 1200 patients) (Filippini et al., 2022). Long-term treatment evidence is limited, but spasticity benefits from nabiximols may persist for at least 12 months based on observational studies (Martinez-Paz et al., 2023). Evidence for treating spasticity with whole-plant cannabis and routes of administration other than oral/oromucosal is limited. Overall, the moderate-cert</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ainty RCT evidence su</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pports oral cannabinoids as add-on therapy option for patients with moderate-to-severe MS spasticity insufficiently responsive to other treatment options (Filippini et al., 2022). When reported, mean maintenance doses of nabximols in RCTs and observational studies reached about 11-23 mg of THC and 10-21 mg of CBD daily (Ergul et al., 2022</w:t>
      </w:r>
      <w:r w:rsidDel="00000000" w:rsidR="00000000" w:rsidRPr="00000000">
        <w:rPr>
          <w:rFonts w:ascii="Open Sans" w:cs="Open Sans" w:eastAsia="Open Sans" w:hAnsi="Open Sans"/>
          <w:b w:val="0"/>
          <w:i w:val="0"/>
          <w:smallCaps w:val="0"/>
          <w:strike w:val="0"/>
          <w:color w:val="000000"/>
          <w:sz w:val="24"/>
          <w:szCs w:val="24"/>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Filippini et al., 2022</w:t>
      </w:r>
      <w:r w:rsidDel="00000000" w:rsidR="00000000" w:rsidRPr="00000000">
        <w:rPr>
          <w:rFonts w:ascii="Open Sans" w:cs="Open Sans" w:eastAsia="Open Sans" w:hAnsi="Open Sans"/>
          <w:b w:val="0"/>
          <w:i w:val="0"/>
          <w:smallCaps w:val="0"/>
          <w:strike w:val="0"/>
          <w:color w:val="000000"/>
          <w:sz w:val="24"/>
          <w:szCs w:val="24"/>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Longoria et al., 2022</w:t>
      </w:r>
      <w:r w:rsidDel="00000000" w:rsidR="00000000" w:rsidRPr="00000000">
        <w:rPr>
          <w:rFonts w:ascii="Open Sans" w:cs="Open Sans" w:eastAsia="Open Sans" w:hAnsi="Open Sans"/>
          <w:b w:val="0"/>
          <w:i w:val="0"/>
          <w:smallCaps w:val="0"/>
          <w:strike w:val="0"/>
          <w:color w:val="000000"/>
          <w:sz w:val="24"/>
          <w:szCs w:val="24"/>
          <w:u w:val="none"/>
          <w:vertAlign w:val="baseline"/>
          <w:rtl w:val="0"/>
        </w:rPr>
        <w:t xml:space="preserve">)</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Chronic neuropathic pain: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Add-on treatment with oral cannabinoids may modestly improve short-term neuropathic pain compared to placebo, based on a meta-analysis of 8 RCTs. One small RCT demonstrated a clinically significant (pain reduction of 50% from baseline) reduction in pain with dronabinol versus placebo at 3 weeks. However, the evidence was rated as low or very-low certainty by a recent SR due to risk of bias and inconsistency, or serious imprecision (Filippini et al., 2022).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Overactive bladder: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Two moderate-size RCTs demonstrated short-term benefits from nabiximols (mean of about 24 mg THC/21 mg CBD) or oral THC (max 25 mg) for improving some overactive bladder symptoms compared to placebo. Nabiximols were superior to placebo for secondary outcomes of nocturia frequency and number of daily voids but failed to demonstrate superiority for the primary outcome of daily incontinence episode frequency. Oral THC and oral cannabis extract significantly reduced patient-reported urge incontinence episodes versus placebo, but a difference compared to placebo was not demonstrated on any domain of the King’s Health Questionnaire (a validated bladder-specific health-related quality of life measure) (Bapir et al., 2022; Filippini et al., 2022).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Tremor: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Tremor symptom improvement with oral cannabinoids over placebo was not observed in 4 short-term (up to 12 week) trials. Improvement in patient-reported tremor symptoms was observed in extended follow-up of 1 trial of oral THC (max 25 mg daily) at 27 and 52 weeks (Pourmohammadi et al., 2022). Overall, evidence for treating tremor is inconclusive.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Sleep quality: </w:t>
      </w:r>
    </w:p>
    <w:p w:rsidR="00000000" w:rsidDel="00000000" w:rsidP="00000000" w:rsidRDefault="00000000" w:rsidRPr="00000000" w14:paraId="00000025">
      <w:pPr>
        <w:keepNext w:val="0"/>
        <w:keepLines w:val="0"/>
        <w:pageBreakBefore w:val="0"/>
        <w:widowControl w:val="1"/>
        <w:numPr>
          <w:ilvl w:val="1"/>
          <w:numId w:val="2"/>
        </w:numPr>
        <w:spacing w:after="0" w:before="0" w:line="240" w:lineRule="auto"/>
        <w:ind w:left="1440" w:right="0" w:hanging="360"/>
        <w:jc w:val="left"/>
        <w:rPr>
          <w:rFonts w:ascii="Open Sans" w:cs="Open Sans" w:eastAsia="Open Sans" w:hAnsi="Open Sans"/>
          <w:b w:val="1"/>
          <w:i w:val="0"/>
          <w:smallCaps w:val="0"/>
          <w:strike w:val="0"/>
          <w:color w:val="000000"/>
          <w:sz w:val="24"/>
          <w:szCs w:val="24"/>
          <w:u w:val="none"/>
          <w:vertAlign w:val="baseline"/>
        </w:rPr>
      </w:pPr>
      <w:r w:rsidDel="00000000" w:rsidR="00000000" w:rsidRPr="00000000">
        <w:rPr>
          <w:rFonts w:ascii="Open Sans" w:cs="Open Sans" w:eastAsia="Open Sans" w:hAnsi="Open Sans"/>
          <w:rtl w:val="0"/>
        </w:rPr>
        <w:t xml:space="preserve">Oral cannabino</w:t>
      </w:r>
      <w:r w:rsidDel="00000000" w:rsidR="00000000" w:rsidRPr="00000000">
        <w:rPr>
          <w:rFonts w:ascii="Open Sans" w:cs="Open Sans" w:eastAsia="Open Sans" w:hAnsi="Open Sans"/>
          <w:rtl w:val="0"/>
        </w:rPr>
        <w:t xml:space="preserve">ids (primarily nabiximols) may modestly improve short-term sleep quality compared to placebo, based on a pooled estimate of 7 RCTs with substantial heterogeneity (Filippini et al., 2022). In an observational study, benefits of cannabinoids for sleep correlated with pain relief (Longoria et al., 2022).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Patient’s Global Impression of Change (PGIC) in Heath Status and Health-related Quality of Life (HRQoL)</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pacing w:after="0" w:before="0" w:line="240" w:lineRule="auto"/>
        <w:ind w:left="1440" w:right="0" w:hanging="360"/>
        <w:jc w:val="left"/>
        <w:rPr>
          <w:rFonts w:ascii="Open Sans" w:cs="Open Sans" w:eastAsia="Open Sans" w:hAnsi="Open Sans"/>
          <w:b w:val="0"/>
          <w:i w:val="0"/>
          <w:smallCaps w:val="0"/>
          <w:strike w:val="0"/>
          <w:color w:val="000000"/>
          <w:sz w:val="24"/>
          <w:szCs w:val="24"/>
          <w:u w:val="none"/>
          <w:vertAlign w:val="baseline"/>
        </w:rPr>
      </w:pPr>
      <w:r w:rsidDel="00000000" w:rsidR="00000000" w:rsidRPr="00000000">
        <w:rPr>
          <w:rFonts w:ascii="Open Sans" w:cs="Open Sans" w:eastAsia="Open Sans" w:hAnsi="Open Sans"/>
          <w:rtl w:val="0"/>
        </w:rPr>
        <w:t xml:space="preserve">Oral cannabinoids probably increase the number of patients with MS reporting ‘very much’ or ‘much’ improvement in health status after 4–48 weeks of treatment based on a pooled analysis of 8 RCTs (moderate-certainty evidence). Nonetheless, the combined evidence from 8 trials demonstrated little to no improvement in HRQoL from baseline after 3–48 weeks with cannabinoids compared to placebo (low-certainty evidence) (Filippini et al., 2022).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Open Sans" w:cs="Open Sans" w:eastAsia="Open Sans" w:hAnsi="Open Sans"/>
          <w:highlight w:val="whit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1080" w:firstLine="0"/>
        <w:rPr>
          <w:rFonts w:ascii="Open Sans" w:cs="Open Sans" w:eastAsia="Open Sans" w:hAnsi="Open Sans"/>
          <w:i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108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Evidence for disease-modifying and neuroprotective effects of cannabis in preclinical models of multiple sclerosis (Pryce et al., 2015) supports the use of medical cannabis in the early treatment of MS.  However, a single placebo-controlled study of pure synthetic THC (dronabinol) administered to 498 patients with chronic and progressive MS (Zajicek et al., 2013) failed to demonstrate an improvement in disability or neuropathology.   </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Open Sans" w:cs="Open Sans" w:eastAsia="Open Sans" w:hAnsi="Open Sans"/>
          <w:b w:val="1"/>
        </w:rPr>
      </w:pPr>
      <w:r w:rsidDel="00000000" w:rsidR="00000000" w:rsidRPr="00000000">
        <w:rPr>
          <w:rFonts w:ascii="Open Sans" w:cs="Open Sans" w:eastAsia="Open Sans" w:hAnsi="Open Sans"/>
          <w:b w:val="1"/>
          <w:rtl w:val="0"/>
        </w:rPr>
        <w:t xml:space="preserve">Safety Concerns</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Treatment with</w:t>
      </w:r>
      <w:r w:rsidDel="00000000" w:rsidR="00000000" w:rsidRPr="00000000">
        <w:rPr>
          <w:rFonts w:ascii="Open Sans" w:cs="Open Sans" w:eastAsia="Open Sans" w:hAnsi="Open Sans"/>
          <w:rtl w:val="0"/>
        </w:rPr>
        <w:t xml:space="preserve"> oral cannabinoids in people with MS increases the odds for nervous system adverse events (AEs), such as dizziness, somnolence and headache compared to placebo (Filippini et al., 2022). </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Based primarily on pre-clinical </w:t>
      </w:r>
      <w:r w:rsidDel="00000000" w:rsidR="00000000" w:rsidRPr="00000000">
        <w:rPr>
          <w:rFonts w:ascii="Open Sans" w:cs="Open Sans" w:eastAsia="Open Sans" w:hAnsi="Open Sans"/>
          <w:i w:val="1"/>
          <w:rtl w:val="0"/>
        </w:rPr>
        <w:t xml:space="preserve">in vivo </w:t>
      </w:r>
      <w:r w:rsidDel="00000000" w:rsidR="00000000" w:rsidRPr="00000000">
        <w:rPr>
          <w:rFonts w:ascii="Open Sans" w:cs="Open Sans" w:eastAsia="Open Sans" w:hAnsi="Open Sans"/>
          <w:rtl w:val="0"/>
        </w:rPr>
        <w:t xml:space="preserve">and </w:t>
      </w:r>
      <w:r w:rsidDel="00000000" w:rsidR="00000000" w:rsidRPr="00000000">
        <w:rPr>
          <w:rFonts w:ascii="Open Sans" w:cs="Open Sans" w:eastAsia="Open Sans" w:hAnsi="Open Sans"/>
          <w:i w:val="1"/>
          <w:rtl w:val="0"/>
        </w:rPr>
        <w:t xml:space="preserve">in vitro </w:t>
      </w:r>
      <w:r w:rsidDel="00000000" w:rsidR="00000000" w:rsidRPr="00000000">
        <w:rPr>
          <w:rFonts w:ascii="Open Sans" w:cs="Open Sans" w:eastAsia="Open Sans" w:hAnsi="Open Sans"/>
          <w:rtl w:val="0"/>
        </w:rPr>
        <w:t xml:space="preserve">studies, THC and CBD may suppress parts of the innate and acquired immune system (eg, affecting leukocyte propagation, macrophage and T-cell viability, and pro-inflammatory cytokine secretion) (Katchan et al., 2016). Little is known about whether combined treatment with immunosuppressive disease-modifying therapies (DMTs) for MS and cannabis increases the risk for serious infections. Approximately 60% of patients with MS were receiving DMTs (glucocorticoids, interferons, or other agents) during a 14-week RCT of oromucosal nabiximols (maximum of 32.4 mg THC and 30 mg CBD daily) for treatment of neuropathic pain. In this short-term trial, no severe infections were reported, and the rate infections/infestations was 20% in the THC/CBD arm compared to 16% in the placebo arm (La</w:t>
      </w:r>
      <w:r w:rsidDel="00000000" w:rsidR="00000000" w:rsidRPr="00000000">
        <w:rPr>
          <w:rFonts w:ascii="Open Sans" w:cs="Open Sans" w:eastAsia="Open Sans" w:hAnsi="Open Sans"/>
          <w:rtl w:val="0"/>
        </w:rPr>
        <w:t xml:space="preserve">ngford et al., 2013). Newer DMTs for M</w:t>
      </w:r>
      <w:r w:rsidDel="00000000" w:rsidR="00000000" w:rsidRPr="00000000">
        <w:rPr>
          <w:rFonts w:ascii="Open Sans" w:cs="Open Sans" w:eastAsia="Open Sans" w:hAnsi="Open Sans"/>
          <w:rtl w:val="0"/>
        </w:rPr>
        <w:t xml:space="preserve">S were not used by patients in that trial. Combined immunosuppressive risks of cannabis with DMTs, particularly for newer DMTs, is unknown.  </w:t>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The impact of cannabis use on cognition in people with MS is an important safety concern. SRs of RCTs and observational studies suggest that cognitive AEs are rare among people with MS who receive nabiximols at recommended doses (maximum of about 32 mg THC and 30 mg CBD daily) for up to 12 months (very low to low certainty evidence) (Dykukha et al., 2022; Motaghi et al., 2023) Nonetheless, multiple observational studies found impaired cognition on neuropsychological tests after cannabis or cannabinoid use, with the most consistently reported effects of impaired attention and working memory, especially with whole-plant cannabis use (Landrigan et al., 2022). One cross-sectional study reported that prolonged use of ingested or inhaled cannabis was associated with poorer performance on various cognitive domains (e.g. information processing speed, working memory, executive function, and visuospatial perception) in patients with MS (Honarmand et al., 2011). In a small (n=20), non-blinded, randomized withdrawal trial, people with MS who regularly smoked cannabis (mean dose 2g/day for &gt;5 years) and stopped cannabis use for 28 days demonstrated significant improvements in multiple cognitive domains (ie, verbal and visuospatial memory, auditory and working memory, processing speed, verbal fluency) compared to similar patients randomized to continue cannabis use (Landrigan et al., 2022).</w:t>
      </w:r>
      <w:r w:rsidDel="00000000" w:rsidR="00000000" w:rsidRPr="00000000">
        <w:rPr>
          <w:rtl w:val="0"/>
        </w:rPr>
        <w:t xml:space="preserve"> </w:t>
      </w:r>
      <w:r w:rsidDel="00000000" w:rsidR="00000000" w:rsidRPr="00000000">
        <w:rPr>
          <w:rFonts w:ascii="Open Sans" w:cs="Open Sans" w:eastAsia="Open Sans" w:hAnsi="Open Sans"/>
          <w:rtl w:val="0"/>
        </w:rPr>
        <w:t xml:space="preserve">Available evidence is highly heterogenous in terms of type and dose of cannabinoid used, route of administration, and duration of use, precluding firm conclusions (Landrigan et al., 2022; Wieghorst et al., 2022). While most high-quality evidence suggests any negative impact of cannabinoids on cognition in people with MS is relatively small, the possibility of worsened cognition from some cannabis/cannabinoid exposures and from long-term use cannot be excluded (Wieghorst et al., 2022). </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Open Sans" w:cs="Open Sans" w:eastAsia="Open Sans" w:hAnsi="Open Sans"/>
          <w:b w:val="1"/>
        </w:rPr>
      </w:pPr>
      <w:r w:rsidDel="00000000" w:rsidR="00000000" w:rsidRPr="00000000">
        <w:rPr>
          <w:rFonts w:ascii="Open Sans" w:cs="Open Sans" w:eastAsia="Open Sans" w:hAnsi="Open Sans"/>
          <w:b w:val="1"/>
          <w:rtl w:val="0"/>
        </w:rPr>
        <w:t xml:space="preserve">Summary, Limitations, and Suggestion</w:t>
      </w:r>
      <w:r w:rsidDel="00000000" w:rsidR="00000000" w:rsidRPr="00000000">
        <w:rPr>
          <w:rFonts w:ascii="Open Sans" w:cs="Open Sans" w:eastAsia="Open Sans" w:hAnsi="Open Sans"/>
          <w:b w:val="1"/>
          <w:rtl w:val="0"/>
        </w:rPr>
        <w:t xml:space="preserve">s</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Open Sans" w:cs="Open Sans" w:eastAsia="Open Sans" w:hAnsi="Open Sans"/>
          <w:sz w:val="28"/>
          <w:szCs w:val="28"/>
        </w:rPr>
      </w:pPr>
      <w:r w:rsidDel="00000000" w:rsidR="00000000" w:rsidRPr="00000000">
        <w:rPr>
          <w:rFonts w:ascii="Open Sans" w:cs="Open Sans" w:eastAsia="Open Sans" w:hAnsi="Open Sans"/>
          <w:rtl w:val="0"/>
        </w:rPr>
        <w:t xml:space="preserve">In summary, clinical evidence supports the use of medical cannabis for symptomatic treatment of MS-associated moderate-severe spasticity of both striated and smooth muscles, and neuropathic pain in patients with MS. Cannabinoids might improve overactive bladder symptoms of nocturia, daily void frequency, and patient-reported incontinence in the short-term; however, evidence is limited to only 2 clinical trials, and mixed results were observed for the number of incontinence episodes. Clinical evidence is insufficient to recommend cannabis/cannabinoids treatment of tremor in people with MS. Preclinical data from MS models in animals suggest the possibility that medical cannabis may also be effective in MS as a disease-modifying agent and may have neuroprotective effects, but clinical trials using medical cannabis as a disease-modifying agent are lacking (</w:t>
      </w:r>
      <w:r w:rsidDel="00000000" w:rsidR="00000000" w:rsidRPr="00000000">
        <w:rPr>
          <w:rFonts w:ascii="Open Sans" w:cs="Open Sans" w:eastAsia="Open Sans" w:hAnsi="Open Sans"/>
          <w:color w:val="000000"/>
          <w:highlight w:val="white"/>
          <w:rtl w:val="0"/>
        </w:rPr>
        <w:t xml:space="preserve">Chiurchiù et al., 2018)</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sz w:val="28"/>
          <w:szCs w:val="28"/>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Providers cons</w:t>
      </w:r>
      <w:r w:rsidDel="00000000" w:rsidR="00000000" w:rsidRPr="00000000">
        <w:rPr>
          <w:rFonts w:ascii="Open Sans" w:cs="Open Sans" w:eastAsia="Open Sans" w:hAnsi="Open Sans"/>
          <w:rtl w:val="0"/>
        </w:rPr>
        <w:t xml:space="preserve">idering ca</w:t>
      </w:r>
      <w:r w:rsidDel="00000000" w:rsidR="00000000" w:rsidRPr="00000000">
        <w:rPr>
          <w:rFonts w:ascii="Open Sans" w:cs="Open Sans" w:eastAsia="Open Sans" w:hAnsi="Open Sans"/>
          <w:rtl w:val="0"/>
        </w:rPr>
        <w:t xml:space="preserve">nnabis treatment for people with MS should weigh the limitations and uncertainties of available evidence. Many trials among people with MS are considered to have at least some bias concerns, which is reflected in lower certainty evidence ratings for some symptoms/outcomes. SR authors reported additional limitations of co-treatment with other therapies during RCT follow-up, potentially confounding the cannabis treatment results, and the limited long-term trial data (Filippini et al., 2022). In addition, the majority of RCT evidence is for oral cannabinoids, particularly nabiximols; whether patients will experience similar benefits using available medical cannabis formulations is unknown. </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For most patients with MS, cannabis/cannabinoids should not be a first-line symptomatic treatment. Cannabinoids/cannabis may be an option after insufficient benefit from first- or second-line therapies when the potential benefits outweigh concerns due to adverse effects and uncertainties in the evidence.</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When recommending medical cannabis for treatment of MS, inform the patient of possible adverse reactions including the possibility of decreased cognitive performance associated with long-term use of cannabis, and do appropriate clinical monitoring of cognitive function. </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Cannabinoid use may cause sedation, dizziness, or other neurologic adverse effects. People with MS may be sensitive to these effects, increasing th</w:t>
      </w:r>
      <w:r w:rsidDel="00000000" w:rsidR="00000000" w:rsidRPr="00000000">
        <w:rPr>
          <w:rFonts w:ascii="Open Sans" w:cs="Open Sans" w:eastAsia="Open Sans" w:hAnsi="Open Sans"/>
          <w:rtl w:val="0"/>
        </w:rPr>
        <w:t xml:space="preserve">e risk for falls or other adverse events. We suggest tha</w:t>
      </w:r>
      <w:r w:rsidDel="00000000" w:rsidR="00000000" w:rsidRPr="00000000">
        <w:rPr>
          <w:rFonts w:ascii="Open Sans" w:cs="Open Sans" w:eastAsia="Open Sans" w:hAnsi="Open Sans"/>
          <w:rtl w:val="0"/>
        </w:rPr>
        <w:t xml:space="preserve">t providers assess potential risks from sedation or dizziness before starting cannabis and provide appropriate counseling and clinical monitoring to mitigate risks. Follow general dosing guidance for cannabis, including starting at a low dose and up-titrating slowly.   </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For dosing guidance for treatment of MS, please refer to the general dosing suggestions at the beginning of the document titled Guidance on the Suggested Use of Medical Cannabis found on the Department of Health and Human Services Center for Medical Cannabis website (</w:t>
      </w:r>
      <w:hyperlink r:id="rId10">
        <w:r w:rsidDel="00000000" w:rsidR="00000000" w:rsidRPr="00000000">
          <w:rPr>
            <w:rFonts w:ascii="Open Sans" w:cs="Open Sans" w:eastAsia="Open Sans" w:hAnsi="Open Sans"/>
            <w:color w:val="0563c1"/>
            <w:u w:val="single"/>
            <w:rtl w:val="0"/>
          </w:rPr>
          <w:t xml:space="preserve">www.medicalcannabis.utah.gov</w:t>
        </w:r>
      </w:hyperlink>
      <w:r w:rsidDel="00000000" w:rsidR="00000000" w:rsidRPr="00000000">
        <w:rPr>
          <w:rFonts w:ascii="Open Sans" w:cs="Open Sans" w:eastAsia="Open Sans" w:hAnsi="Open Sans"/>
          <w:rtl w:val="0"/>
        </w:rPr>
        <w:t xml:space="preserve">).  </w:t>
      </w:r>
    </w:p>
    <w:p w:rsidR="00000000" w:rsidDel="00000000" w:rsidP="00000000" w:rsidRDefault="00000000" w:rsidRPr="00000000" w14:paraId="00000040">
      <w:pPr>
        <w:spacing w:after="160" w:line="259" w:lineRule="auto"/>
        <w:rPr>
          <w:rFonts w:ascii="Open Sans" w:cs="Open Sans" w:eastAsia="Open Sans" w:hAnsi="Open Sans"/>
        </w:rPr>
      </w:pPr>
      <w:r w:rsidDel="00000000" w:rsidR="00000000" w:rsidRPr="00000000">
        <w:br w:type="page"/>
      </w:r>
      <w:r w:rsidDel="00000000" w:rsidR="00000000" w:rsidRPr="00000000">
        <w:rPr>
          <w:rtl w:val="0"/>
        </w:rPr>
      </w:r>
    </w:p>
    <w:p w:rsidR="00000000" w:rsidDel="00000000" w:rsidP="00000000" w:rsidRDefault="00000000" w:rsidRPr="00000000" w14:paraId="00000041">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References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pacing w:after="0" w:before="0" w:line="240" w:lineRule="auto"/>
        <w:ind w:left="720" w:right="0" w:hanging="360"/>
        <w:jc w:val="left"/>
        <w:rPr>
          <w:rFonts w:ascii="Open Sans" w:cs="Open Sans" w:eastAsia="Open Sans" w:hAnsi="Open Sans"/>
          <w:b w:val="0"/>
          <w:i w:val="0"/>
          <w:smallCaps w:val="0"/>
          <w:strike w:val="0"/>
          <w:color w:val="000000"/>
          <w:sz w:val="24"/>
          <w:szCs w:val="24"/>
          <w:u w:val="none"/>
          <w:vertAlign w:val="baseline"/>
        </w:rPr>
      </w:pPr>
      <w:r w:rsidDel="00000000" w:rsidR="00000000" w:rsidRPr="00000000">
        <w:rPr>
          <w:rFonts w:ascii="Open Sans" w:cs="Open Sans" w:eastAsia="Open Sans" w:hAnsi="Open Sans"/>
          <w:rtl w:val="0"/>
        </w:rPr>
        <w:t xml:space="preserve">Bapir, R., Bhatti, K. H., Eliwa, A., Garcia-Perdomo, H. A., Gherabi, N., Hennessey, D., Magri, V., Mourmouris, P., Ouattara, A., Perletti, G., Philipraj, J., Stamatiou, K., Trinchieri, A., &amp; Buchholz, N. (2022). Efficacy of overactive neurogenic bladder treatment: A systematic review of randomized controlled trials. </w:t>
      </w:r>
      <w:r w:rsidDel="00000000" w:rsidR="00000000" w:rsidRPr="00000000">
        <w:rPr>
          <w:rFonts w:ascii="Open Sans" w:cs="Open Sans" w:eastAsia="Open Sans" w:hAnsi="Open Sans"/>
          <w:i w:val="1"/>
          <w:rtl w:val="0"/>
        </w:rPr>
        <w:t xml:space="preserve">Archivio italiano di urologia, andrologia : organo ufficiale [di] Societa italiana di ecografia urologica e nefrologica</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i w:val="1"/>
          <w:rtl w:val="0"/>
        </w:rPr>
        <w:t xml:space="preserve"> 94</w:t>
      </w:r>
      <w:r w:rsidDel="00000000" w:rsidR="00000000" w:rsidRPr="00000000">
        <w:rPr>
          <w:rFonts w:ascii="Open Sans" w:cs="Open Sans" w:eastAsia="Open Sans" w:hAnsi="Open Sans"/>
          <w:rtl w:val="0"/>
        </w:rPr>
        <w:t xml:space="preserve">(4), 492-506. </w:t>
      </w:r>
      <w:hyperlink r:id="rId11">
        <w:r w:rsidDel="00000000" w:rsidR="00000000" w:rsidRPr="00000000">
          <w:rPr>
            <w:rFonts w:ascii="Open Sans" w:cs="Open Sans" w:eastAsia="Open Sans" w:hAnsi="Open Sans"/>
            <w:color w:val="0563c1"/>
            <w:u w:val="single"/>
            <w:rtl w:val="0"/>
          </w:rPr>
          <w:t xml:space="preserve">https://doi.org/https://dx.doi.org/10.4081/aiua.2022.4.492</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line="276" w:lineRule="auto"/>
        <w:ind w:left="720" w:hanging="360"/>
        <w:rPr>
          <w:rFonts w:ascii="Open Sans" w:cs="Open Sans" w:eastAsia="Open Sans" w:hAnsi="Open Sans"/>
          <w:color w:val="333333"/>
        </w:rPr>
      </w:pPr>
      <w:r w:rsidDel="00000000" w:rsidR="00000000" w:rsidRPr="00000000">
        <w:rPr>
          <w:rFonts w:ascii="Open Sans" w:cs="Open Sans" w:eastAsia="Open Sans" w:hAnsi="Open Sans"/>
          <w:color w:val="333333"/>
          <w:rtl w:val="0"/>
        </w:rPr>
        <w:t xml:space="preserve">Chiurchiù, V., Stelt, M. V. D., Centonze, D., &amp; Maccarrone, M. (2018). The endocannabinoid system and its therapeutic exploitation in multiple sclerosis: Clues for other neuroinflammatory diseases. Progress in Neurobiology, 160, 82–100. doi: 10.1016/j.pneurobio.2017.10.007</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Dykukha, I., Essner, U., Schreiber, H., Raithel, L. M., &amp; Penner, I.-K. (2022). Effects of Sativex R on cognitive function in patients with multiple sclerosis: A systematic review and meta-analysis.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Multiple sclerosis and related disorders</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 68</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104173. </w:t>
      </w:r>
      <w:hyperlink r:id="rId12">
        <w:r w:rsidDel="00000000" w:rsidR="00000000" w:rsidRPr="00000000">
          <w:rPr>
            <w:rFonts w:ascii="Open Sans" w:cs="Open Sans" w:eastAsia="Open Sans" w:hAnsi="Open Sans"/>
            <w:b w:val="0"/>
            <w:i w:val="0"/>
            <w:smallCaps w:val="0"/>
            <w:strike w:val="0"/>
            <w:color w:val="0563c1"/>
            <w:sz w:val="24"/>
            <w:szCs w:val="24"/>
            <w:u w:val="single"/>
            <w:shd w:fill="auto" w:val="clear"/>
            <w:vertAlign w:val="baseline"/>
            <w:rtl w:val="0"/>
          </w:rPr>
          <w:t xml:space="preserve">https://doi.org/https://dx.doi.org/10.1016/j.msard.2022.104173</w:t>
        </w:r>
      </w:hyperlink>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Ergul, M., Nodehi Moghadam, A., &amp; Soh, R. (2022). The effectiveness of interventions targeting spasticity on functional clinical outcomes in patients with multiple sclerosis: a systematic review of clinical trials [Review].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European Journal of Physiotherapy</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 24</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(1), 21-29. </w:t>
      </w:r>
      <w:hyperlink r:id="rId13">
        <w:r w:rsidDel="00000000" w:rsidR="00000000" w:rsidRPr="00000000">
          <w:rPr>
            <w:rFonts w:ascii="Open Sans" w:cs="Open Sans" w:eastAsia="Open Sans" w:hAnsi="Open Sans"/>
            <w:b w:val="0"/>
            <w:i w:val="0"/>
            <w:smallCaps w:val="0"/>
            <w:strike w:val="0"/>
            <w:color w:val="0563c1"/>
            <w:sz w:val="24"/>
            <w:szCs w:val="24"/>
            <w:u w:val="single"/>
            <w:shd w:fill="auto" w:val="clear"/>
            <w:vertAlign w:val="baseline"/>
            <w:rtl w:val="0"/>
          </w:rPr>
          <w:t xml:space="preserve">https://doi.org/10.1080/21679169.2020.1775888</w:t>
        </w:r>
      </w:hyperlink>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pacing w:after="0" w:before="0" w:line="240" w:lineRule="auto"/>
        <w:ind w:left="720" w:right="0" w:hanging="360"/>
        <w:jc w:val="left"/>
        <w:rPr>
          <w:rFonts w:ascii="Open Sans" w:cs="Open Sans" w:eastAsia="Open Sans" w:hAnsi="Open Sans"/>
          <w:b w:val="0"/>
          <w:i w:val="0"/>
          <w:smallCaps w:val="0"/>
          <w:strike w:val="0"/>
          <w:color w:val="000000"/>
          <w:sz w:val="24"/>
          <w:szCs w:val="24"/>
          <w:u w:val="none"/>
          <w:vertAlign w:val="baseline"/>
        </w:rPr>
      </w:pPr>
      <w:r w:rsidDel="00000000" w:rsidR="00000000" w:rsidRPr="00000000">
        <w:rPr>
          <w:rFonts w:ascii="Open Sans" w:cs="Open Sans" w:eastAsia="Open Sans" w:hAnsi="Open Sans"/>
          <w:rtl w:val="0"/>
        </w:rPr>
        <w:t xml:space="preserve">Filippini, G., Minozzi, S., Borrelli, F., Cinquini, M., &amp; Dwan, K. (2022). Cannabis and cannabinoids for symptomatic treatment for people with multiple sclerosis. </w:t>
      </w:r>
      <w:r w:rsidDel="00000000" w:rsidR="00000000" w:rsidRPr="00000000">
        <w:rPr>
          <w:rFonts w:ascii="Open Sans" w:cs="Open Sans" w:eastAsia="Open Sans" w:hAnsi="Open Sans"/>
          <w:i w:val="1"/>
          <w:rtl w:val="0"/>
        </w:rPr>
        <w:t xml:space="preserve">The Cochrane database of systematic reviews</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i w:val="1"/>
          <w:rtl w:val="0"/>
        </w:rPr>
        <w:t xml:space="preserve"> 5</w:t>
      </w:r>
      <w:r w:rsidDel="00000000" w:rsidR="00000000" w:rsidRPr="00000000">
        <w:rPr>
          <w:rFonts w:ascii="Open Sans" w:cs="Open Sans" w:eastAsia="Open Sans" w:hAnsi="Open Sans"/>
          <w:rtl w:val="0"/>
        </w:rPr>
        <w:t xml:space="preserve">, CD013444. </w:t>
      </w:r>
      <w:hyperlink r:id="rId14">
        <w:r w:rsidDel="00000000" w:rsidR="00000000" w:rsidRPr="00000000">
          <w:rPr>
            <w:rFonts w:ascii="Open Sans" w:cs="Open Sans" w:eastAsia="Open Sans" w:hAnsi="Open Sans"/>
            <w:color w:val="0563c1"/>
            <w:u w:val="single"/>
            <w:rtl w:val="0"/>
          </w:rPr>
          <w:t xml:space="preserve">https://doi.org/https://dx.doi.org/10.1002/14651858.CD013444.pub2</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line="276" w:lineRule="auto"/>
        <w:ind w:left="720" w:hanging="360"/>
        <w:rPr>
          <w:rFonts w:ascii="Open Sans" w:cs="Open Sans" w:eastAsia="Open Sans" w:hAnsi="Open Sans"/>
          <w:color w:val="333333"/>
        </w:rPr>
      </w:pPr>
      <w:r w:rsidDel="00000000" w:rsidR="00000000" w:rsidRPr="00000000">
        <w:rPr>
          <w:rFonts w:ascii="Open Sans" w:cs="Open Sans" w:eastAsia="Open Sans" w:hAnsi="Open Sans"/>
          <w:color w:val="333333"/>
          <w:rtl w:val="0"/>
        </w:rPr>
        <w:t xml:space="preserve">Honarmand, K., Tierney, M. C., Oconnor, P., &amp; Feinstein, A. (2011). Effects of cannabis on cognitive function in patients with multiple sclerosis. Neurology, 76(13), 1153–1160. doi: 10.1212/wnl.0b013e318212ab0c</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Katchan, V., David, P., &amp; Shoenfeld, Y. (2016). Cannabinoids and autoimmune diseases: A systematic review.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Autoimmun Rev</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 15</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(6), 513-528. </w:t>
      </w:r>
      <w:hyperlink r:id="rId15">
        <w:r w:rsidDel="00000000" w:rsidR="00000000" w:rsidRPr="00000000">
          <w:rPr>
            <w:rFonts w:ascii="Open Sans" w:cs="Open Sans" w:eastAsia="Open Sans" w:hAnsi="Open Sans"/>
            <w:b w:val="0"/>
            <w:i w:val="0"/>
            <w:smallCaps w:val="0"/>
            <w:strike w:val="0"/>
            <w:color w:val="0563c1"/>
            <w:sz w:val="24"/>
            <w:szCs w:val="24"/>
            <w:u w:val="single"/>
            <w:shd w:fill="auto" w:val="clear"/>
            <w:vertAlign w:val="baseline"/>
            <w:rtl w:val="0"/>
          </w:rPr>
          <w:t xml:space="preserve">https://doi.org/10.1016/j.autrev.2016.02.008</w:t>
        </w:r>
      </w:hyperlink>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Landrigan, J., Bessenyei, K., Leitner, D., Yakovenko, I., Fisk, J. D., &amp; Prentice, J. L. (2022). A systematic review of the effects of cannabis on cognition in people with multiple sclerosis.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Multiple sclerosis and related disorders</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 57</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103338.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Langford, R. M., Mares, J., Novotna, A., Vachova, M., Novakova, I., Notcutt, W., &amp; Ratcliffe, S. (2013). A double-blind, randomized, placebo-controlled, parallel-group study of THC/CBD oromucosal spray in combination with the existing treatment regimen, in the relief of central neuropathic pain in patients with multiple sclerosis.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J Neurol</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 260</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(4), 984-997. </w:t>
      </w:r>
      <w:hyperlink r:id="rId16">
        <w:r w:rsidDel="00000000" w:rsidR="00000000" w:rsidRPr="00000000">
          <w:rPr>
            <w:rFonts w:ascii="Open Sans" w:cs="Open Sans" w:eastAsia="Open Sans" w:hAnsi="Open Sans"/>
            <w:b w:val="0"/>
            <w:i w:val="0"/>
            <w:smallCaps w:val="0"/>
            <w:strike w:val="0"/>
            <w:color w:val="0563c1"/>
            <w:sz w:val="24"/>
            <w:szCs w:val="24"/>
            <w:u w:val="single"/>
            <w:shd w:fill="auto" w:val="clear"/>
            <w:vertAlign w:val="baseline"/>
            <w:rtl w:val="0"/>
          </w:rPr>
          <w:t xml:space="preserve">https://doi.org/10.1007/s00415-012-6739-4</w:t>
        </w:r>
      </w:hyperlink>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Longoria, V., Parcel, H., Toma, B., Minhas, A., &amp; Zeine, R. (2022). Neurological Benefits, Clinical Challenges, and Neuropathologic Promise of Medical Marijuana: A Systematic Review of Cannabinoid Effects in Multiple Sclerosis and Experimental Models of Demyelination.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Biomedicines</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 10</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(3). </w:t>
      </w:r>
      <w:hyperlink r:id="rId17">
        <w:r w:rsidDel="00000000" w:rsidR="00000000" w:rsidRPr="00000000">
          <w:rPr>
            <w:rFonts w:ascii="Open Sans" w:cs="Open Sans" w:eastAsia="Open Sans" w:hAnsi="Open Sans"/>
            <w:b w:val="0"/>
            <w:i w:val="0"/>
            <w:smallCaps w:val="0"/>
            <w:strike w:val="0"/>
            <w:color w:val="0563c1"/>
            <w:sz w:val="24"/>
            <w:szCs w:val="24"/>
            <w:u w:val="single"/>
            <w:shd w:fill="auto" w:val="clear"/>
            <w:vertAlign w:val="baseline"/>
            <w:rtl w:val="0"/>
          </w:rPr>
          <w:t xml:space="preserve">https://doi.org/https://dx.doi.org/10.3390/biomedicines10030539</w:t>
        </w:r>
      </w:hyperlink>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Martinez-Paz, C., García-Cabrera, E., &amp; Vilches-Arenas, Á. (2023). Effectiveness and Safety of Cannabinoids as an Add-On Therapy in the Treatment of Resistant Spasticity in Multiple Sclerosis: A Systematic Review.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Cannabis Cannabinoid Res</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hyperlink r:id="rId18">
        <w:r w:rsidDel="00000000" w:rsidR="00000000" w:rsidRPr="00000000">
          <w:rPr>
            <w:rFonts w:ascii="Open Sans" w:cs="Open Sans" w:eastAsia="Open Sans" w:hAnsi="Open Sans"/>
            <w:b w:val="0"/>
            <w:i w:val="0"/>
            <w:smallCaps w:val="0"/>
            <w:strike w:val="0"/>
            <w:color w:val="0563c1"/>
            <w:sz w:val="24"/>
            <w:szCs w:val="24"/>
            <w:u w:val="single"/>
            <w:shd w:fill="auto" w:val="clear"/>
            <w:vertAlign w:val="baseline"/>
            <w:rtl w:val="0"/>
          </w:rPr>
          <w:t xml:space="preserve">https://doi.org/10.1089/can.2022.0254</w:t>
        </w:r>
      </w:hyperlink>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Motaghi, E., Ghasemi-Pirbaluti, M., Rashidi, M., Alasvand, M., Di Ciano, P., &amp; Bozorgi, H. (2023). The effect of tetrahydrocannabinol:cannabidiol oromucosal spray on cognition: a systematic review. </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European journal of clinical pharmacology</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w:t>
      </w:r>
      <w:r w:rsidDel="00000000" w:rsidR="00000000" w:rsidRPr="00000000">
        <w:rPr>
          <w:rFonts w:ascii="Open Sans" w:cs="Open Sans" w:eastAsia="Open Sans" w:hAnsi="Open Sans"/>
          <w:b w:val="0"/>
          <w:i w:val="1"/>
          <w:smallCaps w:val="0"/>
          <w:strike w:val="0"/>
          <w:color w:val="000000"/>
          <w:sz w:val="24"/>
          <w:szCs w:val="24"/>
          <w:u w:val="none"/>
          <w:shd w:fill="auto" w:val="clear"/>
          <w:vertAlign w:val="baseline"/>
          <w:rtl w:val="0"/>
        </w:rPr>
        <w:t xml:space="preserve"> 79</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(3), 371-381. </w:t>
      </w:r>
      <w:hyperlink r:id="rId19">
        <w:r w:rsidDel="00000000" w:rsidR="00000000" w:rsidRPr="00000000">
          <w:rPr>
            <w:rFonts w:ascii="Open Sans" w:cs="Open Sans" w:eastAsia="Open Sans" w:hAnsi="Open Sans"/>
            <w:b w:val="0"/>
            <w:i w:val="0"/>
            <w:smallCaps w:val="0"/>
            <w:strike w:val="0"/>
            <w:color w:val="0563c1"/>
            <w:sz w:val="24"/>
            <w:szCs w:val="24"/>
            <w:u w:val="single"/>
            <w:shd w:fill="auto" w:val="clear"/>
            <w:vertAlign w:val="baseline"/>
            <w:rtl w:val="0"/>
          </w:rPr>
          <w:t xml:space="preserve">https://doi.org/https://dx.doi.org/10.1007/s00228-023-03454-y</w:t>
        </w:r>
      </w:hyperlink>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pacing w:after="0" w:before="0" w:line="240" w:lineRule="auto"/>
        <w:ind w:left="720" w:right="0" w:hanging="360"/>
        <w:jc w:val="left"/>
        <w:rPr>
          <w:rFonts w:ascii="Open Sans" w:cs="Open Sans" w:eastAsia="Open Sans" w:hAnsi="Open Sans"/>
          <w:b w:val="0"/>
          <w:i w:val="0"/>
          <w:smallCaps w:val="0"/>
          <w:strike w:val="0"/>
          <w:color w:val="000000"/>
          <w:sz w:val="24"/>
          <w:szCs w:val="24"/>
          <w:u w:val="none"/>
          <w:vertAlign w:val="baseline"/>
        </w:rPr>
      </w:pPr>
      <w:r w:rsidDel="00000000" w:rsidR="00000000" w:rsidRPr="00000000">
        <w:rPr>
          <w:rFonts w:ascii="Open Sans" w:cs="Open Sans" w:eastAsia="Open Sans" w:hAnsi="Open Sans"/>
          <w:rtl w:val="0"/>
        </w:rPr>
        <w:t xml:space="preserve">Pourmohammadi, A., Riahi, R., Hosseini, S. M., &amp; Adibi, I. (2022). Pharmacological treatment of tremor in multiple sclerosis; a systematic review. </w:t>
      </w:r>
      <w:r w:rsidDel="00000000" w:rsidR="00000000" w:rsidRPr="00000000">
        <w:rPr>
          <w:rFonts w:ascii="Open Sans" w:cs="Open Sans" w:eastAsia="Open Sans" w:hAnsi="Open Sans"/>
          <w:i w:val="1"/>
          <w:rtl w:val="0"/>
        </w:rPr>
        <w:t xml:space="preserve">Multiple sclerosis and related disorders</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i w:val="1"/>
          <w:rtl w:val="0"/>
        </w:rPr>
        <w:t xml:space="preserve"> 60</w:t>
      </w:r>
      <w:r w:rsidDel="00000000" w:rsidR="00000000" w:rsidRPr="00000000">
        <w:rPr>
          <w:rFonts w:ascii="Open Sans" w:cs="Open Sans" w:eastAsia="Open Sans" w:hAnsi="Open Sans"/>
          <w:rtl w:val="0"/>
        </w:rPr>
        <w:t xml:space="preserve">, 103722. </w:t>
      </w:r>
      <w:hyperlink r:id="rId20">
        <w:r w:rsidDel="00000000" w:rsidR="00000000" w:rsidRPr="00000000">
          <w:rPr>
            <w:rFonts w:ascii="Open Sans" w:cs="Open Sans" w:eastAsia="Open Sans" w:hAnsi="Open Sans"/>
            <w:color w:val="0563c1"/>
            <w:u w:val="single"/>
            <w:rtl w:val="0"/>
          </w:rPr>
          <w:t xml:space="preserve">https://doi.org/https://dx.doi.org/10.1016/j.msard.2022.103722</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rPr>
      </w:pPr>
      <w:r w:rsidDel="00000000" w:rsidR="00000000" w:rsidRPr="00000000">
        <w:rPr>
          <w:rFonts w:ascii="Open Sans" w:cs="Open Sans" w:eastAsia="Open Sans" w:hAnsi="Open Sans"/>
          <w:color w:val="333333"/>
          <w:rtl w:val="0"/>
        </w:rPr>
        <w:t xml:space="preserve">Pryce, G., Riddall, D. R., Selwood, D. L., Giovannoni, G., &amp; Baker, D. (2014). Neuroprotection in Experimental Autoimmune Encephalomyelitis and Progressive Multiple Sclerosis by Cannabis-Based Cannabinoids. Journal of Neuroimmune Pharmacology, 10(2), 281–292. doi: 10.1007/s11481-014-9575-8</w:t>
      </w: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720" w:hanging="360"/>
        <w:rPr>
          <w:rFonts w:ascii="Open Sans" w:cs="Open Sans" w:eastAsia="Open Sans" w:hAnsi="Open Sans"/>
          <w:color w:val="0563c1"/>
          <w:u w:val="single"/>
        </w:rPr>
      </w:pPr>
      <w:r w:rsidDel="00000000" w:rsidR="00000000" w:rsidRPr="00000000">
        <w:rPr>
          <w:rFonts w:ascii="Open Sans" w:cs="Open Sans" w:eastAsia="Open Sans" w:hAnsi="Open Sans"/>
          <w:color w:val="333333"/>
          <w:rtl w:val="0"/>
        </w:rPr>
        <w:t xml:space="preserve">The National Academies of Sciences, Engineering, and Medicine. (2017d). The health effects of cannabis and cannabinoids: the current state of evidence and recommendations for research. doi: </w:t>
      </w:r>
      <w:hyperlink r:id="rId21">
        <w:r w:rsidDel="00000000" w:rsidR="00000000" w:rsidRPr="00000000">
          <w:rPr>
            <w:rFonts w:ascii="Open Sans" w:cs="Open Sans" w:eastAsia="Open Sans" w:hAnsi="Open Sans"/>
            <w:color w:val="0563c1"/>
            <w:u w:val="single"/>
            <w:rtl w:val="0"/>
          </w:rPr>
          <w:t xml:space="preserve">https://doi.org/10.17226/24625</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pacing w:after="0" w:before="0" w:line="240" w:lineRule="auto"/>
        <w:ind w:left="720" w:right="0" w:hanging="360"/>
        <w:jc w:val="left"/>
        <w:rPr>
          <w:rFonts w:ascii="Open Sans" w:cs="Open Sans" w:eastAsia="Open Sans" w:hAnsi="Open Sans"/>
          <w:b w:val="0"/>
          <w:i w:val="0"/>
          <w:smallCaps w:val="0"/>
          <w:strike w:val="0"/>
          <w:color w:val="000000"/>
          <w:sz w:val="24"/>
          <w:szCs w:val="24"/>
          <w:u w:val="none"/>
          <w:vertAlign w:val="baseline"/>
        </w:rPr>
      </w:pPr>
      <w:r w:rsidDel="00000000" w:rsidR="00000000" w:rsidRPr="00000000">
        <w:rPr>
          <w:rFonts w:ascii="Open Sans" w:cs="Open Sans" w:eastAsia="Open Sans" w:hAnsi="Open Sans"/>
          <w:rtl w:val="0"/>
        </w:rPr>
        <w:t xml:space="preserve">Wieghorst, A., Roessler, K. K., Hendricks, O., &amp; Andersen, T. E. (2022). The effect of medical cannabis on cognitive functions: a systematic review [Article]. </w:t>
      </w:r>
      <w:r w:rsidDel="00000000" w:rsidR="00000000" w:rsidRPr="00000000">
        <w:rPr>
          <w:rFonts w:ascii="Open Sans" w:cs="Open Sans" w:eastAsia="Open Sans" w:hAnsi="Open Sans"/>
          <w:i w:val="1"/>
          <w:rtl w:val="0"/>
        </w:rPr>
        <w:t xml:space="preserve">Systematic Reviews</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i w:val="1"/>
          <w:rtl w:val="0"/>
        </w:rPr>
        <w:t xml:space="preserve"> 11</w:t>
      </w:r>
      <w:r w:rsidDel="00000000" w:rsidR="00000000" w:rsidRPr="00000000">
        <w:rPr>
          <w:rFonts w:ascii="Open Sans" w:cs="Open Sans" w:eastAsia="Open Sans" w:hAnsi="Open Sans"/>
          <w:rtl w:val="0"/>
        </w:rPr>
        <w:t xml:space="preserve">(1). </w:t>
      </w:r>
      <w:hyperlink r:id="rId22">
        <w:r w:rsidDel="00000000" w:rsidR="00000000" w:rsidRPr="00000000">
          <w:rPr>
            <w:rFonts w:ascii="Open Sans" w:cs="Open Sans" w:eastAsia="Open Sans" w:hAnsi="Open Sans"/>
            <w:color w:val="0563c1"/>
            <w:u w:val="single"/>
            <w:rtl w:val="0"/>
          </w:rPr>
          <w:t xml:space="preserve">https://doi.org/10.1186/s13643-022-02073-5</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rFonts w:ascii="Open Sans" w:cs="Open Sans" w:eastAsia="Open Sans" w:hAnsi="Open Sans"/>
          <w:color w:val="000000"/>
        </w:rPr>
      </w:pPr>
      <w:r w:rsidDel="00000000" w:rsidR="00000000" w:rsidRPr="00000000">
        <w:rPr>
          <w:rFonts w:ascii="Open Sans" w:cs="Open Sans" w:eastAsia="Open Sans" w:hAnsi="Open Sans"/>
          <w:color w:val="333333"/>
          <w:rtl w:val="0"/>
        </w:rPr>
        <w:t xml:space="preserve">Zajicek, J., Ball, S., Wright, D., Vickery, J., Nunn, A., Miller, D., … Hobart, J. (2013). Effect of dronabinol on progression in progressive multiple sclerosis (CUPID): a randomised, placebo-controlled trial. The Lancet Neurology, 12(9), 857–865. doi: 10.1016/s1474-4422(13)70159-5</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color w:val="333333"/>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53">
      <w:pPr>
        <w:rPr>
          <w:rFonts w:ascii="Open Sans" w:cs="Open Sans" w:eastAsia="Open Sans" w:hAnsi="Open Sans"/>
          <w:b w:val="1"/>
        </w:rPr>
      </w:pPr>
      <w:r w:rsidDel="00000000" w:rsidR="00000000" w:rsidRPr="00000000">
        <w:rPr>
          <w:rFonts w:ascii="Open Sans" w:cs="Open Sans" w:eastAsia="Open Sans" w:hAnsi="Open Sans"/>
          <w:b w:val="1"/>
          <w:rtl w:val="0"/>
        </w:rPr>
        <w:t xml:space="preserve">DISCLAIMER</w:t>
      </w:r>
    </w:p>
    <w:p w:rsidR="00000000" w:rsidDel="00000000" w:rsidP="00000000" w:rsidRDefault="00000000" w:rsidRPr="00000000" w14:paraId="00000054">
      <w:pPr>
        <w:spacing w:after="160" w:before="30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following information on the use of medical cannabis serves as a suggested use guide for those participating in the Utah Medical Cannabis Program.  This document has been vetted and approved by the Utah Cannabis Research Review Board under Utah Health Code 26B-1-420. </w:t>
      </w:r>
    </w:p>
    <w:p w:rsidR="00000000" w:rsidDel="00000000" w:rsidP="00000000" w:rsidRDefault="00000000" w:rsidRPr="00000000" w14:paraId="00000055">
      <w:pPr>
        <w:spacing w:after="160" w:before="300" w:lineRule="auto"/>
        <w:rPr>
          <w:rFonts w:ascii="Open Sans" w:cs="Open Sans" w:eastAsia="Open Sans" w:hAnsi="Open Sans"/>
          <w:sz w:val="22"/>
          <w:szCs w:val="22"/>
        </w:rPr>
      </w:pPr>
      <w:r w:rsidDel="00000000" w:rsidR="00000000" w:rsidRPr="00000000">
        <w:rPr>
          <w:rFonts w:ascii="Open Sans" w:cs="Open Sans" w:eastAsia="Open Sans" w:hAnsi="Open Sans"/>
          <w:color w:val="222222"/>
          <w:sz w:val="22"/>
          <w:szCs w:val="22"/>
          <w:rtl w:val="0"/>
        </w:rPr>
        <w:t xml:space="preserve">This document is a summary of available peer-reviewed literature concerning potential therapeutic uses and harmful effects of cannabis and cannabinoids. With the ongoing nature of cannabis and cannabinoid research, it is not meant to be complete or comprehensive and should be used as a limited complement to other reliable sources of information. This document is not a systematic review or meta-analysis of the literature and has not rigorously evaluated the quality and weight of the available evidence.  There is a </w:t>
      </w:r>
      <w:r w:rsidDel="00000000" w:rsidR="00000000" w:rsidRPr="00000000">
        <w:rPr>
          <w:rFonts w:ascii="Open Sans" w:cs="Open Sans" w:eastAsia="Open Sans" w:hAnsi="Open Sans"/>
          <w:sz w:val="22"/>
          <w:szCs w:val="22"/>
          <w:rtl w:val="0"/>
        </w:rPr>
        <w:t xml:space="preserve">lack of controlled clinical trials yielding high-level evidence of predictable therapeutic benefits for any given condition other than those for FDA-approved formulations.  This document includes warnings and risks related to the use of cannabis including cannabis use disorder, potentially irreversible brain damage/mental illness, legal liability for DUI, and potential for adverse work-related consequences.</w:t>
      </w:r>
    </w:p>
    <w:p w:rsidR="00000000" w:rsidDel="00000000" w:rsidP="00000000" w:rsidRDefault="00000000" w:rsidRPr="00000000" w14:paraId="00000056">
      <w:pPr>
        <w:spacing w:after="160" w:before="300" w:lineRule="auto"/>
        <w:rPr>
          <w:rFonts w:ascii="Open Sans" w:cs="Open Sans" w:eastAsia="Open Sans" w:hAnsi="Open Sans"/>
          <w:b w:val="1"/>
          <w:sz w:val="22"/>
          <w:szCs w:val="22"/>
        </w:rPr>
      </w:pPr>
      <w:r w:rsidDel="00000000" w:rsidR="00000000" w:rsidRPr="00000000">
        <w:rPr>
          <w:rFonts w:ascii="Open Sans" w:cs="Open Sans" w:eastAsia="Open Sans" w:hAnsi="Open Sans"/>
          <w:sz w:val="22"/>
          <w:szCs w:val="22"/>
          <w:rtl w:val="0"/>
        </w:rPr>
        <w:t xml:space="preserve">All patrons participating in the Utah Medical Cannabis Program are advised to use this document and any such document produced from this original document as informational and educational.  The use of medical cannabis is at one’s own risk.  </w:t>
      </w:r>
      <w:r w:rsidDel="00000000" w:rsidR="00000000" w:rsidRPr="00000000">
        <w:rPr>
          <w:rFonts w:ascii="Open Sans" w:cs="Open Sans" w:eastAsia="Open Sans" w:hAnsi="Open Sans"/>
          <w:b w:val="1"/>
          <w:sz w:val="22"/>
          <w:szCs w:val="22"/>
          <w:rtl w:val="0"/>
        </w:rPr>
        <w:t xml:space="preserve">Medical cannabis is NOT a first-line therapy for most medical conditions.</w:t>
      </w:r>
    </w:p>
    <w:p w:rsidR="00000000" w:rsidDel="00000000" w:rsidP="00000000" w:rsidRDefault="00000000" w:rsidRPr="00000000" w14:paraId="00000057">
      <w:pPr>
        <w:spacing w:after="300" w:before="30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information in this document is intended to help as far as available data allows Utah healthcare decision-makers, healthcare professionals, health systems leaders, and Utah Medical Cannabis patients to make well-informed decisions and thereby improve the quality of healthcare outcomes in patients using medical cannabis use. While patients and others may access this document, the document is made available for informational purposes only, and no representations or warranties are made with respect to its fitness for any particular purpose. The information in this document should not be used as a substitute for professional medical advice or for applying clinical judgment in respect of the care of a particular patient or other professional judgment in any decision-making process.  </w:t>
      </w:r>
    </w:p>
    <w:p w:rsidR="00000000" w:rsidDel="00000000" w:rsidP="00000000" w:rsidRDefault="00000000" w:rsidRPr="00000000" w14:paraId="00000058">
      <w:pPr>
        <w:spacing w:after="300" w:before="30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Smoking cannabis is not permitted under the Utah health code.  Any mention of smoking in this document refers to the method used for a particular study and is stated for your information only.  The Department of Health and Human Services, the Cannabis Research Review Board, and the State of Utah do not promote smoking as a method of cannabis use. </w:t>
      </w:r>
    </w:p>
    <w:p w:rsidR="00000000" w:rsidDel="00000000" w:rsidP="00000000" w:rsidRDefault="00000000" w:rsidRPr="00000000" w14:paraId="00000059">
      <w:pPr>
        <w:spacing w:after="300" w:before="30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Department of Health and Human Services (DHHS) and the Utah Cannabis Research Review Board (CRRB) do not endorse any information, drugs, therapies, treatments, products, processes, or services. While care has been taken to ensure that the information prepared by the DHHS and the CRRB in this document is accurate, the DHHS does not make any guarantees to that effect. The DHHS does not guarantee and is not responsible for the quality, currency, propriety, accuracy, or reasonableness of any statements, information, or conclusions contained in any third-party materials used in preparing this document. The views and opinions of third parties published in this document do not necessarily state or reflect those of the DHHS. The DHHS is not responsible for any errors, omissions, injury, loss, or damage arising from or relating to the use (or misuse) of any information, statements, or conclusions contained in or implied by the contents of this document or any of the source materials.</w:t>
      </w:r>
    </w:p>
    <w:p w:rsidR="00000000" w:rsidDel="00000000" w:rsidP="00000000" w:rsidRDefault="00000000" w:rsidRPr="00000000" w14:paraId="0000005A">
      <w:pPr>
        <w:spacing w:after="300" w:before="30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This document may contain links to third-party websites. The DHHS does not have control over the content of such sites. The DHHS does not make any guarantee with respect to any information contained on such third-party sites and the DHHS is not responsible for any injury, loss, or damage suffered as a result of using such third-party sites. The DHHS has no responsibility for the collection, use, and disclosure of personal information by third-party sites.</w:t>
      </w:r>
    </w:p>
    <w:p w:rsidR="00000000" w:rsidDel="00000000" w:rsidP="00000000" w:rsidRDefault="00000000" w:rsidRPr="00000000" w14:paraId="0000005B">
      <w:pPr>
        <w:spacing w:after="300" w:before="30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Subject to the aforementioned limitations, the views expressed herein are those of DHHS and do not necessarily represent the views of the federal government or any third-party supplier of information. This document is prepared and intended for use in the context of the Utah health code. The use of this document outside of Utah is done so at the user’s own risk. </w:t>
      </w:r>
    </w:p>
    <w:p w:rsidR="00000000" w:rsidDel="00000000" w:rsidP="00000000" w:rsidRDefault="00000000" w:rsidRPr="00000000" w14:paraId="0000005C">
      <w:pPr>
        <w:spacing w:after="300" w:before="30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This disclaimer and any questions or matters of any nature arising from or relating to the content or use (or misuse) of this document will be governed by and interpreted in accordance with the laws of the State of Utah applicable therein, and all proceedings shall be subject to the exclusive jurisdiction of the courts of the State of Utah.</w:t>
      </w:r>
    </w:p>
    <w:p w:rsidR="00000000" w:rsidDel="00000000" w:rsidP="00000000" w:rsidRDefault="00000000" w:rsidRPr="00000000" w14:paraId="0000005D">
      <w:pPr>
        <w:spacing w:after="300" w:before="300" w:lineRule="auto"/>
        <w:rPr>
          <w:rFonts w:ascii="Open Sans" w:cs="Open Sans" w:eastAsia="Open Sans" w:hAnsi="Open Sans"/>
          <w:color w:val="333333"/>
        </w:rPr>
      </w:pPr>
      <w:r w:rsidDel="00000000" w:rsidR="00000000" w:rsidRPr="00000000">
        <w:rPr>
          <w:rFonts w:ascii="Open Sans" w:cs="Open Sans" w:eastAsia="Open Sans" w:hAnsi="Open Sans"/>
          <w:sz w:val="22"/>
          <w:szCs w:val="22"/>
          <w:rtl w:val="0"/>
        </w:rPr>
        <w:t xml:space="preserve">The copyright and other intellectual property rights in this document are owned by the DHHS and its licensors. Users are permitted to make copies of this document for non-commercial purposes only, provided it is not modified when reproduced and appropriate credit is given to the DHHS, the CRRB, and its licensors.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20" w:firstLine="0"/>
        <w:rPr>
          <w:rFonts w:ascii="Open Sans" w:cs="Open Sans" w:eastAsia="Open Sans" w:hAnsi="Open Sans"/>
          <w:color w:val="000000"/>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Open Sans ExtraBold">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rFonts w:ascii="Open Sans ExtraBold" w:cs="Open Sans ExtraBold" w:eastAsia="Open Sans ExtraBold" w:hAnsi="Open Sans ExtraBold"/>
        <w:highlight w:val="yellow"/>
      </w:rPr>
    </w:pPr>
    <w:r w:rsidDel="00000000" w:rsidR="00000000" w:rsidRPr="00000000">
      <w:rPr>
        <w:rFonts w:ascii="Open Sans ExtraBold" w:cs="Open Sans ExtraBold" w:eastAsia="Open Sans ExtraBold" w:hAnsi="Open Sans ExtraBold"/>
        <w:highlight w:val="yellow"/>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Fonts w:ascii="Open Sans ExtraBold" w:cs="Open Sans ExtraBold" w:eastAsia="Open Sans ExtraBold" w:hAnsi="Open Sans ExtraBold"/>
        <w:highlight w:val="yellow"/>
        <w:rtl w:val="0"/>
      </w:rPr>
      <w:t xml:space="preserve">V1 approved 2021 (reviewing 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364EC"/>
  </w:style>
  <w:style w:type="paragraph" w:styleId="Heading1">
    <w:name w:val="heading 1"/>
    <w:basedOn w:val="Normal"/>
    <w:next w:val="Normal"/>
    <w:link w:val="Heading1Char"/>
    <w:uiPriority w:val="9"/>
    <w:qFormat w:val="1"/>
    <w:rsid w:val="00830E0C"/>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9364E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364EC"/>
    <w:rPr>
      <w:rFonts w:ascii="Segoe UI" w:cs="Segoe UI" w:hAnsi="Segoe UI"/>
      <w:sz w:val="18"/>
      <w:szCs w:val="18"/>
    </w:rPr>
  </w:style>
  <w:style w:type="character" w:styleId="Heading1Char" w:customStyle="1">
    <w:name w:val="Heading 1 Char"/>
    <w:basedOn w:val="DefaultParagraphFont"/>
    <w:link w:val="Heading1"/>
    <w:uiPriority w:val="9"/>
    <w:rsid w:val="00830E0C"/>
    <w:rPr>
      <w:rFonts w:ascii="Times New Roman" w:cs="Times New Roman" w:eastAsia="Times New Roman" w:hAnsi="Times New Roman"/>
      <w:b w:val="1"/>
      <w:sz w:val="48"/>
      <w:szCs w:val="48"/>
    </w:rPr>
  </w:style>
  <w:style w:type="character" w:styleId="Hyperlink">
    <w:name w:val="Hyperlink"/>
    <w:basedOn w:val="DefaultParagraphFont"/>
    <w:uiPriority w:val="99"/>
    <w:unhideWhenUsed w:val="1"/>
    <w:rsid w:val="00830E0C"/>
    <w:rPr>
      <w:color w:val="0563c1" w:themeColor="hyperlink"/>
      <w:u w:val="single"/>
    </w:rPr>
  </w:style>
  <w:style w:type="character" w:styleId="UnresolvedMention1" w:customStyle="1">
    <w:name w:val="Unresolved Mention1"/>
    <w:basedOn w:val="DefaultParagraphFont"/>
    <w:uiPriority w:val="99"/>
    <w:semiHidden w:val="1"/>
    <w:unhideWhenUsed w:val="1"/>
    <w:rsid w:val="00830E0C"/>
    <w:rPr>
      <w:color w:val="605e5c"/>
      <w:shd w:color="auto" w:fill="e1dfdd" w:val="clear"/>
    </w:rPr>
  </w:style>
  <w:style w:type="paragraph" w:styleId="ListParagraph">
    <w:name w:val="List Paragraph"/>
    <w:basedOn w:val="Normal"/>
    <w:uiPriority w:val="34"/>
    <w:qFormat w:val="1"/>
    <w:rsid w:val="00830E0C"/>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TableGrid">
    <w:name w:val="Table Grid"/>
    <w:basedOn w:val="TableNormal"/>
    <w:uiPriority w:val="39"/>
    <w:rsid w:val="001B36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B36ED"/>
    <w:pPr>
      <w:tabs>
        <w:tab w:val="center" w:pos="4680"/>
        <w:tab w:val="right" w:pos="9360"/>
      </w:tabs>
    </w:pPr>
  </w:style>
  <w:style w:type="character" w:styleId="HeaderChar" w:customStyle="1">
    <w:name w:val="Header Char"/>
    <w:basedOn w:val="DefaultParagraphFont"/>
    <w:link w:val="Header"/>
    <w:uiPriority w:val="99"/>
    <w:rsid w:val="001B36ED"/>
  </w:style>
  <w:style w:type="paragraph" w:styleId="Footer">
    <w:name w:val="footer"/>
    <w:basedOn w:val="Normal"/>
    <w:link w:val="FooterChar"/>
    <w:uiPriority w:val="99"/>
    <w:unhideWhenUsed w:val="1"/>
    <w:rsid w:val="001B36ED"/>
    <w:pPr>
      <w:tabs>
        <w:tab w:val="center" w:pos="4680"/>
        <w:tab w:val="right" w:pos="9360"/>
      </w:tabs>
    </w:pPr>
  </w:style>
  <w:style w:type="character" w:styleId="FooterChar" w:customStyle="1">
    <w:name w:val="Footer Char"/>
    <w:basedOn w:val="DefaultParagraphFont"/>
    <w:link w:val="Footer"/>
    <w:uiPriority w:val="99"/>
    <w:rsid w:val="001B36ED"/>
  </w:style>
  <w:style w:type="paragraph" w:styleId="CommentSubject">
    <w:name w:val="annotation subject"/>
    <w:basedOn w:val="CommentText"/>
    <w:next w:val="CommentText"/>
    <w:link w:val="CommentSubjectChar"/>
    <w:uiPriority w:val="99"/>
    <w:semiHidden w:val="1"/>
    <w:unhideWhenUsed w:val="1"/>
    <w:rsid w:val="001B36ED"/>
    <w:rPr>
      <w:b w:val="1"/>
      <w:bCs w:val="1"/>
    </w:rPr>
  </w:style>
  <w:style w:type="character" w:styleId="CommentSubjectChar" w:customStyle="1">
    <w:name w:val="Comment Subject Char"/>
    <w:basedOn w:val="CommentTextChar"/>
    <w:link w:val="CommentSubject"/>
    <w:uiPriority w:val="99"/>
    <w:semiHidden w:val="1"/>
    <w:rsid w:val="001B36ED"/>
    <w:rPr>
      <w:b w:val="1"/>
      <w:bCs w:val="1"/>
      <w:sz w:val="20"/>
      <w:szCs w:val="20"/>
    </w:rPr>
  </w:style>
  <w:style w:type="paragraph" w:styleId="Revision">
    <w:name w:val="Revision"/>
    <w:hidden w:val="1"/>
    <w:uiPriority w:val="99"/>
    <w:semiHidden w:val="1"/>
    <w:rsid w:val="0026213F"/>
  </w:style>
  <w:style w:type="paragraph" w:styleId="EndNoteBibliography" w:customStyle="1">
    <w:name w:val="EndNote Bibliography"/>
    <w:basedOn w:val="Normal"/>
    <w:link w:val="EndNoteBibliographyChar"/>
    <w:rsid w:val="00641498"/>
    <w:rPr>
      <w:rFonts w:ascii="Calibri" w:cs="Calibri" w:hAnsi="Calibri" w:eastAsiaTheme="minorHAnsi"/>
      <w:kern w:val="2"/>
    </w:rPr>
  </w:style>
  <w:style w:type="character" w:styleId="EndNoteBibliographyChar" w:customStyle="1">
    <w:name w:val="EndNote Bibliography Char"/>
    <w:basedOn w:val="DefaultParagraphFont"/>
    <w:link w:val="EndNoteBibliography"/>
    <w:rsid w:val="00641498"/>
    <w:rPr>
      <w:rFonts w:ascii="Calibri" w:cs="Calibri" w:hAnsi="Calibri" w:eastAsiaTheme="minorHAnsi"/>
      <w:kern w:val="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https://dx.doi.org/10.1016/j.msard.2022.103722" TargetMode="External"/><Relationship Id="rId11" Type="http://schemas.openxmlformats.org/officeDocument/2006/relationships/hyperlink" Target="https://doi.org/https://dx.doi.org/10.4081/aiua.2022.4.492" TargetMode="External"/><Relationship Id="rId22" Type="http://schemas.openxmlformats.org/officeDocument/2006/relationships/hyperlink" Target="https://doi.org/10.1186/s13643-022-02073-5" TargetMode="External"/><Relationship Id="rId10" Type="http://schemas.openxmlformats.org/officeDocument/2006/relationships/hyperlink" Target="http://www.medicalcannabis.utah.gov" TargetMode="External"/><Relationship Id="rId21" Type="http://schemas.openxmlformats.org/officeDocument/2006/relationships/hyperlink" Target="https://doi.org/10.17226/24625" TargetMode="External"/><Relationship Id="rId13" Type="http://schemas.openxmlformats.org/officeDocument/2006/relationships/hyperlink" Target="https://doi.org/10.1080/21679169.2020.1775888" TargetMode="External"/><Relationship Id="rId12" Type="http://schemas.openxmlformats.org/officeDocument/2006/relationships/hyperlink" Target="https://doi.org/https://dx.doi.org/10.1016/j.msard.2022.10417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doi.org/10.1016/j.autrev.2016.02.008" TargetMode="External"/><Relationship Id="rId14" Type="http://schemas.openxmlformats.org/officeDocument/2006/relationships/hyperlink" Target="https://doi.org/https://dx.doi.org/10.1002/14651858.CD013444.pub2" TargetMode="External"/><Relationship Id="rId17" Type="http://schemas.openxmlformats.org/officeDocument/2006/relationships/hyperlink" Target="https://doi.org/https://dx.doi.org/10.3390/biomedicines10030539" TargetMode="External"/><Relationship Id="rId16" Type="http://schemas.openxmlformats.org/officeDocument/2006/relationships/hyperlink" Target="https://doi.org/10.1007/s00415-012-6739-4" TargetMode="External"/><Relationship Id="rId5" Type="http://schemas.openxmlformats.org/officeDocument/2006/relationships/styles" Target="styles.xml"/><Relationship Id="rId19" Type="http://schemas.openxmlformats.org/officeDocument/2006/relationships/hyperlink" Target="https://doi.org/https://dx.doi.org/10.1007/s00228-023-03454-y" TargetMode="External"/><Relationship Id="rId6" Type="http://schemas.openxmlformats.org/officeDocument/2006/relationships/customXml" Target="../customXML/item1.xml"/><Relationship Id="rId18" Type="http://schemas.openxmlformats.org/officeDocument/2006/relationships/hyperlink" Target="https://doi.org/10.1089/can.2022.0254"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ExtraBold-bold.ttf"/><Relationship Id="rId2" Type="http://schemas.openxmlformats.org/officeDocument/2006/relationships/font" Target="fonts/OpenSansExtraBold-boldItalic.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EiWw55GPD2J3F5jB7QajN+Hhg==">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2023-07-21T17:03:00Z</dcterms:created>
  <dc:creator>Reshma Arrington</dc:creator>
</cp:coreProperties>
</file>