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7E97" w14:textId="77777777" w:rsidR="00461796" w:rsidRDefault="00000000">
      <w:pPr>
        <w:jc w:val="center"/>
        <w:rPr>
          <w:rFonts w:ascii="Garamond" w:eastAsia="Garamond" w:hAnsi="Garamond" w:cs="Garamond"/>
          <w:b/>
          <w:sz w:val="24"/>
          <w:szCs w:val="24"/>
        </w:rPr>
      </w:pPr>
      <w:r>
        <w:rPr>
          <w:rFonts w:ascii="Garamond" w:eastAsia="Garamond" w:hAnsi="Garamond" w:cs="Garamond"/>
          <w:b/>
          <w:sz w:val="24"/>
          <w:szCs w:val="24"/>
        </w:rPr>
        <w:t xml:space="preserve">ORDINANCE NO. 2023-XX - </w:t>
      </w:r>
      <w:r>
        <w:rPr>
          <w:rFonts w:ascii="Garamond" w:eastAsia="Garamond" w:hAnsi="Garamond" w:cs="Garamond"/>
          <w:b/>
          <w:color w:val="FF0000"/>
          <w:sz w:val="24"/>
          <w:szCs w:val="24"/>
        </w:rPr>
        <w:t>WORKING DRAFT 1</w:t>
      </w:r>
    </w:p>
    <w:p w14:paraId="77976ABA" w14:textId="77777777" w:rsidR="00461796" w:rsidRDefault="00461796">
      <w:pPr>
        <w:rPr>
          <w:rFonts w:ascii="Garamond" w:eastAsia="Garamond" w:hAnsi="Garamond" w:cs="Garamond"/>
          <w:sz w:val="24"/>
          <w:szCs w:val="24"/>
        </w:rPr>
      </w:pPr>
    </w:p>
    <w:p w14:paraId="06E655CA" w14:textId="77777777" w:rsidR="00461796" w:rsidRDefault="00000000">
      <w:pPr>
        <w:jc w:val="both"/>
        <w:rPr>
          <w:rFonts w:ascii="Garamond" w:eastAsia="Garamond" w:hAnsi="Garamond" w:cs="Garamond"/>
          <w:b/>
          <w:sz w:val="24"/>
          <w:szCs w:val="24"/>
        </w:rPr>
      </w:pPr>
      <w:r>
        <w:rPr>
          <w:rFonts w:ascii="Garamond" w:eastAsia="Garamond" w:hAnsi="Garamond" w:cs="Garamond"/>
          <w:sz w:val="24"/>
          <w:szCs w:val="24"/>
        </w:rPr>
        <w:t xml:space="preserve">AN ORDINANCE ADOPTING SUPPLEMENTAL REGULATIONS FOR THE USE, DEVELOPMENT, AND MANAGEMENT OF LAND IN ALL ZONES WITHIN LAKE POINT </w:t>
      </w:r>
    </w:p>
    <w:p w14:paraId="4D75CF5E" w14:textId="77777777" w:rsidR="00461796" w:rsidRDefault="00461796">
      <w:pPr>
        <w:jc w:val="both"/>
        <w:rPr>
          <w:rFonts w:ascii="Garamond" w:eastAsia="Garamond" w:hAnsi="Garamond" w:cs="Garamond"/>
          <w:b/>
          <w:sz w:val="24"/>
          <w:szCs w:val="24"/>
        </w:rPr>
      </w:pPr>
    </w:p>
    <w:p w14:paraId="3BA130B3" w14:textId="77777777" w:rsidR="00461796" w:rsidRDefault="00000000">
      <w:pPr>
        <w:jc w:val="both"/>
        <w:rPr>
          <w:rFonts w:ascii="Garamond" w:eastAsia="Garamond" w:hAnsi="Garamond" w:cs="Garamond"/>
          <w:sz w:val="24"/>
          <w:szCs w:val="24"/>
        </w:rPr>
      </w:pPr>
      <w:r>
        <w:rPr>
          <w:rFonts w:ascii="Garamond" w:eastAsia="Garamond" w:hAnsi="Garamond" w:cs="Garamond"/>
          <w:sz w:val="24"/>
          <w:szCs w:val="24"/>
        </w:rPr>
        <w:tab/>
        <w:t>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14:paraId="31D61DEB" w14:textId="77777777" w:rsidR="00461796" w:rsidRDefault="00461796">
      <w:pPr>
        <w:jc w:val="both"/>
        <w:rPr>
          <w:rFonts w:ascii="Garamond" w:eastAsia="Garamond" w:hAnsi="Garamond" w:cs="Garamond"/>
          <w:sz w:val="24"/>
          <w:szCs w:val="24"/>
        </w:rPr>
      </w:pPr>
    </w:p>
    <w:p w14:paraId="7E468082" w14:textId="77777777" w:rsidR="00461796" w:rsidRDefault="00000000">
      <w:pPr>
        <w:jc w:val="both"/>
        <w:rPr>
          <w:rFonts w:ascii="Garamond" w:eastAsia="Garamond" w:hAnsi="Garamond" w:cs="Garamond"/>
          <w:sz w:val="24"/>
          <w:szCs w:val="24"/>
        </w:rPr>
      </w:pPr>
      <w:r>
        <w:rPr>
          <w:rFonts w:ascii="Garamond" w:eastAsia="Garamond" w:hAnsi="Garamond" w:cs="Garamond"/>
          <w:sz w:val="24"/>
          <w:szCs w:val="24"/>
        </w:rPr>
        <w:tab/>
        <w:t xml:space="preserve">WHEREAS, Lake Point desires to establish rules and regulations for the development, use, and management of all land within Lake Point, which rules and regulations supplement and are in addition to the zone-specific rules and regulations for such land; </w:t>
      </w:r>
    </w:p>
    <w:p w14:paraId="71BCE7A5" w14:textId="77777777" w:rsidR="00461796" w:rsidRDefault="00461796">
      <w:pPr>
        <w:jc w:val="both"/>
        <w:rPr>
          <w:rFonts w:ascii="Garamond" w:eastAsia="Garamond" w:hAnsi="Garamond" w:cs="Garamond"/>
          <w:sz w:val="24"/>
          <w:szCs w:val="24"/>
        </w:rPr>
      </w:pPr>
      <w:bookmarkStart w:id="0" w:name="_heading=h.30j0zll" w:colFirst="0" w:colLast="0"/>
      <w:bookmarkEnd w:id="0"/>
    </w:p>
    <w:p w14:paraId="770F9ED9" w14:textId="77777777" w:rsidR="00461796" w:rsidRDefault="00000000">
      <w:pPr>
        <w:jc w:val="both"/>
        <w:rPr>
          <w:rFonts w:ascii="Garamond" w:eastAsia="Garamond" w:hAnsi="Garamond" w:cs="Garamond"/>
          <w:sz w:val="24"/>
          <w:szCs w:val="24"/>
        </w:rPr>
      </w:pPr>
      <w:r>
        <w:rPr>
          <w:rFonts w:ascii="Garamond" w:eastAsia="Garamond" w:hAnsi="Garamond" w:cs="Garamond"/>
          <w:sz w:val="24"/>
          <w:szCs w:val="24"/>
        </w:rPr>
        <w:tab/>
        <w:t xml:space="preserve">WHEREAS, the Lake Point Planning and Zoning Commission provided notice of and conducted a public hearing regarding such supplemental regulations, which hearing was held on </w:t>
      </w:r>
      <w:r>
        <w:rPr>
          <w:rFonts w:ascii="Garamond" w:eastAsia="Garamond" w:hAnsi="Garamond" w:cs="Garamond"/>
          <w:sz w:val="24"/>
          <w:szCs w:val="24"/>
          <w:highlight w:val="yellow"/>
        </w:rPr>
        <w:t>DATE</w:t>
      </w:r>
      <w:r>
        <w:rPr>
          <w:rFonts w:ascii="Garamond" w:eastAsia="Garamond" w:hAnsi="Garamond" w:cs="Garamond"/>
          <w:sz w:val="24"/>
          <w:szCs w:val="24"/>
        </w:rPr>
        <w:t>;</w:t>
      </w:r>
    </w:p>
    <w:p w14:paraId="2D4DD90E" w14:textId="77777777" w:rsidR="00461796" w:rsidRDefault="00461796">
      <w:pPr>
        <w:jc w:val="both"/>
        <w:rPr>
          <w:rFonts w:ascii="Garamond" w:eastAsia="Garamond" w:hAnsi="Garamond" w:cs="Garamond"/>
          <w:sz w:val="24"/>
          <w:szCs w:val="24"/>
        </w:rPr>
      </w:pPr>
    </w:p>
    <w:p w14:paraId="1E8CA90F" w14:textId="77777777" w:rsidR="00461796" w:rsidRDefault="00000000">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Planning and Zoning Commission issued a recommendation regarding such supplemental zoning regulations for the review of the Lake Point City Council on </w:t>
      </w:r>
      <w:r>
        <w:rPr>
          <w:rFonts w:ascii="Garamond" w:eastAsia="Garamond" w:hAnsi="Garamond" w:cs="Garamond"/>
          <w:sz w:val="24"/>
          <w:szCs w:val="24"/>
          <w:highlight w:val="yellow"/>
        </w:rPr>
        <w:t>DATE</w:t>
      </w:r>
      <w:r>
        <w:rPr>
          <w:rFonts w:ascii="Garamond" w:eastAsia="Garamond" w:hAnsi="Garamond" w:cs="Garamond"/>
          <w:sz w:val="24"/>
          <w:szCs w:val="24"/>
        </w:rPr>
        <w:t xml:space="preserve">; </w:t>
      </w:r>
    </w:p>
    <w:p w14:paraId="153E560E" w14:textId="77777777" w:rsidR="00461796" w:rsidRDefault="00461796">
      <w:pPr>
        <w:ind w:firstLine="720"/>
        <w:jc w:val="both"/>
        <w:rPr>
          <w:rFonts w:ascii="Garamond" w:eastAsia="Garamond" w:hAnsi="Garamond" w:cs="Garamond"/>
          <w:sz w:val="24"/>
          <w:szCs w:val="24"/>
        </w:rPr>
      </w:pPr>
    </w:p>
    <w:p w14:paraId="13781401" w14:textId="77777777" w:rsidR="00461796" w:rsidRDefault="00000000">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City Council provided notice of and conducted a public hearing regarding the proposed supplemental zoning regulations and the recommendation of the Planning and Zoning Commission related thereto, which hearing was held on </w:t>
      </w:r>
      <w:r>
        <w:rPr>
          <w:rFonts w:ascii="Garamond" w:eastAsia="Garamond" w:hAnsi="Garamond" w:cs="Garamond"/>
          <w:sz w:val="24"/>
          <w:szCs w:val="24"/>
          <w:highlight w:val="yellow"/>
        </w:rPr>
        <w:t>DATE</w:t>
      </w:r>
      <w:r>
        <w:rPr>
          <w:rFonts w:ascii="Garamond" w:eastAsia="Garamond" w:hAnsi="Garamond" w:cs="Garamond"/>
          <w:sz w:val="24"/>
          <w:szCs w:val="24"/>
        </w:rPr>
        <w:t>;</w:t>
      </w:r>
    </w:p>
    <w:p w14:paraId="00A437B2" w14:textId="77777777" w:rsidR="00461796" w:rsidRDefault="00461796">
      <w:pPr>
        <w:ind w:firstLine="720"/>
        <w:jc w:val="both"/>
        <w:rPr>
          <w:rFonts w:ascii="Garamond" w:eastAsia="Garamond" w:hAnsi="Garamond" w:cs="Garamond"/>
          <w:sz w:val="24"/>
          <w:szCs w:val="24"/>
        </w:rPr>
      </w:pPr>
    </w:p>
    <w:p w14:paraId="36F94629" w14:textId="77777777" w:rsidR="00461796" w:rsidRDefault="00000000">
      <w:pPr>
        <w:ind w:firstLine="720"/>
        <w:jc w:val="both"/>
        <w:rPr>
          <w:rFonts w:ascii="Garamond" w:eastAsia="Garamond" w:hAnsi="Garamond" w:cs="Garamond"/>
          <w:sz w:val="24"/>
          <w:szCs w:val="24"/>
        </w:rPr>
      </w:pPr>
      <w:r>
        <w:rPr>
          <w:rFonts w:ascii="Garamond" w:eastAsia="Garamond" w:hAnsi="Garamond" w:cs="Garamond"/>
          <w:sz w:val="24"/>
          <w:szCs w:val="24"/>
        </w:rPr>
        <w:t>WHEREAS, after reviewing the recommendation of the Planning and Zoning Commission, and after having made such adjustments to the recommended supplemental zoning regulations as the City Council found appropriate and necessary, the City Council finds that it will be in interest of Lake Point and its residents, and will provide for the general welfare, prosperity, and benefit of Lake Point residents, to adopt the supplemental zoning regulations as set forth herein.</w:t>
      </w:r>
    </w:p>
    <w:p w14:paraId="140569F7" w14:textId="77777777" w:rsidR="00461796" w:rsidRDefault="00461796">
      <w:pPr>
        <w:ind w:firstLine="720"/>
        <w:jc w:val="both"/>
        <w:rPr>
          <w:rFonts w:ascii="Garamond" w:eastAsia="Garamond" w:hAnsi="Garamond" w:cs="Garamond"/>
          <w:sz w:val="24"/>
          <w:szCs w:val="24"/>
        </w:rPr>
      </w:pPr>
    </w:p>
    <w:p w14:paraId="2EBEEA38" w14:textId="77777777" w:rsidR="00461796" w:rsidRDefault="00000000">
      <w:pPr>
        <w:jc w:val="both"/>
        <w:rPr>
          <w:rFonts w:ascii="Garamond" w:eastAsia="Garamond" w:hAnsi="Garamond" w:cs="Garamond"/>
          <w:sz w:val="24"/>
          <w:szCs w:val="24"/>
        </w:rPr>
      </w:pPr>
      <w:r>
        <w:rPr>
          <w:rFonts w:ascii="Garamond" w:eastAsia="Garamond" w:hAnsi="Garamond" w:cs="Garamond"/>
          <w:sz w:val="24"/>
          <w:szCs w:val="24"/>
        </w:rPr>
        <w:tab/>
        <w:t>NOW, THEREFORE, BE IT ORDAINED by the Lake Point City Council as follows:</w:t>
      </w:r>
    </w:p>
    <w:p w14:paraId="6D2C36BD" w14:textId="77777777" w:rsidR="00461796" w:rsidRDefault="00461796">
      <w:pPr>
        <w:jc w:val="both"/>
        <w:rPr>
          <w:rFonts w:ascii="Garamond" w:eastAsia="Garamond" w:hAnsi="Garamond" w:cs="Garamond"/>
          <w:sz w:val="24"/>
          <w:szCs w:val="24"/>
        </w:rPr>
      </w:pPr>
    </w:p>
    <w:p w14:paraId="543CED0A"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General Application of Regulations</w:t>
      </w:r>
    </w:p>
    <w:p w14:paraId="405E868E"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14:paraId="055CBAF9" w14:textId="77777777" w:rsidR="00461796" w:rsidRDefault="00000000">
      <w:pPr>
        <w:numPr>
          <w:ilvl w:val="1"/>
          <w:numId w:val="1"/>
        </w:numPr>
        <w:pBdr>
          <w:top w:val="nil"/>
          <w:left w:val="nil"/>
          <w:bottom w:val="nil"/>
          <w:right w:val="nil"/>
          <w:between w:val="nil"/>
        </w:pBdr>
        <w:spacing w:after="200"/>
        <w:rPr>
          <w:rFonts w:ascii="Garamond" w:eastAsia="Garamond" w:hAnsi="Garamond" w:cs="Garamond"/>
          <w:color w:val="000000"/>
          <w:sz w:val="24"/>
          <w:szCs w:val="24"/>
        </w:rPr>
      </w:pPr>
      <w:bookmarkStart w:id="1" w:name="_heading=h.gjdgxs" w:colFirst="0" w:colLast="0"/>
      <w:bookmarkEnd w:id="1"/>
      <w:r>
        <w:rPr>
          <w:rFonts w:ascii="Garamond" w:eastAsia="Garamond" w:hAnsi="Garamond" w:cs="Garamond"/>
          <w:color w:val="000000"/>
          <w:sz w:val="24"/>
          <w:szCs w:val="24"/>
        </w:rPr>
        <w:t xml:space="preserve">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w:t>
      </w:r>
      <w:r>
        <w:rPr>
          <w:rFonts w:ascii="Garamond" w:eastAsia="Garamond" w:hAnsi="Garamond" w:cs="Garamond"/>
          <w:color w:val="000000"/>
          <w:sz w:val="24"/>
          <w:szCs w:val="24"/>
        </w:rPr>
        <w:lastRenderedPageBreak/>
        <w:t>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14:paraId="517D9D93"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Definitions: The general definitions adopted by Lake Point apply </w:t>
      </w:r>
      <w:r>
        <w:rPr>
          <w:rFonts w:ascii="Garamond" w:eastAsia="Garamond" w:hAnsi="Garamond" w:cs="Garamond"/>
          <w:sz w:val="24"/>
          <w:szCs w:val="24"/>
        </w:rPr>
        <w:t>herein</w:t>
      </w:r>
      <w:r>
        <w:rPr>
          <w:rFonts w:ascii="Garamond" w:eastAsia="Garamond" w:hAnsi="Garamond" w:cs="Garamond"/>
          <w:color w:val="000000"/>
          <w:sz w:val="24"/>
          <w:szCs w:val="24"/>
        </w:rPr>
        <w:t xml:space="preserve">, with the </w:t>
      </w:r>
      <w:r>
        <w:rPr>
          <w:rFonts w:ascii="Garamond" w:eastAsia="Garamond" w:hAnsi="Garamond" w:cs="Garamond"/>
          <w:sz w:val="24"/>
          <w:szCs w:val="24"/>
        </w:rPr>
        <w:t>following</w:t>
      </w:r>
      <w:r>
        <w:rPr>
          <w:rFonts w:ascii="Garamond" w:eastAsia="Garamond" w:hAnsi="Garamond" w:cs="Garamond"/>
          <w:color w:val="000000"/>
          <w:sz w:val="24"/>
          <w:szCs w:val="24"/>
        </w:rPr>
        <w:t xml:space="preserve"> additions or modifications:</w:t>
      </w:r>
    </w:p>
    <w:p w14:paraId="5B12F64E"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Review Procedures and Land Use Authority</w:t>
      </w:r>
    </w:p>
    <w:p w14:paraId="017FE961"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City Council shall be the land use authority for all land use applications except for building permits, construction and civil plans, subdivision plats, and other land use applications expressly authorized by ordinance to be approved by a different </w:t>
      </w:r>
      <w:r>
        <w:rPr>
          <w:rFonts w:ascii="Garamond" w:eastAsia="Garamond" w:hAnsi="Garamond" w:cs="Garamond"/>
          <w:color w:val="000000"/>
          <w:sz w:val="24"/>
          <w:szCs w:val="24"/>
          <w:shd w:val="clear" w:color="auto" w:fill="FFF2CC"/>
        </w:rPr>
        <w:t>city-</w:t>
      </w:r>
      <w:r>
        <w:t xml:space="preserve">     </w:t>
      </w:r>
      <w:r>
        <w:rPr>
          <w:rFonts w:ascii="Garamond" w:eastAsia="Garamond" w:hAnsi="Garamond" w:cs="Garamond"/>
          <w:color w:val="000000"/>
          <w:sz w:val="24"/>
          <w:szCs w:val="24"/>
          <w:shd w:val="clear" w:color="auto" w:fill="FFF2CC"/>
        </w:rPr>
        <w:t>approved</w:t>
      </w:r>
      <w:r>
        <w:rPr>
          <w:rFonts w:ascii="Garamond" w:eastAsia="Garamond" w:hAnsi="Garamond" w:cs="Garamond"/>
          <w:color w:val="000000"/>
          <w:sz w:val="24"/>
          <w:szCs w:val="24"/>
        </w:rPr>
        <w:t xml:space="preserve"> person or entity.</w:t>
      </w:r>
    </w:p>
    <w:p w14:paraId="2328D5F4"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Land use applications shall be considered complete upon the applicant’s payment of all applicable fees and the submission of all applications, documents, and information required by city ordinance or regulations.</w:t>
      </w:r>
    </w:p>
    <w:p w14:paraId="70A4AF74" w14:textId="77777777" w:rsidR="00461796" w:rsidRDefault="00000000">
      <w:pPr>
        <w:numPr>
          <w:ilvl w:val="1"/>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Applicants must move their land use applications and projects either to approval or denial in a reasonably expeditious manner and must proceed with after approval to implement the approval with reasonable diligence. Where no longer timeframe for the expiration or termination of a land use application or approval applies, a land use application or approval shall lapse and be terminated as set forth below:</w:t>
      </w:r>
    </w:p>
    <w:p w14:paraId="78EBFB39"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Pending land use application for which no fees have been paid shall lapse if fees are not paid within 14 days of filing.</w:t>
      </w:r>
    </w:p>
    <w:p w14:paraId="1011A887"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Pending land use applications for which fees have been paid that remain inactive for 180</w:t>
      </w:r>
      <w:r>
        <w:t xml:space="preserve">     </w:t>
      </w:r>
      <w:r>
        <w:rPr>
          <w:rFonts w:ascii="Garamond" w:eastAsia="Garamond" w:hAnsi="Garamond" w:cs="Garamond"/>
          <w:color w:val="000000"/>
          <w:sz w:val="24"/>
          <w:szCs w:val="24"/>
        </w:rPr>
        <w:t xml:space="preserve"> days may be terminated upon 14 day’s written notice.</w:t>
      </w:r>
    </w:p>
    <w:p w14:paraId="107B0F66"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Issued land use approvals may be terminated, and the approval revoked, expired, and terminated, upon 14 day’s written notice if the applicant fails to carry out the approval within 180 days of the issuance of the approval, or if the applicant suspends or abandons the approved project for a period of 180 days after beginning.</w:t>
      </w:r>
    </w:p>
    <w:p w14:paraId="5C0A730D"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Delay or inactivity caused by the city shall not result in terminating a land use application or approval for inactivity.</w:t>
      </w:r>
    </w:p>
    <w:p w14:paraId="17ECA001"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An extension may be granted by the land use authority if good cause is shown for the delay.</w:t>
      </w:r>
    </w:p>
    <w:p w14:paraId="6BC2F784" w14:textId="77777777" w:rsidR="00461796" w:rsidRDefault="00000000">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 xml:space="preserve">Upon expiration, revocation, or lapse of an application or approval, no fees shall be refunded. The applicant must begin the application and approval process again, including resubmission of any required applications and </w:t>
      </w:r>
      <w:r>
        <w:rPr>
          <w:rFonts w:ascii="Garamond" w:eastAsia="Garamond" w:hAnsi="Garamond" w:cs="Garamond"/>
          <w:color w:val="000000"/>
          <w:sz w:val="24"/>
          <w:szCs w:val="24"/>
        </w:rPr>
        <w:lastRenderedPageBreak/>
        <w:t>payment of any applicable fees. Such application shall be subject to all ordinances, regulations, and standards in effect at the time of submission.</w:t>
      </w:r>
    </w:p>
    <w:p w14:paraId="319E62CA" w14:textId="77777777" w:rsidR="00461796" w:rsidRDefault="00000000">
      <w:pPr>
        <w:numPr>
          <w:ilvl w:val="0"/>
          <w:numId w:val="1"/>
        </w:numPr>
        <w:pBdr>
          <w:top w:val="nil"/>
          <w:left w:val="nil"/>
          <w:bottom w:val="nil"/>
          <w:right w:val="nil"/>
          <w:between w:val="nil"/>
        </w:pBdr>
        <w:spacing w:after="240"/>
        <w:jc w:val="both"/>
      </w:pPr>
      <w:r>
        <w:rPr>
          <w:rFonts w:ascii="Garamond" w:eastAsia="Garamond" w:hAnsi="Garamond" w:cs="Garamond"/>
          <w:sz w:val="24"/>
          <w:szCs w:val="24"/>
        </w:rPr>
        <w:t>Fencing</w:t>
      </w:r>
      <w:r>
        <w:t xml:space="preserve">     </w:t>
      </w:r>
      <w:r>
        <w:rPr>
          <w:rFonts w:ascii="Garamond" w:eastAsia="Garamond" w:hAnsi="Garamond" w:cs="Garamond"/>
          <w:color w:val="000000"/>
          <w:sz w:val="24"/>
          <w:szCs w:val="24"/>
        </w:rPr>
        <w:t xml:space="preserve">, walls and hedges. </w:t>
      </w:r>
    </w:p>
    <w:p w14:paraId="24409F26"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Fences, walls and hedges may be erected to permitted building height six (6) feet.  When required by the Building Code, a building permit shall be required prior to construction. </w:t>
      </w:r>
      <w:r>
        <w:t xml:space="preserve">     </w:t>
      </w:r>
      <w:r>
        <w:rPr>
          <w:rFonts w:ascii="Garamond" w:eastAsia="Garamond" w:hAnsi="Garamond" w:cs="Garamond"/>
          <w:color w:val="000000"/>
          <w:sz w:val="24"/>
          <w:szCs w:val="24"/>
        </w:rPr>
        <w:t xml:space="preserve"> </w:t>
      </w:r>
    </w:p>
    <w:p w14:paraId="5E263E62"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View-obscuring fences, walls, and hedges may not exceed three feet in height within any required front yard. Corner lots in residential zones are allowed a view obscuring fence, on the side of the house that does not face the street only, up to six feet in height at the property line provided the fence is at no time located less than 5 feet behind the front facade. No fences, walls, or hedges over two feet in height may be located in the clear view zone. </w:t>
      </w:r>
    </w:p>
    <w:p w14:paraId="7C341DAC"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Where a fence, wall, or hedge is located along a property line separating two lots and there is a difference in the grade of the properties on the two sides of the property line, the fence, wall, or hedge may be erected or allowed to the maximum height permitted on either side of the property line.</w:t>
      </w:r>
    </w:p>
    <w:p w14:paraId="76635B26" w14:textId="77777777" w:rsidR="00461796" w:rsidRDefault="00000000">
      <w:pPr>
        <w:numPr>
          <w:ilvl w:val="1"/>
          <w:numId w:val="1"/>
        </w:numPr>
        <w:spacing w:before="240" w:after="240"/>
        <w:jc w:val="both"/>
      </w:pPr>
      <w:r>
        <w:rPr>
          <w:rFonts w:ascii="Garamond" w:eastAsia="Garamond" w:hAnsi="Garamond" w:cs="Garamond"/>
          <w:color w:val="000000"/>
          <w:sz w:val="24"/>
          <w:szCs w:val="24"/>
        </w:rPr>
        <w:t xml:space="preserve">Masonry or concrete </w:t>
      </w:r>
      <w:r>
        <w:rPr>
          <w:rFonts w:ascii="Garamond" w:eastAsia="Garamond" w:hAnsi="Garamond" w:cs="Garamond"/>
          <w:sz w:val="24"/>
          <w:szCs w:val="24"/>
        </w:rPr>
        <w:t>f</w:t>
      </w:r>
      <w:r>
        <w:rPr>
          <w:rFonts w:ascii="Garamond" w:eastAsia="Garamond" w:hAnsi="Garamond" w:cs="Garamond"/>
          <w:color w:val="000000"/>
          <w:sz w:val="24"/>
          <w:szCs w:val="24"/>
        </w:rPr>
        <w:t xml:space="preserve">encing is required along any </w:t>
      </w:r>
      <w:r>
        <w:t xml:space="preserve">     </w:t>
      </w:r>
      <w:r>
        <w:rPr>
          <w:rFonts w:ascii="Garamond" w:eastAsia="Garamond" w:hAnsi="Garamond" w:cs="Garamond"/>
          <w:color w:val="000000"/>
          <w:sz w:val="24"/>
          <w:szCs w:val="24"/>
        </w:rPr>
        <w:t xml:space="preserve">state road highway or </w:t>
      </w:r>
      <w:r>
        <w:t xml:space="preserve">     </w:t>
      </w:r>
      <w:r>
        <w:rPr>
          <w:rFonts w:ascii="Garamond" w:eastAsia="Garamond" w:hAnsi="Garamond" w:cs="Garamond"/>
          <w:color w:val="000000"/>
          <w:sz w:val="24"/>
          <w:szCs w:val="24"/>
        </w:rPr>
        <w:t xml:space="preserve">collector road for all proposed residential developments. The plan must include a masonry or concrete fence for public safety and noise reduction of minimal height of 6 feet, maximum height of 8 feet. This fence must be installed within </w:t>
      </w:r>
      <w:r>
        <w:t xml:space="preserve">     </w:t>
      </w:r>
      <w:r>
        <w:rPr>
          <w:rFonts w:ascii="Garamond" w:eastAsia="Garamond" w:hAnsi="Garamond" w:cs="Garamond"/>
          <w:color w:val="000000"/>
          <w:sz w:val="24"/>
          <w:szCs w:val="24"/>
        </w:rPr>
        <w:t xml:space="preserve">the back yards of </w:t>
      </w:r>
      <w:r>
        <w:t xml:space="preserve">     </w:t>
      </w:r>
      <w:r>
        <w:rPr>
          <w:rFonts w:ascii="Garamond" w:eastAsia="Garamond" w:hAnsi="Garamond" w:cs="Garamond"/>
          <w:color w:val="000000"/>
          <w:sz w:val="24"/>
          <w:szCs w:val="24"/>
        </w:rPr>
        <w:t xml:space="preserve">lots </w:t>
      </w:r>
      <w:r>
        <w:t xml:space="preserve">     </w:t>
      </w:r>
      <w:r>
        <w:rPr>
          <w:rFonts w:ascii="Garamond" w:eastAsia="Garamond" w:hAnsi="Garamond" w:cs="Garamond"/>
          <w:color w:val="000000"/>
          <w:sz w:val="24"/>
          <w:szCs w:val="24"/>
        </w:rPr>
        <w:t>by the developer, and the fence shall be owned and maintained thereafter by the owner of the lot.</w:t>
      </w:r>
    </w:p>
    <w:p w14:paraId="5CACB0D2"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Parking </w:t>
      </w:r>
    </w:p>
    <w:p w14:paraId="68085768"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General Requirements.</w:t>
      </w:r>
    </w:p>
    <w:p w14:paraId="230E18EF"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minimum off-street parking spaces required by the applicable zoning regulation shall be provided for any use of land or main building or structure in the city. Parking facilities shall be provided at the time the use is established or the building erected.</w:t>
      </w:r>
    </w:p>
    <w:p w14:paraId="6EDF4EBB"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building or structure shall be enlarged, altered, or converted unless there is provided and thereafter maintained for such building and its use the minimum number of required parking spaces.</w:t>
      </w:r>
    </w:p>
    <w:p w14:paraId="07DC47D6"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Space for off-street parking being used in connection with an existing building shall not be reduced in the number or size of parking spaces, nor shall it be utilized for any other purpose than off-street parking. Parking areas shall be maintained in perpetuity as long as the requirement for off-street parking is needed, provided that parking areas may be relocated or redesigned, so long as there is no reduction of parking spaces.</w:t>
      </w:r>
    </w:p>
    <w:p w14:paraId="28BC7F70"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Parking Location. Parking spaces and areas shall be located on the same lot or parcel as the main building or structure, unless a valid easement, covenant, declaration or other instrument is executed and recorded by all affected property owners granting a perpetual right to use adjacent property for parking areas, access, and maintenance.</w:t>
      </w:r>
    </w:p>
    <w:p w14:paraId="6271A2FC"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Reciprocal Parking.</w:t>
      </w:r>
    </w:p>
    <w:p w14:paraId="3C867956"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Up to 25 percent of the parking facilities required for uses considered to be primarily daytime uses may be provided by the parking facilities for uses considered to be primarily night-time uses or vice versa.</w:t>
      </w:r>
    </w:p>
    <w:p w14:paraId="0DE99F47" w14:textId="77777777" w:rsidR="00461796" w:rsidRDefault="00000000">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shall be considered to be a primarily day-time or night-time use based on information submitted by the applicant.</w:t>
      </w:r>
    </w:p>
    <w:p w14:paraId="569021C3" w14:textId="77777777" w:rsidR="00461796" w:rsidRDefault="00000000">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may be considered a day-time use if the majority of activity associated with the use ends no later than 6:00 p.m. each day.</w:t>
      </w:r>
    </w:p>
    <w:p w14:paraId="726C0DCE" w14:textId="77777777" w:rsidR="00461796" w:rsidRDefault="00000000">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may be considered a night-time use if the majority of activity associated with the use begins no earlier than 4:00 p.m. each day.</w:t>
      </w:r>
    </w:p>
    <w:p w14:paraId="365A7B1E" w14:textId="77777777" w:rsidR="00461796" w:rsidRDefault="00000000">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Residential uses shall not be considered either day-time or night-time uses, may not be served by reciprocal parking, and shall require parking spaces separately dedicated for the residential use.</w:t>
      </w:r>
    </w:p>
    <w:p w14:paraId="4831FB4D"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Reciprocal parking areas shall be contiguous and the joint use of such facilities by different buildings, properties, or uses must be assured by easements, declarations, and/or covenants recorded against each affected property that provide that the parking areas shall not be removed or reduced and establish the terms by which the properties will share in the use and maintenance of the parking areas and related accesses and landscaping.</w:t>
      </w:r>
    </w:p>
    <w:p w14:paraId="408284CD"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Parking Spaces and Alignment. </w:t>
      </w:r>
    </w:p>
    <w:p w14:paraId="6A2D7F6B"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Alignment of parking spaces to require tandem/double parking (two vehicles end-to-end), where each space is not accessible from a separate drive aisle, shall not be allowed except for single-family and other residential dwellings.</w:t>
      </w:r>
    </w:p>
    <w:p w14:paraId="6E7E08A1"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Parking spaces shall be either ninety-degree parking or forty-five-degree parking as the spaces relate to the drive aisle.</w:t>
      </w:r>
    </w:p>
    <w:p w14:paraId="741E03BE"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Ninety-degree parking spaces shall be a minimum of </w:t>
      </w:r>
      <w:r>
        <w:rPr>
          <w:rFonts w:ascii="Garamond" w:eastAsia="Garamond" w:hAnsi="Garamond" w:cs="Garamond"/>
          <w:sz w:val="24"/>
          <w:szCs w:val="24"/>
        </w:rPr>
        <w:t xml:space="preserve">ten </w:t>
      </w:r>
      <w:r>
        <w:rPr>
          <w:rFonts w:ascii="Garamond" w:eastAsia="Garamond" w:hAnsi="Garamond" w:cs="Garamond"/>
          <w:color w:val="000000"/>
          <w:sz w:val="24"/>
          <w:szCs w:val="24"/>
        </w:rPr>
        <w:t xml:space="preserve">feet wide by </w:t>
      </w:r>
      <w:r>
        <w:rPr>
          <w:rFonts w:ascii="Garamond" w:eastAsia="Garamond" w:hAnsi="Garamond" w:cs="Garamond"/>
          <w:sz w:val="24"/>
          <w:szCs w:val="24"/>
        </w:rPr>
        <w:t xml:space="preserve">twenty </w:t>
      </w:r>
      <w:r>
        <w:rPr>
          <w:rFonts w:ascii="Garamond" w:eastAsia="Garamond" w:hAnsi="Garamond" w:cs="Garamond"/>
          <w:color w:val="000000"/>
          <w:sz w:val="24"/>
          <w:szCs w:val="24"/>
        </w:rPr>
        <w:t>feet long (</w:t>
      </w:r>
      <w:r>
        <w:rPr>
          <w:rFonts w:ascii="Garamond" w:eastAsia="Garamond" w:hAnsi="Garamond" w:cs="Garamond"/>
          <w:sz w:val="24"/>
          <w:szCs w:val="24"/>
        </w:rPr>
        <w:t>10</w:t>
      </w:r>
      <w:r>
        <w:rPr>
          <w:rFonts w:ascii="Garamond" w:eastAsia="Garamond" w:hAnsi="Garamond" w:cs="Garamond"/>
          <w:color w:val="000000"/>
          <w:sz w:val="24"/>
          <w:szCs w:val="24"/>
        </w:rPr>
        <w:t xml:space="preserve">’ x </w:t>
      </w:r>
      <w:r>
        <w:rPr>
          <w:rFonts w:ascii="Garamond" w:eastAsia="Garamond" w:hAnsi="Garamond" w:cs="Garamond"/>
          <w:sz w:val="24"/>
          <w:szCs w:val="24"/>
        </w:rPr>
        <w:t>20</w:t>
      </w:r>
      <w:r>
        <w:rPr>
          <w:rFonts w:ascii="Garamond" w:eastAsia="Garamond" w:hAnsi="Garamond" w:cs="Garamond"/>
          <w:color w:val="000000"/>
          <w:sz w:val="24"/>
          <w:szCs w:val="24"/>
        </w:rPr>
        <w:t>’).</w:t>
      </w:r>
    </w:p>
    <w:p w14:paraId="3E828895"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Forty-five-degree parking spaces shall be a minimum of </w:t>
      </w:r>
      <w:r>
        <w:rPr>
          <w:rFonts w:ascii="Garamond" w:eastAsia="Garamond" w:hAnsi="Garamond" w:cs="Garamond"/>
          <w:sz w:val="24"/>
          <w:szCs w:val="24"/>
        </w:rPr>
        <w:t xml:space="preserve">ten </w:t>
      </w:r>
      <w:r>
        <w:rPr>
          <w:rFonts w:ascii="Garamond" w:eastAsia="Garamond" w:hAnsi="Garamond" w:cs="Garamond"/>
          <w:color w:val="000000"/>
          <w:sz w:val="24"/>
          <w:szCs w:val="24"/>
        </w:rPr>
        <w:t>feet wide by twenty-one feet long (</w:t>
      </w:r>
      <w:r>
        <w:rPr>
          <w:rFonts w:ascii="Garamond" w:eastAsia="Garamond" w:hAnsi="Garamond" w:cs="Garamond"/>
          <w:sz w:val="24"/>
          <w:szCs w:val="24"/>
        </w:rPr>
        <w:t>10</w:t>
      </w:r>
      <w:r>
        <w:rPr>
          <w:rFonts w:ascii="Garamond" w:eastAsia="Garamond" w:hAnsi="Garamond" w:cs="Garamond"/>
          <w:color w:val="000000"/>
          <w:sz w:val="24"/>
          <w:szCs w:val="24"/>
        </w:rPr>
        <w:t>’ x 2</w:t>
      </w:r>
      <w:r>
        <w:rPr>
          <w:rFonts w:ascii="Garamond" w:eastAsia="Garamond" w:hAnsi="Garamond" w:cs="Garamond"/>
          <w:sz w:val="24"/>
          <w:szCs w:val="24"/>
        </w:rPr>
        <w:t>1</w:t>
      </w:r>
      <w:r>
        <w:rPr>
          <w:rFonts w:ascii="Garamond" w:eastAsia="Garamond" w:hAnsi="Garamond" w:cs="Garamond"/>
          <w:color w:val="000000"/>
          <w:sz w:val="24"/>
          <w:szCs w:val="24"/>
        </w:rPr>
        <w:t>’), with a minimum of 12.6 feet between the top corners of each space and a minimum of 21 feet from opposite corners of the space.</w:t>
      </w:r>
    </w:p>
    <w:p w14:paraId="30BEA002"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All handicapped parking spaces shall be provided and designed in accordance with the 2003 American National Standard, as now or hereafter amended. Parking areas with 1 to 100 spaces shall provide 1 accessible space per 25 parking spaces, and parking areas with over 100 spaces shall provide 1 accessible space per 50 parking spaces.</w:t>
      </w:r>
    </w:p>
    <w:p w14:paraId="1C0D4B70" w14:textId="77777777" w:rsidR="00461796" w:rsidRDefault="00000000">
      <w:pPr>
        <w:pBdr>
          <w:top w:val="nil"/>
          <w:left w:val="nil"/>
          <w:bottom w:val="nil"/>
          <w:right w:val="nil"/>
          <w:between w:val="nil"/>
        </w:pBdr>
        <w:spacing w:after="240"/>
        <w:ind w:left="2160"/>
        <w:jc w:val="both"/>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17E9E7AD" wp14:editId="0369A208">
            <wp:extent cx="2371725" cy="2000250"/>
            <wp:effectExtent l="0" t="0" r="0" b="0"/>
            <wp:docPr id="19625220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71725" cy="2000250"/>
                    </a:xfrm>
                    <a:prstGeom prst="rect">
                      <a:avLst/>
                    </a:prstGeom>
                    <a:ln/>
                  </pic:spPr>
                </pic:pic>
              </a:graphicData>
            </a:graphic>
          </wp:inline>
        </w:drawing>
      </w:r>
      <w:r>
        <w:rPr>
          <w:rFonts w:ascii="Garamond" w:eastAsia="Garamond" w:hAnsi="Garamond" w:cs="Garamond"/>
          <w:noProof/>
          <w:color w:val="000000"/>
          <w:sz w:val="24"/>
          <w:szCs w:val="24"/>
        </w:rPr>
        <w:drawing>
          <wp:inline distT="114300" distB="114300" distL="114300" distR="114300" wp14:anchorId="0679B9A4" wp14:editId="06D38CEB">
            <wp:extent cx="1995488" cy="1764898"/>
            <wp:effectExtent l="0" t="0" r="0" b="0"/>
            <wp:docPr id="19625220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995488" cy="1764898"/>
                    </a:xfrm>
                    <a:prstGeom prst="rect">
                      <a:avLst/>
                    </a:prstGeom>
                    <a:ln/>
                  </pic:spPr>
                </pic:pic>
              </a:graphicData>
            </a:graphic>
          </wp:inline>
        </w:drawing>
      </w:r>
    </w:p>
    <w:p w14:paraId="4513D1F1"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Access.</w:t>
      </w:r>
    </w:p>
    <w:p w14:paraId="2469E49E"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14:paraId="0D74419E"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Parking areas shall have access on public roads or approved private roads, and such access shall be a minimum width of 20 feet for non-residential properties and 8 feet for residential properties.</w:t>
      </w:r>
    </w:p>
    <w:p w14:paraId="4005F110"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All commercial and institutional parking facilities shall have direct access to a street without backing into the right-of-way</w:t>
      </w:r>
    </w:p>
    <w:p w14:paraId="3EFDC229"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Two access points from public roads shall be required in accordance with fire code.</w:t>
      </w:r>
    </w:p>
    <w:p w14:paraId="280E8672"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Not more than two driveways or accesses shall be used for each one hundred feet (100’) of frontage for non-residential properties.</w:t>
      </w:r>
    </w:p>
    <w:p w14:paraId="50489E4D"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driveway or access shall be provided closer than twenty feet (20’) to any intersection or other driveway or access for non-residential properties, and within to fourteen feet (14’) for residential properties.</w:t>
      </w:r>
    </w:p>
    <w:p w14:paraId="0CEDD67A"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Driveways or access to parking spaces that cross swales, ditches, canals, or other water conveyance facilities shall bridge, pipe, or culvert the conveyance facility in accordance with city or other owner of the conveyance facility’s standards.</w:t>
      </w:r>
    </w:p>
    <w:p w14:paraId="1B49CC61" w14:textId="77777777" w:rsidR="00461796" w:rsidRDefault="00000000">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lastRenderedPageBreak/>
        <w:t xml:space="preserve">Lighting.  </w:t>
      </w:r>
      <w:r>
        <w:rPr>
          <w:rFonts w:ascii="Garamond" w:eastAsia="Garamond" w:hAnsi="Garamond" w:cs="Garamond"/>
          <w:sz w:val="24"/>
          <w:szCs w:val="24"/>
        </w:rPr>
        <w:t xml:space="preserve">The concerns of safety, utility, dark sky protection and aesthetic appearance need not compete.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Any and all new and major addition to land uses, developments and buildings or structures are encouraged to use hooded lighting practices and adhere to the Dark Skies Ordinance. </w:t>
      </w:r>
    </w:p>
    <w:p w14:paraId="793278B5" w14:textId="77777777" w:rsidR="00461796" w:rsidRDefault="00000000">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Landscaping/Buffering.  </w:t>
      </w:r>
      <w:r>
        <w:rPr>
          <w:rFonts w:ascii="Garamond" w:eastAsia="Garamond" w:hAnsi="Garamond" w:cs="Garamond"/>
          <w:sz w:val="24"/>
          <w:szCs w:val="24"/>
        </w:rPr>
        <w:t>The purpose of landscaping is to promote the following:</w:t>
      </w:r>
    </w:p>
    <w:p w14:paraId="204D9EEF"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Water-wise beautification of the city.</w:t>
      </w:r>
    </w:p>
    <w:p w14:paraId="5CD6EEF2"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Natural cooling affect and improves air quality</w:t>
      </w:r>
    </w:p>
    <w:p w14:paraId="3C9995A0"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provides transition and buffering between various zones</w:t>
      </w:r>
    </w:p>
    <w:p w14:paraId="6B0E018D"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protects from soil erosion</w:t>
      </w:r>
    </w:p>
    <w:p w14:paraId="135E63AE"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screening of parking, loading, utility, and other similar improvements.</w:t>
      </w:r>
    </w:p>
    <w:p w14:paraId="2722BB97"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sz w:val="24"/>
          <w:szCs w:val="24"/>
        </w:rPr>
        <w:t>Park strips and swales. Park strips, swales, and other similar landscaped areas within a public right of way that fronts on private property shall be maintained by the owner or resident of the adjacent private property.</w:t>
      </w:r>
    </w:p>
    <w:p w14:paraId="7A835E3A"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Construction and Occupancy; Site Plans.</w:t>
      </w:r>
    </w:p>
    <w:p w14:paraId="1CC2D720"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construction, alteration, erection, placement, or removal of any building, structure,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14:paraId="79C3AA6F"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An occupancy permit, requested and approved pursuant to state construction code and other applicable laws, shall be required prior to the occupancy of any structure. </w:t>
      </w:r>
    </w:p>
    <w:p w14:paraId="626E4CEC"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 xml:space="preserve">A site plan </w:t>
      </w:r>
      <w:r>
        <w:t xml:space="preserve">     </w:t>
      </w:r>
      <w:r>
        <w:rPr>
          <w:rFonts w:ascii="Garamond" w:eastAsia="Garamond" w:hAnsi="Garamond" w:cs="Garamond"/>
          <w:sz w:val="24"/>
          <w:szCs w:val="24"/>
        </w:rPr>
        <w:t>must be approved prior to the issuance of building permits. Applications for building permits may be submitted contemporaneously with a site plan, provided that the building permit will not be approved prior to the approval of the site plan.</w:t>
      </w:r>
    </w:p>
    <w:p w14:paraId="3C89E974"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 for any construction shall be solely responsible for coordinating and obtaining approval of and installing all utility connections, extensions, and facilities. Connections shall be installed in accordance with the standards of the servicing utility. </w:t>
      </w:r>
      <w:r>
        <w:rPr>
          <w:rFonts w:ascii="Garamond" w:eastAsia="Garamond" w:hAnsi="Garamond" w:cs="Garamond"/>
          <w:color w:val="000000"/>
          <w:sz w:val="24"/>
          <w:szCs w:val="24"/>
        </w:rPr>
        <w:lastRenderedPageBreak/>
        <w:t>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or other documentation of approval from the Tooele County Health Department and other utility servicing entities.</w:t>
      </w:r>
    </w:p>
    <w:p w14:paraId="11CDDA50"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Except for automobile repair, car dealerships, service stations, and storage facilities, all storage, trash areas, garage doors and other loading and unloading facilities for non-residential uses shall be screened from public view and not be visible on the front of the buildin</w:t>
      </w:r>
      <w:r>
        <w:rPr>
          <w:rFonts w:ascii="Garamond" w:eastAsia="Garamond" w:hAnsi="Garamond" w:cs="Garamond"/>
          <w:sz w:val="24"/>
          <w:szCs w:val="24"/>
        </w:rPr>
        <w:t xml:space="preserve">g. </w:t>
      </w:r>
    </w:p>
    <w:p w14:paraId="213CFA5E"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A stop work order shall be put on the project, and any building or other construction thereon, if any improvements are inconsistent with the approved site plan.</w:t>
      </w:r>
    </w:p>
    <w:p w14:paraId="3B5DB0AE"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Off-site Improvements.</w:t>
      </w:r>
    </w:p>
    <w:p w14:paraId="144FD676"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 for a site plan or building permit shall provide for the installation of  </w:t>
      </w:r>
      <w:r>
        <w:rPr>
          <w:rFonts w:ascii="Garamond" w:eastAsia="Garamond" w:hAnsi="Garamond" w:cs="Garamond"/>
          <w:sz w:val="24"/>
          <w:szCs w:val="24"/>
        </w:rPr>
        <w:t>s</w:t>
      </w:r>
      <w:r>
        <w:rPr>
          <w:rFonts w:ascii="Garamond" w:eastAsia="Garamond" w:hAnsi="Garamond" w:cs="Garamond"/>
          <w:color w:val="000000"/>
          <w:sz w:val="24"/>
          <w:szCs w:val="24"/>
        </w:rPr>
        <w:t xml:space="preserve">wales (proper drainage and </w:t>
      </w:r>
      <w:r>
        <w:rPr>
          <w:rFonts w:ascii="Garamond" w:eastAsia="Garamond" w:hAnsi="Garamond" w:cs="Garamond"/>
          <w:sz w:val="24"/>
          <w:szCs w:val="24"/>
        </w:rPr>
        <w:t xml:space="preserve">or water </w:t>
      </w:r>
      <w:r>
        <w:rPr>
          <w:rFonts w:ascii="Garamond" w:eastAsia="Garamond" w:hAnsi="Garamond" w:cs="Garamond"/>
          <w:color w:val="000000"/>
          <w:sz w:val="24"/>
          <w:szCs w:val="24"/>
        </w:rPr>
        <w:t>retention)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changed, or expanded use is to be established. Such improvements may be required as a condition of a building permit, site plan, or use permit approval.</w:t>
      </w:r>
    </w:p>
    <w:p w14:paraId="55E318C6"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The planning commission may grant an exception to the installation of swales in rural or estate areas where topographic or other exceptional conditions exist, provided that the public health, safety, and welfare is preserved.</w:t>
      </w:r>
    </w:p>
    <w:p w14:paraId="043A4EB5"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 xml:space="preserve">In the Commercial-Neighborhood; Highway; General; Industrial Zones, the installation of curbs, gutters, and sidewalks of a type approved by the Lake Point Engineer may be required on any existing or proposed street adjoining a lot on which a building is to be constructed or remodeled, or on which a new, changed, or expanded use is to be established.  Such curbs, gutters, or sidewalks may be required as a condition of a building permit, site plan, or use permit approval.   </w:t>
      </w:r>
    </w:p>
    <w:p w14:paraId="4BEA2303"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 xml:space="preserve">The planning commission may grant an exception to the installation of curb, gutter and sidewalk in </w:t>
      </w:r>
      <w:r>
        <w:rPr>
          <w:rFonts w:ascii="Garamond" w:eastAsia="Garamond" w:hAnsi="Garamond" w:cs="Garamond"/>
          <w:sz w:val="24"/>
          <w:szCs w:val="24"/>
        </w:rPr>
        <w:t>commercial and industrial</w:t>
      </w:r>
      <w:r>
        <w:rPr>
          <w:rFonts w:ascii="Garamond" w:eastAsia="Garamond" w:hAnsi="Garamond" w:cs="Garamond"/>
          <w:color w:val="000000"/>
          <w:sz w:val="24"/>
          <w:szCs w:val="24"/>
        </w:rPr>
        <w:t xml:space="preserve"> areas where topographic or other exceptional conditions exist, provided that the public health, safety and welfare is preserved.  </w:t>
      </w:r>
    </w:p>
    <w:p w14:paraId="704DF8D6"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14:paraId="7A502645"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lastRenderedPageBreak/>
        <w:t>No work, construction, or excavation shall be commenced within an existing public right of way except in accordance with City regulations and specifications, including requirements for the applicant’s submission of plans and specifications for the work, the applicant’s payment of applicable fees and provision of financial assurances, the applicant’s receipt of duly issued and approved permits and other approvals.</w:t>
      </w:r>
    </w:p>
    <w:p w14:paraId="6FD92112" w14:textId="77777777" w:rsidR="00461796" w:rsidRDefault="00000000">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The applicant for a site plan or building permit shall provide, construction, improve, or widen, as necessary, the public or city-approved private road along the designated frontage of the lot or parcel. Such road shall be constructed to city standards, shall provide a minimum drivable surface as required by fire code, and shall include at least half of the drivable surface required by city road specifications and all adjacent facilities and improvements along the lot or parcel frontage.</w:t>
      </w:r>
    </w:p>
    <w:p w14:paraId="77D6A10D"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Buildable and Non-Conforming Lots. </w:t>
      </w:r>
    </w:p>
    <w:p w14:paraId="7FED771D"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Every lot shall have such area, width and depth as is required for the zoning district in which such lot is located in order to be a buildable, lawful lot. </w:t>
      </w:r>
    </w:p>
    <w:p w14:paraId="53FF9C6E"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14:paraId="1020FC69"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Any lot or parcel, other than those described in section 2 herein, lawfully subdivided and approved by the relevant land use authority, and which does not meet the size, frontage, or other requirements of the zoning district in which it is located, may be used for a single-family dwelling if it is located in a zoning district that permits single family dwellings. Such use shall conform to the applicable setback requirements for the zoning district.</w:t>
      </w:r>
    </w:p>
    <w:p w14:paraId="5C7FF074"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Except as expressly authorized, each building shall be placed and maintained on a separate and buildable lot or parcel.</w:t>
      </w:r>
    </w:p>
    <w:p w14:paraId="333887B4"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No building permit shall be issued for a building on a lot or parcel that does not have frontage upon or access to a publicly dedicated street or an approved private street.  </w:t>
      </w:r>
      <w:r>
        <w:rPr>
          <w:rFonts w:ascii="Garamond" w:eastAsia="Garamond" w:hAnsi="Garamond" w:cs="Garamond"/>
          <w:sz w:val="24"/>
          <w:szCs w:val="24"/>
        </w:rPr>
        <w:t>Lots used solely for the provision of essential services may be accessed via a recorded perpetual easeme</w:t>
      </w:r>
      <w:r>
        <w:rPr>
          <w:rFonts w:ascii="Roboto" w:eastAsia="Roboto" w:hAnsi="Roboto" w:cs="Roboto"/>
          <w:color w:val="444746"/>
          <w:sz w:val="21"/>
          <w:szCs w:val="21"/>
        </w:rPr>
        <w:t>nt.</w:t>
      </w:r>
    </w:p>
    <w:p w14:paraId="1ABADE02"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14:paraId="0DE3AF7F"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Lots divided by zone boundaries. A lot or parcel divided by a zone boundary shall be subject to the following special regulations:</w:t>
      </w:r>
    </w:p>
    <w:p w14:paraId="72D05A86"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The uses allowed on any portion of a lot or parcel shall only be those allowed in the district in which such portion of the property is located, and a use allowed within one portion of the property shall not extend across the zone boundary unless such use is also permitted in the adjacent zone, except as otherwise authorized herein.</w:t>
      </w:r>
    </w:p>
    <w:p w14:paraId="3E2DBA25"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allowed in the less restrictive zone but not allowed in the more restrictive zone may be allowed to extend into the more restrictive zone by up to 50 feet with the approval of the land use authority, if the land use authority finds that the extension is required for the reasons of justice and equity and will not be harmful to neighboring property, the intent of the applicable zoning regulations, and the city’s general plan.</w:t>
      </w:r>
    </w:p>
    <w:p w14:paraId="7B4AF3D5"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Parking areas, vehicular and pedestrian access, landscaping, fencing, utility lines and facilities, and similar improvements that serve a use permitted within one portion of a lot or parcel may be extended through other portions of the property, even if the use being served is not permitted in the zone applicable to such other portions. Structures and buildings that are permitted within one portion of a lot or parcel shall continue to be permitted, even if the use or purpose of such structures or buildings is to support or serve a use within a different portion of the lot or parcel, where the use is not permitted on the first portion. </w:t>
      </w:r>
    </w:p>
    <w:p w14:paraId="05791CC8"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nonconforming lot or parcel may have area added from adjacent property through a subdivision amendment, parcel boundary adjustment, or lot line adjustment, according to the processes set forth in state law, subject to the following:</w:t>
      </w:r>
    </w:p>
    <w:p w14:paraId="1251D570"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The addition of land to the nonconforming lot or parcel may be approved even if the additional land will not result in the nonconforming lot conforming to minimum lot size, area, frontage, and other zoning requirements, so long as the amendment or adjustment does not increase the nonconformity of the lot or parcel and does not cause any other property to no longer conform to applicable lot size, area, frontage, and other zoning requirements.</w:t>
      </w:r>
    </w:p>
    <w:p w14:paraId="6875E6AD"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Any such enlarged lot shall not be re-subdivided except through submission and approval of a subdivision plat in conformance with all applicable land use regulations.</w:t>
      </w:r>
    </w:p>
    <w:p w14:paraId="0E1F7582"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Yards</w:t>
      </w:r>
    </w:p>
    <w:p w14:paraId="67EBBCF6"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required yard, setback area, or other open space required for a particular lot, parcel, or building shall be considered as providing a yard, setback area, or open space for another building or property, nor shall any yard, setback area, or other required open space on an adjoining property be considered as providing a yard, setback area, or open space for the property on which a building is to be erected or established.</w:t>
      </w:r>
    </w:p>
    <w:p w14:paraId="59BD272C"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lastRenderedPageBreak/>
        <w:t>Effect of official map. Wherever a front yard is required for a lot facing on a street for which an official map has been recorded, the depth of such front yard shall be measured from the mapped property line facing the street as provided by the official map. (Ord.)</w:t>
      </w:r>
    </w:p>
    <w:p w14:paraId="48949BD9"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Every part of a required yard shall be unobstructed and open to the sky, except for: </w:t>
      </w:r>
    </w:p>
    <w:p w14:paraId="082BBE02"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Permitted accessory buildings and structures; </w:t>
      </w:r>
    </w:p>
    <w:p w14:paraId="112514F7"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ordinary projections of eaves, skylights, sills, belt courses, cornices, chimneys, flues, and like features which project into a yard not more than two and one-half feet, provided such projections do not cross the property line; </w:t>
      </w:r>
    </w:p>
    <w:p w14:paraId="56A21116"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trees and other vegetation; and </w:t>
      </w:r>
    </w:p>
    <w:p w14:paraId="22764C2A"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projections allowed by the building or fire codes for fire safety purposes shall be allowed to extend into a yard not more than five feet, provided such projections do not cross the property line.</w:t>
      </w:r>
    </w:p>
    <w:p w14:paraId="2F54B290"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In no case shall a stoop, cantilever, eave, or other projection extend into any designated easement for public utilities, drainage, access, etc.  (Ord.)</w:t>
      </w:r>
    </w:p>
    <w:p w14:paraId="5F5306D7"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Clear View of Intersecting Streets and Sight Triangle Requirements</w:t>
      </w:r>
    </w:p>
    <w:p w14:paraId="0F3A5FB8"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Clear Vision Area.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r>
        <w:rPr>
          <w:rFonts w:ascii="Garamond" w:eastAsia="Garamond" w:hAnsi="Garamond" w:cs="Garamond"/>
          <w:color w:val="C00000"/>
          <w:sz w:val="24"/>
          <w:szCs w:val="24"/>
        </w:rPr>
        <w:t xml:space="preserve"> Pole signs and a reasonable number of trees pruned to at least ten feet clearance to grade to permit unobstructed vision to automobile drivers and pedestrians are permitted.</w:t>
      </w:r>
    </w:p>
    <w:p w14:paraId="4D76C1C0"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structure, building, fence, wall, hedge, or other visual obstruction in excess of three (</w:t>
      </w:r>
      <w:r>
        <w:rPr>
          <w:rFonts w:ascii="Garamond" w:eastAsia="Garamond" w:hAnsi="Garamond" w:cs="Garamond"/>
          <w:sz w:val="24"/>
          <w:szCs w:val="24"/>
        </w:rPr>
        <w:t>3</w:t>
      </w:r>
      <w:r>
        <w:rPr>
          <w:rFonts w:ascii="Garamond" w:eastAsia="Garamond" w:hAnsi="Garamond" w:cs="Garamond"/>
          <w:color w:val="000000"/>
          <w:sz w:val="24"/>
          <w:szCs w:val="24"/>
        </w:rPr>
        <w:t xml:space="preserve">) feet in height shall be placed closer than 14 feet to a neighboring driveway. </w:t>
      </w:r>
    </w:p>
    <w:p w14:paraId="5FF3CD85"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Where there is a difference in the grade of the properties related to the sight-triangle area or driveway, the height of a structure, building, fence, wall, hedge, or other visual obstruction shall be measured from the higher side.</w:t>
      </w:r>
    </w:p>
    <w:p w14:paraId="2720614D"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There shall be no structure, building, fence, wall, hedge, or other physical obstruction within three (3) feet of any fire hydrant.</w:t>
      </w:r>
    </w:p>
    <w:p w14:paraId="204195B9"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t>
      </w:r>
      <w:r>
        <w:rPr>
          <w:rFonts w:ascii="Garamond" w:eastAsia="Garamond" w:hAnsi="Garamond" w:cs="Garamond"/>
          <w:color w:val="000000"/>
          <w:sz w:val="24"/>
          <w:szCs w:val="24"/>
        </w:rPr>
        <w:lastRenderedPageBreak/>
        <w:t>words, phrases, symbols or characters in such a manner as to interfere with, mislead or confuse vehicle operators.</w:t>
      </w:r>
    </w:p>
    <w:p w14:paraId="0F19B061"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EASEMENTS AND RIGHTS OF WAY: </w:t>
      </w:r>
    </w:p>
    <w:p w14:paraId="6790285E"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Uses of easements and/or rights-of-way shall be permitted in or through any zone for the purpose of serving a permitted or approved conditional use in the same or any zone. Such easements or rights-of-way may be used for uses similar to, but not limited to, the following:</w:t>
      </w:r>
    </w:p>
    <w:p w14:paraId="206981A8"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Roads, streets, highways.</w:t>
      </w:r>
    </w:p>
    <w:p w14:paraId="0A9FC5E7"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Railroads, tramways, cableways, and conveyor systems.</w:t>
      </w:r>
    </w:p>
    <w:p w14:paraId="2E77E76A"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Pipelines for the transmission of water, wastewater, materials, fuels or products.</w:t>
      </w:r>
    </w:p>
    <w:p w14:paraId="48F5A5B3"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Overhead and underground transmission or distribution lines, including poles, towers, and conductors.</w:t>
      </w:r>
    </w:p>
    <w:p w14:paraId="12E295DA"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Uses not requiring continuous routes along the ground such as radio, television or microwave relay stations and towers. </w:t>
      </w:r>
    </w:p>
    <w:p w14:paraId="199B8D29"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Structures and facilities incidental to the above.  </w:t>
      </w:r>
    </w:p>
    <w:p w14:paraId="7F8323E0"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section shall not modify or limit any requirement to provide, dedicate, and construct public or private roads according to Lake Point standards.</w:t>
      </w:r>
    </w:p>
    <w:p w14:paraId="65043B3D"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RETAIL TOBACCO SPECIALTY BUSINESS PROHIBITED: </w:t>
      </w:r>
    </w:p>
    <w:p w14:paraId="6E617E88"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DEFINITIONS:</w:t>
      </w:r>
    </w:p>
    <w:p w14:paraId="2D400C69"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RETAIL TOBACCO SPECIALTY BUSINESS, TOBACCO PARAPHERNALIA, and TOBACCO PRODUCT have the same meaning as defined in Utah code section 10-8-41.6, as amended.</w:t>
      </w:r>
    </w:p>
    <w:p w14:paraId="0D28EC4B"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PROHIBITION:</w:t>
      </w:r>
    </w:p>
    <w:p w14:paraId="75FDAC0B"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The establishment and/or operation of a retail tobacco specialty business is prohibited in all areas of Lake Point City.</w:t>
      </w:r>
    </w:p>
    <w:p w14:paraId="1FBE280C"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Lake Point City shall not issue a business license to any retail tobacco specialty business for use in any zone.</w:t>
      </w:r>
    </w:p>
    <w:p w14:paraId="5D13062F" w14:textId="77777777" w:rsidR="00461796" w:rsidRDefault="00000000">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   The use of a properly obtained business license for the operation of a retail tobacco specialty business in any zone in Lake Point City is prohibited.</w:t>
      </w:r>
    </w:p>
    <w:p w14:paraId="3DE13142" w14:textId="77777777" w:rsidR="00461796" w:rsidRDefault="00000000">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SOLAR ENERGY SYSTEMS:  </w:t>
      </w:r>
    </w:p>
    <w:p w14:paraId="032B984F"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Solar energy systems located on individual parcels/lots, which are used to supply energy to a principal use or structure on the parcel/lot, where the energy provided by the solar energy system to off-site uses or structures is de minimis,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and height restrictions that are required for the building. </w:t>
      </w:r>
    </w:p>
    <w:p w14:paraId="3A7EAE52" w14:textId="77777777" w:rsidR="00461796" w:rsidRDefault="00000000">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This section does not authorize the construction or installation of solar energy systems that are principally intended or used to provide energy to uses or structures on other property.</w:t>
      </w:r>
    </w:p>
    <w:p w14:paraId="28F24C4C"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General Regulations.</w:t>
      </w:r>
    </w:p>
    <w:p w14:paraId="7265B52E"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and all land use applicants are bound by and shall comply with all mandatory provisions of Lake Point land use, zoning, construction, and development ordinances, standards, codes, and regulations.</w:t>
      </w:r>
    </w:p>
    <w:p w14:paraId="42E4A10B"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14:paraId="5802FC3C"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building, structure, or land shall be used, and no building or structure shall be hereafter erected, structurally altered, or enlarged except as authorized by applicable Lake Point regulations. No land, building or structure shall be used for any purpose not allowed in the zone in which such land, building or structure is located</w:t>
      </w:r>
      <w:r>
        <w:rPr>
          <w:rFonts w:ascii="Garamond" w:eastAsia="Garamond" w:hAnsi="Garamond" w:cs="Garamond"/>
          <w:sz w:val="24"/>
          <w:szCs w:val="24"/>
        </w:rPr>
        <w:t xml:space="preserve"> unless it is grand-fathered.</w:t>
      </w:r>
      <w:r>
        <w:rPr>
          <w:rFonts w:ascii="Garamond" w:eastAsia="Garamond" w:hAnsi="Garamond" w:cs="Garamond"/>
          <w:color w:val="000000"/>
          <w:sz w:val="24"/>
          <w:szCs w:val="24"/>
        </w:rPr>
        <w:t xml:space="preserve">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14:paraId="05937074"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14:paraId="044DBFC7"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 All development, use, and management of land shall comply with all covenants, agreements, and conditions of approval of any permit, plat, or other document reviewed and approved by the City. Unless otherwise agreed to in writing </w:t>
      </w:r>
      <w:r>
        <w:rPr>
          <w:rFonts w:ascii="Garamond" w:eastAsia="Garamond" w:hAnsi="Garamond" w:cs="Garamond"/>
          <w:color w:val="000000"/>
          <w:sz w:val="24"/>
          <w:szCs w:val="24"/>
        </w:rPr>
        <w:lastRenderedPageBreak/>
        <w:t>by the City as part of approval of a permit, plat, or other application, the City shall not be responsible for the enforcement of private covenants, conditions, or restrictions, association bylaws, or similar agreements.</w:t>
      </w:r>
    </w:p>
    <w:p w14:paraId="35C2DA29"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14:paraId="0F381876"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14:paraId="760F17DE"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property, and no portion of any lot or parcel, that exceeds 30% slope shall be graded, constructed upon, or disturbed without appropriate engineering, performed by the applicant to the satisfaction of the city engineer or other designated person, which engineering demonstrates the proper soil conditions and compaction, construction materials, erosion and drainage control, and safe access.</w:t>
      </w:r>
      <w:r>
        <w:rPr>
          <w:rFonts w:ascii="Garamond" w:eastAsia="Garamond" w:hAnsi="Garamond" w:cs="Garamond"/>
          <w:color w:val="FF0000"/>
          <w:sz w:val="24"/>
          <w:szCs w:val="24"/>
        </w:rPr>
        <w:t xml:space="preserve">  The city may require, as part of approval of construction on slopes exceeding 30%, that the applicant and property owner agree to record instruments absolving and releasing the city of liability for loss, injury, damage, or death related to the proposed construction.</w:t>
      </w:r>
      <w:r>
        <w:t xml:space="preserve">     </w:t>
      </w:r>
      <w:r>
        <w:rPr>
          <w:rFonts w:ascii="Garamond" w:eastAsia="Garamond" w:hAnsi="Garamond" w:cs="Garamond"/>
          <w:color w:val="FF0000"/>
          <w:sz w:val="24"/>
          <w:szCs w:val="24"/>
        </w:rPr>
        <w:t xml:space="preserve"> </w:t>
      </w:r>
    </w:p>
    <w:p w14:paraId="3C1397E9"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SALE, LEASE, OR CONVEYED AWAY OF REQUIRED SPACE: 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14:paraId="56B78DA6"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SALE OF LOTS BELOW MINIMUM SPACE REQUIREMENTS:</w:t>
      </w:r>
      <w:r>
        <w:rPr>
          <w:rFonts w:ascii="Garamond" w:eastAsia="Garamond" w:hAnsi="Garamond" w:cs="Garamond"/>
          <w:color w:val="C00000"/>
          <w:sz w:val="24"/>
          <w:szCs w:val="24"/>
        </w:rPr>
        <w:t xml:space="preserve"> </w:t>
      </w:r>
      <w:r>
        <w:rPr>
          <w:rFonts w:ascii="Garamond" w:eastAsia="Garamond" w:hAnsi="Garamond" w:cs="Garamond"/>
          <w:color w:val="000000"/>
          <w:sz w:val="24"/>
          <w:szCs w:val="24"/>
        </w:rPr>
        <w:t>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p>
    <w:p w14:paraId="5AC2087F" w14:textId="77777777" w:rsidR="00461796"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All buildings and structures must conform to the height limit of the zoning district in which they are located. No space above the height limit shall be allowed for purposes </w:t>
      </w:r>
      <w:r>
        <w:rPr>
          <w:rFonts w:ascii="Garamond" w:eastAsia="Garamond" w:hAnsi="Garamond" w:cs="Garamond"/>
          <w:color w:val="000000"/>
          <w:sz w:val="24"/>
          <w:szCs w:val="24"/>
        </w:rPr>
        <w:lastRenderedPageBreak/>
        <w:t xml:space="preserve">of providing additional floor space. The following are the only exceptions which shall be allowed: </w:t>
      </w:r>
    </w:p>
    <w:p w14:paraId="60CCDF41"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penthouse or roof structures for the housing of elevators, stairways, tanks, ventilating fans, or similar equipment required to operate and maintain the building; </w:t>
      </w:r>
    </w:p>
    <w:p w14:paraId="2E9DA8C4"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fire or parapet walls, skylights, towers, steeples, flagpoles, chimneys, smokestacks, water tanks, wireless or television masts, theater lofts, silos, or similar structures; </w:t>
      </w:r>
    </w:p>
    <w:p w14:paraId="71602D1C"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public and quasi-public utility buildings. </w:t>
      </w:r>
    </w:p>
    <w:p w14:paraId="11AF7712" w14:textId="77777777" w:rsidR="00461796" w:rsidRDefault="00000000">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transmission lines with nominal voltage rating of 50kV or greater; and </w:t>
      </w:r>
    </w:p>
    <w:p w14:paraId="1377B699" w14:textId="77777777" w:rsidR="00461796" w:rsidRDefault="00000000">
      <w:pPr>
        <w:numPr>
          <w:ilvl w:val="0"/>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substations.</w:t>
      </w:r>
      <w:r>
        <w:t xml:space="preserve">     </w:t>
      </w:r>
      <w:r>
        <w:rPr>
          <w:rFonts w:ascii="Garamond" w:eastAsia="Garamond" w:hAnsi="Garamond" w:cs="Garamond"/>
          <w:color w:val="000000"/>
          <w:sz w:val="24"/>
          <w:szCs w:val="24"/>
        </w:rPr>
        <w:t>Penalties.</w:t>
      </w:r>
    </w:p>
    <w:p w14:paraId="72A4C2E0" w14:textId="77777777" w:rsidR="00461796" w:rsidRDefault="00000000">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Unless otherwise specified herein, a violation of this Ordinance shall be an infraction.</w:t>
      </w:r>
    </w:p>
    <w:p w14:paraId="35D50D87" w14:textId="77777777" w:rsidR="00461796" w:rsidRDefault="00000000">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The erection, construction, reconstruction, alteration, or change in occupancy of any building or structure without a building permit shall be an infraction.</w:t>
      </w:r>
    </w:p>
    <w:p w14:paraId="4974BB26" w14:textId="77777777" w:rsidR="00461796" w:rsidRDefault="00000000">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14:paraId="1E3C891B" w14:textId="77777777" w:rsidR="00461796" w:rsidRDefault="00000000">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may also enforce the provisions of this Ordinance by any other remedy available at law, including injunctions, mandamus, abatement, and proceedings to prevent, enjoin, abate, or remove the unlawful buildings, use, or act.</w:t>
      </w:r>
    </w:p>
    <w:p w14:paraId="1364A4A8" w14:textId="77777777" w:rsidR="00461796" w:rsidRDefault="00000000">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may also enforce the provisions of this Ordinance by withholding a building permit or certificate of occupancy, to the extent permitted by state law.</w:t>
      </w:r>
    </w:p>
    <w:p w14:paraId="170D7E53" w14:textId="77777777" w:rsidR="00461796"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publication according to law.</w:t>
      </w:r>
    </w:p>
    <w:p w14:paraId="7BB3FFF4" w14:textId="77777777" w:rsidR="00461796" w:rsidRDefault="00461796">
      <w:pPr>
        <w:jc w:val="both"/>
        <w:rPr>
          <w:rFonts w:ascii="Garamond" w:eastAsia="Garamond" w:hAnsi="Garamond" w:cs="Garamond"/>
          <w:sz w:val="24"/>
          <w:szCs w:val="24"/>
        </w:rPr>
      </w:pPr>
    </w:p>
    <w:p w14:paraId="436F309F" w14:textId="77777777" w:rsidR="00461796" w:rsidRDefault="00000000">
      <w:pPr>
        <w:jc w:val="both"/>
        <w:rPr>
          <w:rFonts w:ascii="Garamond" w:eastAsia="Garamond" w:hAnsi="Garamond" w:cs="Garamond"/>
          <w:b/>
          <w:sz w:val="24"/>
          <w:szCs w:val="24"/>
        </w:rPr>
      </w:pPr>
      <w:r>
        <w:rPr>
          <w:rFonts w:ascii="Garamond" w:eastAsia="Garamond" w:hAnsi="Garamond" w:cs="Garamond"/>
          <w:b/>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2023</w:t>
      </w:r>
      <w:r>
        <w:rPr>
          <w:rFonts w:ascii="Garamond" w:eastAsia="Garamond" w:hAnsi="Garamond" w:cs="Garamond"/>
          <w:b/>
          <w:sz w:val="24"/>
          <w:szCs w:val="24"/>
        </w:rPr>
        <w:t xml:space="preserve"> </w:t>
      </w:r>
    </w:p>
    <w:p w14:paraId="1BA91CB4" w14:textId="77777777" w:rsidR="00461796" w:rsidRDefault="00461796">
      <w:pPr>
        <w:jc w:val="both"/>
        <w:rPr>
          <w:rFonts w:ascii="Garamond" w:eastAsia="Garamond" w:hAnsi="Garamond" w:cs="Garamond"/>
          <w:b/>
          <w:sz w:val="24"/>
          <w:szCs w:val="24"/>
        </w:rPr>
      </w:pPr>
    </w:p>
    <w:p w14:paraId="41BEF02B"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Lake Point</w:t>
      </w:r>
    </w:p>
    <w:p w14:paraId="55108619" w14:textId="77777777" w:rsidR="00461796" w:rsidRDefault="00461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75F55D2C"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610456FF"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7E8A51C5" w14:textId="77777777" w:rsidR="00461796" w:rsidRDefault="00461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1B6FEA4E" w14:textId="77777777" w:rsidR="00461796" w:rsidRDefault="00461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2F7C7001"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ATTEST:</w:t>
      </w:r>
    </w:p>
    <w:p w14:paraId="53E19CA5" w14:textId="77777777" w:rsidR="00461796" w:rsidRDefault="00461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11434E52"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5E20543D" w14:textId="77777777" w:rsidR="00461796"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194C87B2" w14:textId="77777777" w:rsidR="00461796" w:rsidRDefault="0046179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color w:val="000000"/>
          <w:sz w:val="24"/>
          <w:szCs w:val="24"/>
        </w:rPr>
      </w:pPr>
    </w:p>
    <w:p w14:paraId="27FE81D8" w14:textId="77777777" w:rsidR="00461796" w:rsidRDefault="00000000">
      <w:pPr>
        <w:shd w:val="clear" w:color="auto" w:fill="FFFFFF"/>
        <w:spacing w:before="280"/>
        <w:rPr>
          <w:rFonts w:ascii="Garamond" w:eastAsia="Garamond" w:hAnsi="Garamond" w:cs="Garamond"/>
          <w:color w:val="000000"/>
          <w:sz w:val="24"/>
          <w:szCs w:val="24"/>
        </w:rPr>
      </w:pPr>
      <w:r>
        <w:rPr>
          <w:rFonts w:ascii="Garamond" w:eastAsia="Garamond" w:hAnsi="Garamond" w:cs="Garamond"/>
          <w:color w:val="000000"/>
          <w:sz w:val="24"/>
          <w:szCs w:val="24"/>
        </w:rPr>
        <w:tab/>
      </w:r>
    </w:p>
    <w:p w14:paraId="69C80E90" w14:textId="77777777" w:rsidR="00461796" w:rsidRDefault="00000000">
      <w:pPr>
        <w:keepNext/>
        <w:shd w:val="clear" w:color="auto" w:fill="FFFFFF"/>
        <w:tabs>
          <w:tab w:val="left" w:pos="3240"/>
        </w:tabs>
        <w:rPr>
          <w:rFonts w:ascii="Garamond" w:eastAsia="Garamond" w:hAnsi="Garamond" w:cs="Garamond"/>
          <w:b/>
          <w:sz w:val="24"/>
          <w:szCs w:val="24"/>
        </w:rPr>
      </w:pPr>
      <w:r>
        <w:rPr>
          <w:rFonts w:ascii="Garamond" w:eastAsia="Garamond" w:hAnsi="Garamond" w:cs="Garamond"/>
          <w:sz w:val="24"/>
          <w:szCs w:val="24"/>
        </w:rPr>
        <w:tab/>
      </w:r>
      <w:r>
        <w:rPr>
          <w:rFonts w:ascii="Garamond" w:eastAsia="Garamond" w:hAnsi="Garamond" w:cs="Garamond"/>
          <w:b/>
          <w:sz w:val="24"/>
          <w:szCs w:val="24"/>
        </w:rPr>
        <w:t>Voting:</w:t>
      </w:r>
    </w:p>
    <w:p w14:paraId="3AE39503" w14:textId="77777777" w:rsidR="00461796" w:rsidRDefault="00461796">
      <w:pPr>
        <w:keepNext/>
        <w:shd w:val="clear" w:color="auto" w:fill="FFFFFF"/>
        <w:rPr>
          <w:rFonts w:ascii="Garamond" w:eastAsia="Garamond" w:hAnsi="Garamond" w:cs="Garamond"/>
          <w:sz w:val="24"/>
          <w:szCs w:val="24"/>
        </w:rPr>
      </w:pPr>
    </w:p>
    <w:p w14:paraId="47D860BE" w14:textId="77777777" w:rsidR="00461796"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Daniel Crawford</w:t>
      </w:r>
      <w:r>
        <w:rPr>
          <w:rFonts w:ascii="Garamond" w:eastAsia="Garamond" w:hAnsi="Garamond" w:cs="Garamond"/>
          <w:sz w:val="24"/>
          <w:szCs w:val="24"/>
        </w:rPr>
        <w:tab/>
        <w:t>Yea___ Nay___ Absent ___</w:t>
      </w:r>
    </w:p>
    <w:p w14:paraId="53042BE5" w14:textId="77777777" w:rsidR="00461796"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Doyle Garrard</w:t>
      </w:r>
      <w:r>
        <w:rPr>
          <w:rFonts w:ascii="Garamond" w:eastAsia="Garamond" w:hAnsi="Garamond" w:cs="Garamond"/>
          <w:sz w:val="24"/>
          <w:szCs w:val="24"/>
        </w:rPr>
        <w:tab/>
        <w:t>Yea___ Nay___ Absent ___</w:t>
      </w:r>
    </w:p>
    <w:p w14:paraId="6214C5FC" w14:textId="77777777" w:rsidR="00461796"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Jonathan Garrard</w:t>
      </w:r>
      <w:r>
        <w:rPr>
          <w:rFonts w:ascii="Garamond" w:eastAsia="Garamond" w:hAnsi="Garamond" w:cs="Garamond"/>
          <w:sz w:val="24"/>
          <w:szCs w:val="24"/>
        </w:rPr>
        <w:tab/>
        <w:t>Yea___ Nay___ Absent ___</w:t>
      </w:r>
    </w:p>
    <w:p w14:paraId="51FC2D90" w14:textId="77777777" w:rsidR="00461796"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526CBF0F" w14:textId="77777777" w:rsidR="00461796" w:rsidRDefault="00000000">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30EA82CF" w14:textId="77777777" w:rsidR="00461796" w:rsidRDefault="00461796">
      <w:pPr>
        <w:jc w:val="both"/>
        <w:rPr>
          <w:rFonts w:ascii="Garamond" w:eastAsia="Garamond" w:hAnsi="Garamond" w:cs="Garamond"/>
          <w:sz w:val="24"/>
          <w:szCs w:val="24"/>
        </w:rPr>
      </w:pPr>
    </w:p>
    <w:p w14:paraId="2FA9094E" w14:textId="77777777" w:rsidR="00461796" w:rsidRDefault="00461796">
      <w:pPr>
        <w:jc w:val="both"/>
        <w:rPr>
          <w:rFonts w:ascii="Garamond" w:eastAsia="Garamond" w:hAnsi="Garamond" w:cs="Garamond"/>
          <w:sz w:val="24"/>
          <w:szCs w:val="24"/>
        </w:rPr>
      </w:pPr>
    </w:p>
    <w:p w14:paraId="02D6C178" w14:textId="77777777" w:rsidR="00461796" w:rsidRDefault="00000000">
      <w:pPr>
        <w:jc w:val="both"/>
        <w:rPr>
          <w:rFonts w:ascii="Garamond" w:eastAsia="Garamond" w:hAnsi="Garamond" w:cs="Garamond"/>
          <w:color w:val="C00000"/>
        </w:rPr>
      </w:pPr>
      <w:r>
        <w:t xml:space="preserve">                                        </w:t>
      </w:r>
    </w:p>
    <w:p w14:paraId="03C8BAB1" w14:textId="77777777" w:rsidR="00461796" w:rsidRDefault="00461796">
      <w:pPr>
        <w:jc w:val="both"/>
      </w:pPr>
    </w:p>
    <w:p w14:paraId="46AEBE37" w14:textId="77777777" w:rsidR="00461796" w:rsidRDefault="00000000">
      <w:pPr>
        <w:jc w:val="both"/>
        <w:rPr>
          <w:rFonts w:ascii="Garamond" w:eastAsia="Garamond" w:hAnsi="Garamond" w:cs="Garamond"/>
          <w:color w:val="C00000"/>
        </w:rPr>
      </w:pPr>
      <w:r>
        <w:t xml:space="preserve">          </w:t>
      </w:r>
    </w:p>
    <w:p w14:paraId="38C4315E" w14:textId="77777777" w:rsidR="00461796" w:rsidRDefault="00000000">
      <w:pPr>
        <w:spacing w:before="180" w:after="180"/>
        <w:rPr>
          <w:color w:val="000000"/>
          <w:sz w:val="24"/>
          <w:szCs w:val="24"/>
        </w:rPr>
      </w:pPr>
      <w:r>
        <w:t xml:space="preserve">                                                                                                                   </w:t>
      </w:r>
    </w:p>
    <w:p w14:paraId="59A6B532" w14:textId="77777777" w:rsidR="00461796" w:rsidRDefault="00461796">
      <w:pPr>
        <w:pBdr>
          <w:top w:val="nil"/>
          <w:left w:val="nil"/>
          <w:bottom w:val="nil"/>
          <w:right w:val="nil"/>
          <w:between w:val="nil"/>
        </w:pBdr>
        <w:spacing w:after="240"/>
        <w:ind w:left="720"/>
      </w:pPr>
    </w:p>
    <w:p w14:paraId="6B821508" w14:textId="77777777" w:rsidR="00461796" w:rsidRDefault="00000000">
      <w:pPr>
        <w:pBdr>
          <w:top w:val="nil"/>
          <w:left w:val="nil"/>
          <w:bottom w:val="nil"/>
          <w:right w:val="nil"/>
          <w:between w:val="nil"/>
        </w:pBdr>
        <w:spacing w:after="240"/>
        <w:ind w:left="720"/>
        <w:rPr>
          <w:rFonts w:ascii="Garamond" w:eastAsia="Garamond" w:hAnsi="Garamond" w:cs="Garamond"/>
          <w:color w:val="C00000"/>
        </w:rPr>
      </w:pPr>
      <w:r>
        <w:t xml:space="preserve">                                             </w:t>
      </w:r>
    </w:p>
    <w:p w14:paraId="786DB3E3" w14:textId="77777777" w:rsidR="00461796" w:rsidRDefault="00000000">
      <w:pPr>
        <w:jc w:val="both"/>
        <w:rPr>
          <w:rFonts w:ascii="Garamond" w:eastAsia="Garamond" w:hAnsi="Garamond" w:cs="Garamond"/>
          <w:b/>
          <w:color w:val="C00000"/>
          <w:sz w:val="24"/>
          <w:szCs w:val="24"/>
        </w:rPr>
      </w:pPr>
      <w:r>
        <w:t xml:space="preserve">                                                            </w:t>
      </w:r>
    </w:p>
    <w:p w14:paraId="239AFF88" w14:textId="77777777" w:rsidR="00461796" w:rsidRDefault="00461796">
      <w:pPr>
        <w:jc w:val="both"/>
        <w:rPr>
          <w:rFonts w:ascii="Garamond" w:eastAsia="Garamond" w:hAnsi="Garamond" w:cs="Garamond"/>
          <w:b/>
          <w:color w:val="C00000"/>
          <w:sz w:val="24"/>
          <w:szCs w:val="24"/>
        </w:rPr>
      </w:pPr>
    </w:p>
    <w:p w14:paraId="0C49C5D2" w14:textId="77777777" w:rsidR="00461796" w:rsidRDefault="00461796">
      <w:pPr>
        <w:jc w:val="both"/>
        <w:rPr>
          <w:rFonts w:ascii="Garamond" w:eastAsia="Garamond" w:hAnsi="Garamond" w:cs="Garamond"/>
          <w:sz w:val="24"/>
          <w:szCs w:val="24"/>
        </w:rPr>
      </w:pPr>
    </w:p>
    <w:p w14:paraId="0536D2B9" w14:textId="77777777" w:rsidR="00461796" w:rsidRDefault="00461796">
      <w:pPr>
        <w:rPr>
          <w:rFonts w:ascii="Garamond" w:eastAsia="Garamond" w:hAnsi="Garamond" w:cs="Garamond"/>
          <w:sz w:val="24"/>
          <w:szCs w:val="24"/>
        </w:rPr>
      </w:pPr>
    </w:p>
    <w:sectPr w:rsidR="0046179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7245" w14:textId="77777777" w:rsidR="00A33476" w:rsidRDefault="00A33476">
      <w:r>
        <w:separator/>
      </w:r>
    </w:p>
  </w:endnote>
  <w:endnote w:type="continuationSeparator" w:id="0">
    <w:p w14:paraId="7CB3F198" w14:textId="77777777" w:rsidR="00A33476" w:rsidRDefault="00A3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EAAC" w14:textId="77777777" w:rsidR="00461796" w:rsidRDefault="00461796">
    <w:pPr>
      <w:pBdr>
        <w:top w:val="nil"/>
        <w:left w:val="nil"/>
        <w:bottom w:val="nil"/>
        <w:right w:val="nil"/>
        <w:between w:val="nil"/>
      </w:pBdr>
      <w:tabs>
        <w:tab w:val="center" w:pos="4320"/>
        <w:tab w:val="right" w:pos="8640"/>
      </w:tabs>
      <w:rPr>
        <w:color w:val="000000"/>
      </w:rPr>
    </w:pPr>
  </w:p>
  <w:p w14:paraId="447DAC24" w14:textId="77777777" w:rsidR="00461796" w:rsidRDefault="00461796"/>
  <w:p w14:paraId="2441AB09" w14:textId="77777777" w:rsidR="00461796" w:rsidRDefault="004617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1D91" w14:textId="77777777" w:rsidR="00461796" w:rsidRDefault="00000000">
    <w:pPr>
      <w:pBdr>
        <w:top w:val="nil"/>
        <w:left w:val="nil"/>
        <w:bottom w:val="nil"/>
        <w:right w:val="nil"/>
        <w:between w:val="nil"/>
      </w:pBdr>
      <w:tabs>
        <w:tab w:val="center" w:pos="4320"/>
        <w:tab w:val="right" w:pos="864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1F2E9F">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1F2E9F">
      <w:rPr>
        <w:b/>
        <w:noProof/>
        <w:color w:val="000000"/>
        <w:sz w:val="24"/>
        <w:szCs w:val="24"/>
      </w:rPr>
      <w:t>2</w:t>
    </w:r>
    <w:r>
      <w:rPr>
        <w:b/>
        <w:color w:val="000000"/>
        <w:sz w:val="24"/>
        <w:szCs w:val="24"/>
      </w:rPr>
      <w:fldChar w:fldCharType="end"/>
    </w:r>
  </w:p>
  <w:p w14:paraId="3DFC0F34" w14:textId="77777777" w:rsidR="00461796" w:rsidRDefault="00461796">
    <w:pPr>
      <w:pBdr>
        <w:top w:val="nil"/>
        <w:left w:val="nil"/>
        <w:bottom w:val="nil"/>
        <w:right w:val="nil"/>
        <w:between w:val="nil"/>
      </w:pBdr>
      <w:tabs>
        <w:tab w:val="center" w:pos="4320"/>
        <w:tab w:val="right" w:pos="8640"/>
      </w:tabs>
      <w:jc w:val="center"/>
      <w:rPr>
        <w:color w:val="000000"/>
      </w:rPr>
    </w:pPr>
  </w:p>
  <w:p w14:paraId="09E01B54" w14:textId="77777777" w:rsidR="00461796" w:rsidRDefault="00461796"/>
  <w:p w14:paraId="75852C65" w14:textId="77777777" w:rsidR="00461796" w:rsidRDefault="004617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3687" w14:textId="77777777" w:rsidR="00461796" w:rsidRDefault="0046179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D264F" w14:textId="77777777" w:rsidR="00A33476" w:rsidRDefault="00A33476">
      <w:r>
        <w:separator/>
      </w:r>
    </w:p>
  </w:footnote>
  <w:footnote w:type="continuationSeparator" w:id="0">
    <w:p w14:paraId="0397B326" w14:textId="77777777" w:rsidR="00A33476" w:rsidRDefault="00A33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2D79" w14:textId="77777777" w:rsidR="00461796" w:rsidRDefault="00A33476">
    <w:pPr>
      <w:pBdr>
        <w:top w:val="nil"/>
        <w:left w:val="nil"/>
        <w:bottom w:val="nil"/>
        <w:right w:val="nil"/>
        <w:between w:val="nil"/>
      </w:pBdr>
      <w:tabs>
        <w:tab w:val="center" w:pos="4320"/>
        <w:tab w:val="right" w:pos="8640"/>
      </w:tabs>
      <w:rPr>
        <w:color w:val="000000"/>
      </w:rPr>
    </w:pPr>
    <w:r>
      <w:rPr>
        <w:color w:val="000000"/>
      </w:rPr>
      <w:pict w14:anchorId="651A3C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alt="" style="position:absolute;margin-left:0;margin-top:0;width:549.9pt;height:109.95pt;rotation:315;z-index:-251657728;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formulas/>
          <v:path o:connectlocs="3491865,0;3491865,698183;3491865,1396365;3491865,698183"/>
          <v:textpath style="font-family:&quot;&amp;quot&quot;;font-size:1pt" string="DRAFT - PC"/>
          <w10:wrap anchorx="margin" anchory="margin"/>
        </v:shape>
      </w:pict>
    </w:r>
  </w:p>
  <w:p w14:paraId="10AD3BEC" w14:textId="77777777" w:rsidR="00461796" w:rsidRDefault="00461796"/>
  <w:p w14:paraId="60E092B7" w14:textId="77777777" w:rsidR="00461796" w:rsidRDefault="004617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4044" w14:textId="77777777" w:rsidR="00461796" w:rsidRDefault="00A33476">
    <w:pPr>
      <w:pBdr>
        <w:top w:val="nil"/>
        <w:left w:val="nil"/>
        <w:bottom w:val="nil"/>
        <w:right w:val="nil"/>
        <w:between w:val="nil"/>
      </w:pBdr>
      <w:tabs>
        <w:tab w:val="center" w:pos="4320"/>
        <w:tab w:val="right" w:pos="8640"/>
      </w:tabs>
      <w:rPr>
        <w:color w:val="000000"/>
      </w:rPr>
    </w:pPr>
    <w:r>
      <w:rPr>
        <w:color w:val="000000"/>
      </w:rPr>
      <w:pict w14:anchorId="0F6CB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margin-left:0;margin-top:0;width:549.9pt;height:109.95pt;rotation:315;z-index:-251659776;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formulas/>
          <v:path o:connectlocs="3491865,0;3491865,698183;3491865,1396365;3491865,698183"/>
          <v:textpath style="font-family:&quot;&amp;quot&quot;;font-size:1pt" string="DRAFT - PC"/>
          <w10:wrap anchorx="margin" anchory="margin"/>
        </v:shape>
      </w:pict>
    </w:r>
  </w:p>
  <w:p w14:paraId="01DD4EBE" w14:textId="77777777" w:rsidR="00461796" w:rsidRDefault="00461796"/>
  <w:p w14:paraId="222280EE" w14:textId="77777777" w:rsidR="00461796" w:rsidRDefault="004617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D410" w14:textId="77777777" w:rsidR="00461796" w:rsidRDefault="00A33476">
    <w:pPr>
      <w:pBdr>
        <w:top w:val="nil"/>
        <w:left w:val="nil"/>
        <w:bottom w:val="nil"/>
        <w:right w:val="nil"/>
        <w:between w:val="nil"/>
      </w:pBdr>
      <w:tabs>
        <w:tab w:val="center" w:pos="4320"/>
        <w:tab w:val="right" w:pos="8640"/>
      </w:tabs>
      <w:rPr>
        <w:color w:val="000000"/>
      </w:rPr>
    </w:pPr>
    <w:r>
      <w:rPr>
        <w:color w:val="000000"/>
      </w:rPr>
      <w:pict w14:anchorId="32B8F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549.9pt;height:109.95pt;rotation:315;z-index:-251658752;visibility:visible;mso-wrap-edited:f;mso-width-percent:0;mso-height-percent:0;mso-position-horizontal:center;mso-position-horizontal-relative:margin;mso-position-vertical:center;mso-position-vertical-relative:margin;mso-width-percent:0;mso-height-percent:0" path="m,l21600,m,21600r21600,e" fillcolor="silver" stroked="f">
          <v:fill opacity=".5"/>
          <v:formulas/>
          <v:path o:connectlocs="3491865,0;3491865,698183;3491865,1396365;3491865,698183"/>
          <v:textpath style="font-family:&quot;&amp;quot&quot;;font-size:1pt" string="DRAFT - 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297B"/>
    <w:multiLevelType w:val="multilevel"/>
    <w:tmpl w:val="0CBAAFF6"/>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07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796"/>
    <w:rsid w:val="001F2E9F"/>
    <w:rsid w:val="00461796"/>
    <w:rsid w:val="00A3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55CE8"/>
  <w15:docId w15:val="{E556087F-9FC5-A547-92BD-76C262A2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4A23"/>
    <w:rPr>
      <w:rFonts w:ascii="Courier New" w:hAnsi="Courier New" w:cs="Courier New"/>
    </w:rPr>
  </w:style>
  <w:style w:type="character" w:styleId="HTMLCode">
    <w:name w:val="HTML Code"/>
    <w:uiPriority w:val="99"/>
    <w:unhideWhenUsed/>
    <w:rsid w:val="00974A23"/>
    <w:rPr>
      <w:rFonts w:ascii="Courier New" w:eastAsia="Times New Roman" w:hAnsi="Courier New" w:cs="Courier New"/>
      <w:sz w:val="20"/>
      <w:szCs w:val="20"/>
    </w:rPr>
  </w:style>
  <w:style w:type="paragraph" w:styleId="ListParagraph">
    <w:name w:val="List Paragraph"/>
    <w:basedOn w:val="Normal"/>
    <w:uiPriority w:val="1"/>
    <w:qFormat/>
    <w:rsid w:val="00974A23"/>
    <w:pPr>
      <w:spacing w:after="240"/>
      <w:ind w:left="720"/>
      <w:contextualSpacing/>
    </w:pPr>
    <w:rPr>
      <w:rFonts w:eastAsia="Calibri"/>
      <w:sz w:val="24"/>
      <w:szCs w:val="22"/>
    </w:rPr>
  </w:style>
  <w:style w:type="character" w:customStyle="1" w:styleId="FooterChar">
    <w:name w:val="Footer Char"/>
    <w:link w:val="Footer"/>
    <w:uiPriority w:val="99"/>
    <w:rsid w:val="00DC75FE"/>
  </w:style>
  <w:style w:type="paragraph" w:styleId="NormalWeb">
    <w:name w:val="Normal (Web)"/>
    <w:basedOn w:val="Normal"/>
    <w:uiPriority w:val="99"/>
    <w:unhideWhenUsed/>
    <w:rsid w:val="00BF4064"/>
    <w:pPr>
      <w:spacing w:before="100" w:beforeAutospacing="1" w:after="100" w:after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customStyle="1" w:styleId="CommentTextChar">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bCs/>
    </w:rPr>
  </w:style>
  <w:style w:type="character" w:customStyle="1" w:styleId="CommentSubjectChar">
    <w:name w:val="Comment Subject Char"/>
    <w:link w:val="CommentSubject"/>
    <w:rsid w:val="00CA1404"/>
    <w:rPr>
      <w:b/>
      <w:bCs/>
    </w:rPr>
  </w:style>
  <w:style w:type="paragraph" w:customStyle="1" w:styleId="pf0">
    <w:name w:val="pf0"/>
    <w:basedOn w:val="Normal"/>
    <w:rsid w:val="008B33F3"/>
    <w:pPr>
      <w:spacing w:before="100" w:beforeAutospacing="1" w:after="100" w:afterAutospacing="1"/>
    </w:pPr>
    <w:rPr>
      <w:sz w:val="24"/>
      <w:szCs w:val="24"/>
    </w:rPr>
  </w:style>
  <w:style w:type="character" w:customStyle="1" w:styleId="cf01">
    <w:name w:val="cf01"/>
    <w:rsid w:val="008B33F3"/>
    <w:rPr>
      <w:rFonts w:ascii="Segoe UI" w:hAnsi="Segoe UI" w:cs="Segoe UI" w:hint="default"/>
      <w:sz w:val="18"/>
      <w:szCs w:val="18"/>
    </w:rPr>
  </w:style>
  <w:style w:type="paragraph" w:styleId="Revision">
    <w:name w:val="Revision"/>
    <w:hidden/>
    <w:uiPriority w:val="99"/>
    <w:semiHidden/>
    <w:rsid w:val="000D7811"/>
  </w:style>
  <w:style w:type="paragraph" w:styleId="BodyText">
    <w:name w:val="Body Text"/>
    <w:basedOn w:val="Normal"/>
    <w:link w:val="BodyTextChar"/>
    <w:qFormat/>
    <w:rsid w:val="00665B26"/>
    <w:pPr>
      <w:spacing w:before="180" w:after="180"/>
    </w:pPr>
    <w:rPr>
      <w:rFonts w:asciiTheme="minorHAnsi" w:eastAsiaTheme="minorHAnsi" w:hAnsiTheme="minorHAnsi" w:cstheme="minorBidi"/>
      <w:sz w:val="24"/>
      <w:szCs w:val="24"/>
    </w:rPr>
  </w:style>
  <w:style w:type="character" w:customStyle="1" w:styleId="BodyTextChar">
    <w:name w:val="Body Text Char"/>
    <w:basedOn w:val="DefaultParagraphFont"/>
    <w:link w:val="BodyText"/>
    <w:rsid w:val="00665B26"/>
    <w:rPr>
      <w:rFonts w:asciiTheme="minorHAnsi" w:eastAsiaTheme="minorHAnsi" w:hAnsiTheme="minorHAnsi" w:cstheme="minorBidi"/>
      <w:sz w:val="24"/>
      <w:szCs w:val="24"/>
    </w:rPr>
  </w:style>
  <w:style w:type="paragraph" w:customStyle="1" w:styleId="Abstract">
    <w:name w:val="Abstract"/>
    <w:basedOn w:val="Normal"/>
    <w:next w:val="BodyText"/>
    <w:qFormat/>
    <w:rsid w:val="00665B26"/>
    <w:pPr>
      <w:keepNext/>
      <w:keepLines/>
      <w:spacing w:before="300" w:after="300"/>
    </w:pPr>
    <w:rPr>
      <w:rFonts w:asciiTheme="minorHAnsi" w:eastAsiaTheme="minorHAnsi" w:hAnsiTheme="minorHAnsi" w:cstheme="minorBid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ox+yqbxhgH9+djw+KTa2k3W58w==">CgMxLjAyCWguMzBqMHpsbDIIaC5namRneHM4AHIhMTViY0VYdDRVZXBVV3JtdUFjQXZRUUtkeGN4WFZ1Y1BB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5357</Words>
  <Characters>30541</Characters>
  <Application>Microsoft Office Word</Application>
  <DocSecurity>0</DocSecurity>
  <Lines>254</Lines>
  <Paragraphs>71</Paragraphs>
  <ScaleCrop>false</ScaleCrop>
  <Company/>
  <LinksUpToDate>false</LinksUpToDate>
  <CharactersWithSpaces>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Chigbrow</dc:creator>
  <cp:lastModifiedBy>Lake Point City Council</cp:lastModifiedBy>
  <cp:revision>2</cp:revision>
  <dcterms:created xsi:type="dcterms:W3CDTF">2023-09-01T03:43:00Z</dcterms:created>
  <dcterms:modified xsi:type="dcterms:W3CDTF">2023-09-01T17:32:00Z</dcterms:modified>
</cp:coreProperties>
</file>