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0D46" w14:textId="77777777" w:rsidR="0092039E" w:rsidRPr="0092039E" w:rsidRDefault="0092039E" w:rsidP="0092039E">
      <w:pPr>
        <w:spacing w:before="100" w:beforeAutospacing="1" w:after="100" w:afterAutospacing="1"/>
        <w:rPr>
          <w:rFonts w:ascii="Cambria" w:eastAsia="Times New Roman" w:hAnsi="Cambria" w:cs="Times New Roman"/>
          <w:u w:val="single"/>
        </w:rPr>
      </w:pPr>
      <w:r w:rsidRPr="0092039E">
        <w:rPr>
          <w:rFonts w:ascii="Cambria" w:eastAsia="Times New Roman" w:hAnsi="Cambria" w:cs="Times New Roman"/>
          <w:b/>
          <w:bCs/>
          <w:u w:val="single"/>
        </w:rPr>
        <w:t xml:space="preserve">Closed Meetings </w:t>
      </w:r>
    </w:p>
    <w:p w14:paraId="1B0DDDFF" w14:textId="77777777" w:rsidR="0092039E" w:rsidRPr="0092039E" w:rsidRDefault="0092039E" w:rsidP="0092039E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A closed meeting may be held upon a two-thirds affirmative vote of the board members present at a meeting for which public notice was given pursuant to Utah Code § 52-4-202, providing a quorum is present. No resolution, rule, regulation, contract or appointment shall be approved at a closed meeting, nor may the Board interview an applicant to fill an elected position at such a meeting. The recording and minutes of the open meeting at which the vote is taken to hold a closed meeting shall contain the reason or reasons for holding a closed meeting and the votes, by name, of the members present, either for or against the proposition to hold such a meeting. No vote may be taken in a closed meeting except a vote on a motion to end the closed portion of the meeting and return to an open meeting. A motion to end the closed portion of the meeting may be approved by a majority of the members present. </w:t>
      </w:r>
    </w:p>
    <w:p w14:paraId="7E0A2F83" w14:textId="698F4A55" w:rsidR="0092039E" w:rsidRPr="0092039E" w:rsidRDefault="0092039E" w:rsidP="0092039E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Arial"/>
          <w:i/>
          <w:iCs/>
          <w:color w:val="0000FF"/>
        </w:rPr>
        <w:tab/>
      </w:r>
      <w:r>
        <w:rPr>
          <w:rFonts w:ascii="Cambria" w:eastAsia="Times New Roman" w:hAnsi="Cambria" w:cs="Arial"/>
          <w:i/>
          <w:iCs/>
          <w:color w:val="0000FF"/>
        </w:rPr>
        <w:tab/>
      </w:r>
      <w:r w:rsidRPr="0092039E">
        <w:rPr>
          <w:rFonts w:ascii="Cambria" w:eastAsia="Times New Roman" w:hAnsi="Cambria" w:cs="Arial"/>
          <w:i/>
          <w:iCs/>
          <w:color w:val="0000FF"/>
        </w:rPr>
        <w:t>Utah Code § 52-4-204 (20</w:t>
      </w:r>
      <w:r>
        <w:rPr>
          <w:rFonts w:ascii="Cambria" w:eastAsia="Times New Roman" w:hAnsi="Cambria" w:cs="Arial"/>
          <w:i/>
          <w:iCs/>
          <w:color w:val="0000FF"/>
        </w:rPr>
        <w:t xml:space="preserve">22) </w:t>
      </w:r>
    </w:p>
    <w:p w14:paraId="1B971884" w14:textId="77777777" w:rsidR="0092039E" w:rsidRDefault="0092039E" w:rsidP="0092039E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u w:val="single"/>
        </w:rPr>
      </w:pPr>
      <w:r w:rsidRPr="0092039E">
        <w:rPr>
          <w:rFonts w:ascii="Cambria" w:eastAsia="Times New Roman" w:hAnsi="Cambria" w:cs="Times New Roman"/>
          <w:b/>
          <w:bCs/>
          <w:u w:val="single"/>
        </w:rPr>
        <w:t xml:space="preserve">Purposes of Closed Meetings </w:t>
      </w:r>
    </w:p>
    <w:p w14:paraId="28D7E45A" w14:textId="77777777" w:rsidR="0092039E" w:rsidRDefault="0092039E" w:rsidP="0092039E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>Closed meetings may only be held for the following purposes:</w:t>
      </w:r>
    </w:p>
    <w:p w14:paraId="17917FE3" w14:textId="77777777" w:rsidR="0092039E" w:rsidRDefault="0092039E" w:rsidP="0092039E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Discussion of the character, professional competence, or physical or mental health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>of an individual;</w:t>
      </w:r>
    </w:p>
    <w:p w14:paraId="69BD2671" w14:textId="4AE5BE4D" w:rsidR="0092039E" w:rsidRPr="0092039E" w:rsidRDefault="0092039E" w:rsidP="0092039E">
      <w:pPr>
        <w:pStyle w:val="ListParagraph"/>
        <w:numPr>
          <w:ilvl w:val="1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However, the Board may not interview a person applying to fill an elected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position, midterm vacancy or temporary absence in a closed meeting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regardless of whether the interview may include a discussion of the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character, professional competence, or physical or mental health of the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applicant. </w:t>
      </w:r>
    </w:p>
    <w:p w14:paraId="1878A7C0" w14:textId="0C2EC749" w:rsidR="0092039E" w:rsidRPr="0092039E" w:rsidRDefault="0092039E" w:rsidP="0092039E">
      <w:pPr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Strategy sessions with respect to collective bargaining or pending or imminent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litigation; or </w:t>
      </w:r>
    </w:p>
    <w:p w14:paraId="67C83D66" w14:textId="75D5AF26" w:rsidR="0092039E" w:rsidRPr="0092039E" w:rsidRDefault="0092039E" w:rsidP="0092039E">
      <w:pPr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Strategy sessions with respect to the purchase, exchange, or lease of real property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(including any form of water right or water shares) if public discussion may disclose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the appraised or estimated value of the property or tend to prevent the Board from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obtaining the best possible terms; or </w:t>
      </w:r>
    </w:p>
    <w:p w14:paraId="07E86B4B" w14:textId="31FF1E15" w:rsidR="0092039E" w:rsidRPr="0092039E" w:rsidRDefault="0092039E" w:rsidP="0092039E">
      <w:pPr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Strategy sessions with respect to the sale of real property (including any form of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water right or water shares) if public discussion may disclose the appraised or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estimated value of the property or tend to prevent the Board from obtaining the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best possible terms, but only if the Board previously gave public notice that the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property would be offered for sale, and the terms of the sale are publicly disclosed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before the Board approves the sale; or </w:t>
      </w:r>
    </w:p>
    <w:p w14:paraId="7A68CBAC" w14:textId="77777777" w:rsidR="0092039E" w:rsidRPr="0092039E" w:rsidRDefault="0092039E" w:rsidP="0092039E">
      <w:pPr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Discussion regarding deployment of security personnel, devices, or systems; or </w:t>
      </w:r>
    </w:p>
    <w:p w14:paraId="215A84DD" w14:textId="77777777" w:rsidR="0092039E" w:rsidRPr="0092039E" w:rsidRDefault="0092039E" w:rsidP="0092039E">
      <w:pPr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Investigative proceedings regarding allegations of criminal misconduct: or </w:t>
      </w:r>
    </w:p>
    <w:p w14:paraId="28A7E409" w14:textId="77777777" w:rsidR="0092039E" w:rsidRPr="0092039E" w:rsidRDefault="0092039E" w:rsidP="0092039E">
      <w:pPr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The Board is fulfilling one of the following procurement functions: </w:t>
      </w:r>
    </w:p>
    <w:p w14:paraId="4BE3E743" w14:textId="2331CCE5" w:rsidR="0092039E" w:rsidRPr="0092039E" w:rsidRDefault="0092039E" w:rsidP="0092039E">
      <w:pPr>
        <w:pStyle w:val="ListParagraph"/>
        <w:numPr>
          <w:ilvl w:val="1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Deliberations as an evaluation committee regarding a solicitation or as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protest officer regarding a protest; or </w:t>
      </w:r>
    </w:p>
    <w:p w14:paraId="1A563866" w14:textId="77777777" w:rsidR="0092039E" w:rsidRDefault="0092039E" w:rsidP="0092039E">
      <w:pPr>
        <w:numPr>
          <w:ilvl w:val="1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Consideration of information designated as a trade secret if the consideration </w:t>
      </w:r>
      <w:r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is necessary to properly conduct a procurement; or </w:t>
      </w:r>
    </w:p>
    <w:p w14:paraId="262FF698" w14:textId="1E6B34F0" w:rsidR="0092039E" w:rsidRPr="0092039E" w:rsidRDefault="0092039E" w:rsidP="0092039E">
      <w:pPr>
        <w:numPr>
          <w:ilvl w:val="1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lastRenderedPageBreak/>
        <w:t xml:space="preserve">Discussion of information provided to the Board during a procurement if (at </w:t>
      </w:r>
      <w:r w:rsidRPr="0092039E">
        <w:rPr>
          <w:rFonts w:ascii="Cambria" w:eastAsia="Times New Roman" w:hAnsi="Cambria" w:cs="Times New Roman"/>
        </w:rPr>
        <w:tab/>
        <w:t>the time the Board meets) the information may not be disclosed to the public</w:t>
      </w:r>
      <w:r w:rsidR="003536D2"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or procurement participants and the Board needs to review or discuss the </w:t>
      </w:r>
      <w:r w:rsidR="003536D2"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information to properly fulfill its role and responsibilities in the procurement </w:t>
      </w:r>
      <w:r w:rsidR="003536D2">
        <w:rPr>
          <w:rFonts w:ascii="Cambria" w:eastAsia="Times New Roman" w:hAnsi="Cambria" w:cs="Times New Roman"/>
        </w:rPr>
        <w:tab/>
      </w:r>
      <w:r w:rsidRPr="0092039E">
        <w:rPr>
          <w:rFonts w:ascii="Cambria" w:eastAsia="Times New Roman" w:hAnsi="Cambria" w:cs="Times New Roman"/>
        </w:rPr>
        <w:t xml:space="preserve">process. </w:t>
      </w:r>
    </w:p>
    <w:p w14:paraId="1913D972" w14:textId="77777777" w:rsidR="0092039E" w:rsidRPr="0092039E" w:rsidRDefault="0092039E" w:rsidP="0092039E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92039E">
        <w:rPr>
          <w:rFonts w:ascii="Cambria" w:eastAsia="Times New Roman" w:hAnsi="Cambria" w:cs="Times New Roman"/>
        </w:rPr>
        <w:t xml:space="preserve">If the meeting is closed for any reason stated in paragraph 1 or 5 of this Section, then the person presiding must sign a sworn statement affirming that the sole purpose of closing the meeting was to discuss those specific topics, and neither a recording nor minutes shall be kept of that portion of the closed meeting </w:t>
      </w:r>
    </w:p>
    <w:p w14:paraId="2989B50B" w14:textId="2978CDE3" w:rsidR="0092039E" w:rsidRPr="0092039E" w:rsidRDefault="003536D2" w:rsidP="003536D2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  <w:color w:val="0230FF"/>
        </w:rPr>
      </w:pP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 w:rsidR="0092039E" w:rsidRPr="0092039E">
        <w:rPr>
          <w:rFonts w:ascii="Cambria" w:eastAsia="Times New Roman" w:hAnsi="Cambria" w:cs="Times New Roman"/>
          <w:i/>
          <w:iCs/>
          <w:color w:val="0230FF"/>
        </w:rPr>
        <w:t xml:space="preserve">Utah Code § 20A-1-511(3)(c) (2019) </w:t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 w:rsidR="0092039E" w:rsidRPr="0092039E">
        <w:rPr>
          <w:rFonts w:ascii="Cambria" w:eastAsia="Times New Roman" w:hAnsi="Cambria" w:cs="Times New Roman"/>
          <w:i/>
          <w:iCs/>
          <w:color w:val="0230FF"/>
        </w:rPr>
        <w:t>Utah Code §52-4-205 (20</w:t>
      </w:r>
      <w:r>
        <w:rPr>
          <w:rFonts w:ascii="Cambria" w:eastAsia="Times New Roman" w:hAnsi="Cambria" w:cs="Times New Roman"/>
          <w:i/>
          <w:iCs/>
          <w:color w:val="0230FF"/>
        </w:rPr>
        <w:t>2</w:t>
      </w:r>
      <w:r w:rsidR="00E44BCF">
        <w:rPr>
          <w:rFonts w:ascii="Cambria" w:eastAsia="Times New Roman" w:hAnsi="Cambria" w:cs="Times New Roman"/>
          <w:i/>
          <w:iCs/>
          <w:color w:val="0230FF"/>
        </w:rPr>
        <w:t xml:space="preserve">3) </w:t>
      </w:r>
      <w:r w:rsidRPr="00E44BCF">
        <w:rPr>
          <w:rFonts w:ascii="Cambria" w:eastAsia="Times New Roman" w:hAnsi="Cambria" w:cs="Times New Roman"/>
          <w:i/>
          <w:iCs/>
          <w:strike/>
          <w:color w:val="FF0000"/>
        </w:rPr>
        <w:t>2</w:t>
      </w:r>
      <w:r>
        <w:rPr>
          <w:rFonts w:ascii="Cambria" w:eastAsia="Times New Roman" w:hAnsi="Cambria" w:cs="Times New Roman"/>
          <w:i/>
          <w:iCs/>
          <w:color w:val="0230FF"/>
        </w:rPr>
        <w:t>)</w:t>
      </w:r>
      <w:r w:rsidR="0092039E" w:rsidRPr="0092039E">
        <w:rPr>
          <w:rFonts w:ascii="Cambria" w:eastAsia="Times New Roman" w:hAnsi="Cambria" w:cs="Times New Roman"/>
          <w:i/>
          <w:iCs/>
          <w:color w:val="0230FF"/>
        </w:rPr>
        <w:t xml:space="preserve"> </w:t>
      </w:r>
      <w:r w:rsidR="0092039E" w:rsidRPr="0092039E">
        <w:rPr>
          <w:rFonts w:ascii="Cambria" w:eastAsia="Times New Roman" w:hAnsi="Cambria" w:cs="Times New Roman"/>
          <w:i/>
          <w:iCs/>
          <w:color w:val="0230FF"/>
        </w:rPr>
        <w:br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>
        <w:rPr>
          <w:rFonts w:ascii="Cambria" w:eastAsia="Times New Roman" w:hAnsi="Cambria" w:cs="Times New Roman"/>
          <w:i/>
          <w:iCs/>
          <w:color w:val="0230FF"/>
        </w:rPr>
        <w:tab/>
      </w:r>
      <w:r w:rsidR="0092039E" w:rsidRPr="0092039E">
        <w:rPr>
          <w:rFonts w:ascii="Cambria" w:eastAsia="Times New Roman" w:hAnsi="Cambria" w:cs="Times New Roman"/>
          <w:i/>
          <w:iCs/>
          <w:color w:val="0230FF"/>
        </w:rPr>
        <w:t>Utah Code §52-4-206(6) (20</w:t>
      </w:r>
      <w:r w:rsidR="00E44BCF">
        <w:rPr>
          <w:rFonts w:ascii="Cambria" w:eastAsia="Times New Roman" w:hAnsi="Cambria" w:cs="Times New Roman"/>
          <w:i/>
          <w:iCs/>
          <w:color w:val="0230FF"/>
        </w:rPr>
        <w:t xml:space="preserve">23) </w:t>
      </w:r>
      <w:r w:rsidR="0092039E" w:rsidRPr="00E44BCF">
        <w:rPr>
          <w:rFonts w:ascii="Cambria" w:eastAsia="Times New Roman" w:hAnsi="Cambria" w:cs="Times New Roman"/>
          <w:i/>
          <w:iCs/>
          <w:strike/>
          <w:color w:val="FF0000"/>
        </w:rPr>
        <w:t>18</w:t>
      </w:r>
      <w:r w:rsidR="0092039E" w:rsidRPr="0092039E">
        <w:rPr>
          <w:rFonts w:ascii="Cambria" w:eastAsia="Times New Roman" w:hAnsi="Cambria" w:cs="Times New Roman"/>
          <w:i/>
          <w:iCs/>
          <w:color w:val="0230FF"/>
        </w:rPr>
        <w:t xml:space="preserve">) </w:t>
      </w:r>
    </w:p>
    <w:p w14:paraId="22F33D8A" w14:textId="3ECB9108" w:rsidR="0092039E" w:rsidRPr="0092039E" w:rsidRDefault="0092039E" w:rsidP="0092039E">
      <w:pPr>
        <w:rPr>
          <w:rFonts w:ascii="Cambria" w:eastAsia="Times New Roman" w:hAnsi="Cambria" w:cs="Times New Roman"/>
        </w:rPr>
      </w:pPr>
    </w:p>
    <w:p w14:paraId="651DFD6C" w14:textId="77777777" w:rsidR="000D30CB" w:rsidRPr="0092039E" w:rsidRDefault="000D30CB">
      <w:pPr>
        <w:rPr>
          <w:rFonts w:ascii="Cambria" w:hAnsi="Cambria"/>
        </w:rPr>
      </w:pPr>
    </w:p>
    <w:sectPr w:rsidR="000D30CB" w:rsidRPr="0092039E" w:rsidSect="00A92AE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2B44" w14:textId="77777777" w:rsidR="005358C5" w:rsidRDefault="005358C5" w:rsidP="0092039E">
      <w:r>
        <w:separator/>
      </w:r>
    </w:p>
  </w:endnote>
  <w:endnote w:type="continuationSeparator" w:id="0">
    <w:p w14:paraId="72B1FAAD" w14:textId="77777777" w:rsidR="005358C5" w:rsidRDefault="005358C5" w:rsidP="0092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0724777"/>
      <w:docPartObj>
        <w:docPartGallery w:val="Page Numbers (Bottom of Page)"/>
        <w:docPartUnique/>
      </w:docPartObj>
    </w:sdtPr>
    <w:sdtContent>
      <w:p w14:paraId="143F25EE" w14:textId="478FA935" w:rsidR="003536D2" w:rsidRDefault="003536D2" w:rsidP="00B138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C9F829" w14:textId="77777777" w:rsidR="003536D2" w:rsidRDefault="003536D2" w:rsidP="003536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E16E" w14:textId="77777777" w:rsidR="00FE78DB" w:rsidRPr="00FE78DB" w:rsidRDefault="003536D2" w:rsidP="003536D2">
    <w:pPr>
      <w:pStyle w:val="Footer"/>
      <w:ind w:right="360"/>
      <w:rPr>
        <w:rFonts w:ascii="Cambria" w:hAnsi="Cambria"/>
      </w:rPr>
    </w:pPr>
    <w:r w:rsidRPr="00FE78DB">
      <w:rPr>
        <w:rFonts w:ascii="Cambria" w:hAnsi="Cambria"/>
      </w:rPr>
      <w:t>Issue Date: 11.17.2022</w:t>
    </w:r>
  </w:p>
  <w:p w14:paraId="32D9AE34" w14:textId="78544B56" w:rsidR="003536D2" w:rsidRDefault="00FE78DB" w:rsidP="003536D2">
    <w:pPr>
      <w:pStyle w:val="Footer"/>
      <w:ind w:right="360"/>
    </w:pPr>
    <w:r w:rsidRPr="00FE78DB">
      <w:rPr>
        <w:rFonts w:ascii="Cambria" w:hAnsi="Cambria"/>
      </w:rPr>
      <w:t>Citations Updated: 9.21.2022</w:t>
    </w:r>
    <w:r w:rsidR="003536D2">
      <w:tab/>
    </w:r>
    <w:r w:rsidR="003536D2">
      <w:tab/>
    </w:r>
    <w:r w:rsidR="003536D2" w:rsidRPr="00FE78DB">
      <w:rPr>
        <w:rFonts w:ascii="Cambria" w:hAnsi="Cambria"/>
      </w:rP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6E21" w14:textId="77777777" w:rsidR="005358C5" w:rsidRDefault="005358C5" w:rsidP="0092039E">
      <w:r>
        <w:separator/>
      </w:r>
    </w:p>
  </w:footnote>
  <w:footnote w:type="continuationSeparator" w:id="0">
    <w:p w14:paraId="008EDB1F" w14:textId="77777777" w:rsidR="005358C5" w:rsidRDefault="005358C5" w:rsidP="0092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0257" w14:textId="30EF253A" w:rsidR="0092039E" w:rsidRPr="00FE78DB" w:rsidRDefault="0092039E" w:rsidP="0092039E">
    <w:pPr>
      <w:pStyle w:val="Header"/>
      <w:jc w:val="right"/>
      <w:rPr>
        <w:rFonts w:ascii="Cambria" w:hAnsi="Cambria"/>
        <w:b/>
        <w:bCs/>
        <w:sz w:val="36"/>
        <w:szCs w:val="36"/>
      </w:rPr>
    </w:pPr>
    <w:r w:rsidRPr="00FE78DB">
      <w:rPr>
        <w:rFonts w:ascii="Cambria" w:hAnsi="Cambria"/>
        <w:b/>
        <w:bCs/>
        <w:sz w:val="36"/>
        <w:szCs w:val="36"/>
      </w:rPr>
      <w:t xml:space="preserve">Board Meetings: Closed Meetings - BEC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08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453564"/>
    <w:multiLevelType w:val="multilevel"/>
    <w:tmpl w:val="04090027"/>
    <w:styleLink w:val="Style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F797A56"/>
    <w:multiLevelType w:val="multilevel"/>
    <w:tmpl w:val="04090027"/>
    <w:numStyleLink w:val="Style1"/>
  </w:abstractNum>
  <w:abstractNum w:abstractNumId="3" w15:restartNumberingAfterBreak="0">
    <w:nsid w:val="355D63DA"/>
    <w:multiLevelType w:val="multilevel"/>
    <w:tmpl w:val="04090027"/>
    <w:numStyleLink w:val="Style1"/>
  </w:abstractNum>
  <w:abstractNum w:abstractNumId="4" w15:restartNumberingAfterBreak="0">
    <w:nsid w:val="66E52D17"/>
    <w:multiLevelType w:val="hybridMultilevel"/>
    <w:tmpl w:val="EF901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6984"/>
    <w:multiLevelType w:val="hybridMultilevel"/>
    <w:tmpl w:val="8124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89557">
    <w:abstractNumId w:val="1"/>
  </w:num>
  <w:num w:numId="2" w16cid:durableId="607587919">
    <w:abstractNumId w:val="2"/>
  </w:num>
  <w:num w:numId="3" w16cid:durableId="349914725">
    <w:abstractNumId w:val="4"/>
  </w:num>
  <w:num w:numId="4" w16cid:durableId="1288778607">
    <w:abstractNumId w:val="5"/>
  </w:num>
  <w:num w:numId="5" w16cid:durableId="251671435">
    <w:abstractNumId w:val="0"/>
  </w:num>
  <w:num w:numId="6" w16cid:durableId="869294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9E"/>
    <w:rsid w:val="000D30CB"/>
    <w:rsid w:val="003536D2"/>
    <w:rsid w:val="005358C5"/>
    <w:rsid w:val="00590FAD"/>
    <w:rsid w:val="005E6E78"/>
    <w:rsid w:val="0092039E"/>
    <w:rsid w:val="00A92AEF"/>
    <w:rsid w:val="00D95ADB"/>
    <w:rsid w:val="00E44BCF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7FBE7"/>
  <w15:chartTrackingRefBased/>
  <w15:docId w15:val="{D2E96DF0-9DBB-0442-9100-17EBE882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5E6E78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9203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20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39E"/>
  </w:style>
  <w:style w:type="paragraph" w:styleId="Footer">
    <w:name w:val="footer"/>
    <w:basedOn w:val="Normal"/>
    <w:link w:val="FooterChar"/>
    <w:uiPriority w:val="99"/>
    <w:unhideWhenUsed/>
    <w:rsid w:val="00920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39E"/>
  </w:style>
  <w:style w:type="paragraph" w:styleId="ListParagraph">
    <w:name w:val="List Paragraph"/>
    <w:basedOn w:val="Normal"/>
    <w:uiPriority w:val="34"/>
    <w:qFormat/>
    <w:rsid w:val="0092039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5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2023-08-03T20:53:00Z</dcterms:created>
  <dcterms:modified xsi:type="dcterms:W3CDTF">2023-08-03T20:53:00Z</dcterms:modified>
</cp:coreProperties>
</file>