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ED224F" w:rsidRDefault="00086C25" w:rsidP="00C1035B">
            <w:pPr>
              <w:jc w:val="center"/>
              <w:rPr>
                <w:sz w:val="22"/>
                <w:szCs w:val="22"/>
              </w:rPr>
            </w:pPr>
            <w:r w:rsidRPr="00ED224F">
              <w:rPr>
                <w:sz w:val="22"/>
                <w:szCs w:val="22"/>
              </w:rPr>
              <w:t>COMMISSION MEETING MINUTES</w:t>
            </w:r>
          </w:p>
          <w:p w:rsidR="00086C25" w:rsidRPr="00ED224F" w:rsidRDefault="00161C4B" w:rsidP="00C1035B">
            <w:pPr>
              <w:jc w:val="center"/>
              <w:rPr>
                <w:sz w:val="22"/>
                <w:szCs w:val="22"/>
              </w:rPr>
            </w:pPr>
            <w:r>
              <w:rPr>
                <w:sz w:val="22"/>
                <w:szCs w:val="22"/>
              </w:rPr>
              <w:t>March 11</w:t>
            </w:r>
            <w:r w:rsidR="00086C25" w:rsidRPr="00ED224F">
              <w:rPr>
                <w:sz w:val="22"/>
                <w:szCs w:val="22"/>
              </w:rPr>
              <w:t>, 2014</w:t>
            </w:r>
          </w:p>
          <w:p w:rsidR="00086C25" w:rsidRPr="00ED224F" w:rsidRDefault="00086C25" w:rsidP="00C1035B">
            <w:pPr>
              <w:jc w:val="center"/>
              <w:rPr>
                <w:sz w:val="22"/>
                <w:szCs w:val="22"/>
              </w:rPr>
            </w:pPr>
          </w:p>
          <w:p w:rsidR="00086C25" w:rsidRPr="00ED224F" w:rsidRDefault="00086C25" w:rsidP="00C1035B">
            <w:pPr>
              <w:spacing w:line="360" w:lineRule="auto"/>
              <w:rPr>
                <w:sz w:val="22"/>
                <w:szCs w:val="22"/>
              </w:rPr>
            </w:pPr>
            <w:r w:rsidRPr="00ED224F">
              <w:rPr>
                <w:sz w:val="22"/>
                <w:szCs w:val="22"/>
              </w:rPr>
              <w:tab/>
              <w:t xml:space="preserve">The Board of Davis </w:t>
            </w:r>
            <w:r w:rsidR="00C10DF4">
              <w:rPr>
                <w:sz w:val="22"/>
                <w:szCs w:val="22"/>
              </w:rPr>
              <w:t>County Commissioners met in R</w:t>
            </w:r>
            <w:r w:rsidRPr="00ED224F">
              <w:rPr>
                <w:sz w:val="22"/>
                <w:szCs w:val="22"/>
              </w:rPr>
              <w:t xml:space="preserve">oom 303 of the Davis County Administration Building, 61 South Main Street, Farmington, Utah on </w:t>
            </w:r>
            <w:r w:rsidR="00C10DF4">
              <w:rPr>
                <w:sz w:val="22"/>
                <w:szCs w:val="22"/>
              </w:rPr>
              <w:t>March 11</w:t>
            </w:r>
            <w:r>
              <w:rPr>
                <w:sz w:val="22"/>
                <w:szCs w:val="22"/>
              </w:rPr>
              <w:t xml:space="preserve">, </w:t>
            </w:r>
            <w:r w:rsidR="008046C9">
              <w:rPr>
                <w:sz w:val="22"/>
                <w:szCs w:val="22"/>
              </w:rPr>
              <w:t>2014.  Members present were</w:t>
            </w:r>
            <w:r w:rsidRPr="00ED224F">
              <w:rPr>
                <w:sz w:val="22"/>
                <w:szCs w:val="22"/>
              </w:rPr>
              <w:t xml:space="preserve"> Commissioner Louenda H. Downs - Chair, Commissioner P. Bret Millburn, Commissioner John Petroff, Jr., Clerk/Auditor Chief Deputy Audit/Finance Curtis Koch,</w:t>
            </w:r>
            <w:r w:rsidR="00C10DF4">
              <w:rPr>
                <w:sz w:val="22"/>
                <w:szCs w:val="22"/>
              </w:rPr>
              <w:t xml:space="preserve"> </w:t>
            </w:r>
            <w:r w:rsidRPr="00ED224F">
              <w:rPr>
                <w:sz w:val="22"/>
                <w:szCs w:val="22"/>
              </w:rPr>
              <w:t>Deputy Civil County Attorney</w:t>
            </w:r>
            <w:r w:rsidR="00C10DF4">
              <w:rPr>
                <w:sz w:val="22"/>
                <w:szCs w:val="22"/>
              </w:rPr>
              <w:t xml:space="preserve"> Michael Kendall</w:t>
            </w:r>
            <w:r w:rsidRPr="00ED224F">
              <w:rPr>
                <w:sz w:val="22"/>
                <w:szCs w:val="22"/>
              </w:rPr>
              <w:t xml:space="preserve"> and Deputy Clerk/Auditor </w:t>
            </w:r>
            <w:r>
              <w:rPr>
                <w:sz w:val="22"/>
                <w:szCs w:val="22"/>
              </w:rPr>
              <w:t>Shauna Brady</w:t>
            </w:r>
            <w:r w:rsidRPr="00ED224F">
              <w:rPr>
                <w:sz w:val="22"/>
                <w:szCs w:val="22"/>
              </w:rPr>
              <w:t xml:space="preserve">. </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ED224F" w:rsidRDefault="00086C25" w:rsidP="00C1035B">
            <w:pPr>
              <w:pStyle w:val="BodyText2"/>
              <w:rPr>
                <w:szCs w:val="22"/>
              </w:rPr>
            </w:pPr>
            <w:r>
              <w:rPr>
                <w:szCs w:val="22"/>
              </w:rPr>
              <w:t xml:space="preserve">            </w:t>
            </w:r>
            <w:r w:rsidR="00161C4B">
              <w:rPr>
                <w:szCs w:val="22"/>
              </w:rPr>
              <w:t>Tony Thompson</w:t>
            </w:r>
            <w:r>
              <w:rPr>
                <w:szCs w:val="22"/>
              </w:rPr>
              <w:t>, Davis Co</w:t>
            </w:r>
            <w:r w:rsidR="00161C4B">
              <w:rPr>
                <w:szCs w:val="22"/>
              </w:rPr>
              <w:t>unty Planning</w:t>
            </w:r>
            <w:r>
              <w:rPr>
                <w:szCs w:val="22"/>
              </w:rPr>
              <w:t>,</w:t>
            </w:r>
            <w:r w:rsidRPr="00ED224F">
              <w:rPr>
                <w:szCs w:val="22"/>
              </w:rPr>
              <w:t xml:space="preserve"> led the Pledge of Allegiance.</w:t>
            </w:r>
            <w:r>
              <w:rPr>
                <w:szCs w:val="22"/>
              </w:rPr>
              <w:t xml:space="preserve"> </w:t>
            </w:r>
            <w:r w:rsidRPr="00ED224F">
              <w:rPr>
                <w:szCs w:val="22"/>
              </w:rPr>
              <w:t xml:space="preserve"> All in attendance were invited to stand and join in.</w:t>
            </w:r>
          </w:p>
        </w:tc>
      </w:tr>
      <w:tr w:rsidR="00086C25" w:rsidTr="00C1035B">
        <w:trPr>
          <w:tblCellSpacing w:w="50" w:type="dxa"/>
        </w:trPr>
        <w:tc>
          <w:tcPr>
            <w:tcW w:w="1380" w:type="dxa"/>
          </w:tcPr>
          <w:p w:rsidR="00086C25" w:rsidRPr="004774E6" w:rsidRDefault="00E40CCA" w:rsidP="00C1035B">
            <w:pPr>
              <w:rPr>
                <w:sz w:val="18"/>
                <w:szCs w:val="18"/>
              </w:rPr>
            </w:pPr>
            <w:r>
              <w:rPr>
                <w:sz w:val="18"/>
                <w:szCs w:val="18"/>
              </w:rPr>
              <w:t>Opening of Request for Proposals for Legacy Events Center Phase 2</w:t>
            </w:r>
          </w:p>
        </w:tc>
        <w:tc>
          <w:tcPr>
            <w:tcW w:w="9984" w:type="dxa"/>
          </w:tcPr>
          <w:p w:rsidR="00086C25" w:rsidRDefault="00086C25" w:rsidP="00C1035B">
            <w:pPr>
              <w:spacing w:line="360" w:lineRule="auto"/>
              <w:rPr>
                <w:sz w:val="22"/>
                <w:szCs w:val="22"/>
              </w:rPr>
            </w:pPr>
            <w:r>
              <w:rPr>
                <w:sz w:val="22"/>
                <w:szCs w:val="22"/>
              </w:rPr>
              <w:t xml:space="preserve">            </w:t>
            </w:r>
            <w:r w:rsidR="00BF5444">
              <w:rPr>
                <w:sz w:val="22"/>
                <w:szCs w:val="22"/>
              </w:rPr>
              <w:t xml:space="preserve"> </w:t>
            </w:r>
            <w:r>
              <w:rPr>
                <w:sz w:val="22"/>
                <w:szCs w:val="22"/>
              </w:rPr>
              <w:t xml:space="preserve">Request for Proposals </w:t>
            </w:r>
            <w:r w:rsidR="00161C4B">
              <w:rPr>
                <w:sz w:val="22"/>
                <w:szCs w:val="22"/>
              </w:rPr>
              <w:t>for the Legacy Events Center Phase 2 plan</w:t>
            </w:r>
            <w:r>
              <w:rPr>
                <w:sz w:val="22"/>
                <w:szCs w:val="22"/>
              </w:rPr>
              <w:t xml:space="preserve"> were opened by Curtis Koch, </w:t>
            </w:r>
            <w:r w:rsidRPr="00FF5AFA">
              <w:rPr>
                <w:sz w:val="22"/>
                <w:szCs w:val="22"/>
              </w:rPr>
              <w:t>Clerk/Auditor Chief Deputy Audit/Finance</w:t>
            </w:r>
            <w:r>
              <w:rPr>
                <w:sz w:val="22"/>
                <w:szCs w:val="22"/>
              </w:rPr>
              <w:t>.  He opene</w:t>
            </w:r>
            <w:r w:rsidR="001C2262">
              <w:rPr>
                <w:sz w:val="22"/>
                <w:szCs w:val="22"/>
              </w:rPr>
              <w:t>d the following proposal</w:t>
            </w:r>
            <w:r>
              <w:rPr>
                <w:sz w:val="22"/>
                <w:szCs w:val="22"/>
              </w:rPr>
              <w:t>:</w:t>
            </w:r>
          </w:p>
          <w:tbl>
            <w:tblPr>
              <w:tblStyle w:val="TableGrid"/>
              <w:tblW w:w="9585" w:type="dxa"/>
              <w:tblLayout w:type="fixed"/>
              <w:tblLook w:val="04A0" w:firstRow="1" w:lastRow="0" w:firstColumn="1" w:lastColumn="0" w:noHBand="0" w:noVBand="1"/>
            </w:tblPr>
            <w:tblGrid>
              <w:gridCol w:w="585"/>
              <w:gridCol w:w="5220"/>
              <w:gridCol w:w="3780"/>
            </w:tblGrid>
            <w:tr w:rsidR="00086C25" w:rsidTr="00C1035B">
              <w:trPr>
                <w:trHeight w:val="188"/>
              </w:trPr>
              <w:tc>
                <w:tcPr>
                  <w:tcW w:w="585" w:type="dxa"/>
                </w:tcPr>
                <w:p w:rsidR="00086C25" w:rsidRDefault="00086C25" w:rsidP="00C1035B">
                  <w:pPr>
                    <w:spacing w:line="276" w:lineRule="auto"/>
                    <w:rPr>
                      <w:sz w:val="22"/>
                      <w:szCs w:val="22"/>
                    </w:rPr>
                  </w:pPr>
                </w:p>
              </w:tc>
              <w:tc>
                <w:tcPr>
                  <w:tcW w:w="5220" w:type="dxa"/>
                </w:tcPr>
                <w:p w:rsidR="00086C25" w:rsidRPr="000F4FB5" w:rsidRDefault="00086C25" w:rsidP="00C1035B">
                  <w:pPr>
                    <w:spacing w:line="276" w:lineRule="auto"/>
                    <w:jc w:val="center"/>
                    <w:rPr>
                      <w:b/>
                      <w:sz w:val="20"/>
                    </w:rPr>
                  </w:pPr>
                  <w:r w:rsidRPr="000F4FB5">
                    <w:rPr>
                      <w:b/>
                      <w:sz w:val="20"/>
                    </w:rPr>
                    <w:t>BIDDER</w:t>
                  </w:r>
                </w:p>
              </w:tc>
              <w:tc>
                <w:tcPr>
                  <w:tcW w:w="3780" w:type="dxa"/>
                </w:tcPr>
                <w:p w:rsidR="00086C25" w:rsidRPr="000F4FB5" w:rsidRDefault="00086C25" w:rsidP="00C1035B">
                  <w:pPr>
                    <w:spacing w:line="276" w:lineRule="auto"/>
                    <w:jc w:val="center"/>
                    <w:rPr>
                      <w:b/>
                      <w:sz w:val="20"/>
                    </w:rPr>
                  </w:pPr>
                  <w:r w:rsidRPr="000F4FB5">
                    <w:rPr>
                      <w:b/>
                      <w:sz w:val="20"/>
                    </w:rPr>
                    <w:t>AMOUNT</w:t>
                  </w:r>
                </w:p>
              </w:tc>
            </w:tr>
            <w:tr w:rsidR="00086C25" w:rsidTr="00C1035B">
              <w:tc>
                <w:tcPr>
                  <w:tcW w:w="585" w:type="dxa"/>
                </w:tcPr>
                <w:p w:rsidR="00086C25" w:rsidRDefault="00086C25" w:rsidP="00C1035B">
                  <w:pPr>
                    <w:spacing w:line="276" w:lineRule="auto"/>
                    <w:jc w:val="center"/>
                    <w:rPr>
                      <w:sz w:val="22"/>
                      <w:szCs w:val="22"/>
                    </w:rPr>
                  </w:pPr>
                  <w:r>
                    <w:rPr>
                      <w:sz w:val="22"/>
                      <w:szCs w:val="22"/>
                    </w:rPr>
                    <w:t>1.</w:t>
                  </w:r>
                </w:p>
              </w:tc>
              <w:tc>
                <w:tcPr>
                  <w:tcW w:w="5220" w:type="dxa"/>
                </w:tcPr>
                <w:p w:rsidR="00086C25" w:rsidRDefault="00C0747F" w:rsidP="00C1035B">
                  <w:pPr>
                    <w:spacing w:line="276" w:lineRule="auto"/>
                    <w:rPr>
                      <w:sz w:val="22"/>
                      <w:szCs w:val="22"/>
                    </w:rPr>
                  </w:pPr>
                  <w:r>
                    <w:rPr>
                      <w:sz w:val="22"/>
                      <w:szCs w:val="22"/>
                    </w:rPr>
                    <w:t>J-U-B Engineering</w:t>
                  </w:r>
                  <w:r w:rsidR="00161C4B">
                    <w:rPr>
                      <w:sz w:val="22"/>
                      <w:szCs w:val="22"/>
                    </w:rPr>
                    <w:t>, Inc.</w:t>
                  </w:r>
                </w:p>
              </w:tc>
              <w:tc>
                <w:tcPr>
                  <w:tcW w:w="3780" w:type="dxa"/>
                </w:tcPr>
                <w:p w:rsidR="00086C25" w:rsidRPr="00A35011" w:rsidRDefault="00C0747F" w:rsidP="00C1035B">
                  <w:pPr>
                    <w:spacing w:line="276" w:lineRule="auto"/>
                    <w:rPr>
                      <w:sz w:val="22"/>
                      <w:szCs w:val="22"/>
                    </w:rPr>
                  </w:pPr>
                  <w:r>
                    <w:rPr>
                      <w:sz w:val="22"/>
                      <w:szCs w:val="22"/>
                    </w:rPr>
                    <w:t>$ 107,1</w:t>
                  </w:r>
                  <w:r w:rsidR="00161C4B">
                    <w:rPr>
                      <w:sz w:val="22"/>
                      <w:szCs w:val="22"/>
                    </w:rPr>
                    <w:t>00.00</w:t>
                  </w:r>
                </w:p>
              </w:tc>
            </w:tr>
          </w:tbl>
          <w:p w:rsidR="00086C25" w:rsidRPr="00930245" w:rsidRDefault="00086C25" w:rsidP="00C1035B">
            <w:pPr>
              <w:ind w:left="720"/>
              <w:rPr>
                <w:sz w:val="16"/>
                <w:szCs w:val="16"/>
              </w:rPr>
            </w:pPr>
          </w:p>
          <w:p w:rsidR="00086C25" w:rsidRPr="00D34449" w:rsidRDefault="00413C3B" w:rsidP="00161C4B">
            <w:pPr>
              <w:spacing w:line="360" w:lineRule="auto"/>
              <w:rPr>
                <w:sz w:val="22"/>
                <w:szCs w:val="22"/>
              </w:rPr>
            </w:pPr>
            <w:r>
              <w:rPr>
                <w:sz w:val="22"/>
                <w:szCs w:val="22"/>
              </w:rPr>
              <w:t>Dave Hansen</w:t>
            </w:r>
            <w:r w:rsidR="00161C4B">
              <w:rPr>
                <w:sz w:val="22"/>
                <w:szCs w:val="22"/>
              </w:rPr>
              <w:t>, Davis County Legacy Events Center</w:t>
            </w:r>
            <w:r>
              <w:rPr>
                <w:sz w:val="22"/>
                <w:szCs w:val="22"/>
              </w:rPr>
              <w:t xml:space="preserve"> Director</w:t>
            </w:r>
            <w:r w:rsidR="00B700B1">
              <w:rPr>
                <w:sz w:val="22"/>
                <w:szCs w:val="22"/>
              </w:rPr>
              <w:t>,</w:t>
            </w:r>
            <w:r w:rsidR="006772D8">
              <w:rPr>
                <w:sz w:val="22"/>
                <w:szCs w:val="22"/>
              </w:rPr>
              <w:t xml:space="preserve"> explained Phase 2 plans include</w:t>
            </w:r>
            <w:r w:rsidR="00B700B1">
              <w:rPr>
                <w:sz w:val="22"/>
                <w:szCs w:val="22"/>
              </w:rPr>
              <w:t xml:space="preserve"> </w:t>
            </w:r>
            <w:r w:rsidR="00FD008A">
              <w:rPr>
                <w:sz w:val="22"/>
                <w:szCs w:val="22"/>
              </w:rPr>
              <w:t>installation and improvements for soccer fields, RV</w:t>
            </w:r>
            <w:r w:rsidR="00FD008A" w:rsidRPr="00FD008A">
              <w:rPr>
                <w:sz w:val="22"/>
                <w:szCs w:val="22"/>
              </w:rPr>
              <w:t xml:space="preserve"> hookups, par</w:t>
            </w:r>
            <w:r w:rsidR="00FD008A">
              <w:rPr>
                <w:sz w:val="22"/>
                <w:szCs w:val="22"/>
              </w:rPr>
              <w:t>king lots, sidewalks, curb and gutter.</w:t>
            </w:r>
          </w:p>
        </w:tc>
      </w:tr>
      <w:tr w:rsidR="005A7804" w:rsidTr="00C1035B">
        <w:trPr>
          <w:tblCellSpacing w:w="50" w:type="dxa"/>
        </w:trPr>
        <w:tc>
          <w:tcPr>
            <w:tcW w:w="1380" w:type="dxa"/>
          </w:tcPr>
          <w:p w:rsidR="005A7804" w:rsidRPr="004774E6" w:rsidRDefault="005A7804" w:rsidP="00C1035B">
            <w:pPr>
              <w:rPr>
                <w:sz w:val="18"/>
                <w:szCs w:val="18"/>
              </w:rPr>
            </w:pPr>
          </w:p>
        </w:tc>
        <w:tc>
          <w:tcPr>
            <w:tcW w:w="9984" w:type="dxa"/>
          </w:tcPr>
          <w:p w:rsidR="005A7804" w:rsidRDefault="005A7804" w:rsidP="00C1035B">
            <w:pPr>
              <w:spacing w:line="360" w:lineRule="auto"/>
              <w:rPr>
                <w:sz w:val="22"/>
                <w:szCs w:val="22"/>
              </w:rPr>
            </w:pPr>
            <w:r>
              <w:rPr>
                <w:sz w:val="22"/>
                <w:szCs w:val="22"/>
              </w:rPr>
              <w:t xml:space="preserve">             Barry Burton, Davis County Planning Director, presented the following:</w:t>
            </w:r>
          </w:p>
        </w:tc>
      </w:tr>
      <w:tr w:rsidR="00161C4B" w:rsidTr="00C1035B">
        <w:trPr>
          <w:trHeight w:val="700"/>
          <w:tblCellSpacing w:w="50" w:type="dxa"/>
        </w:trPr>
        <w:tc>
          <w:tcPr>
            <w:tcW w:w="1380" w:type="dxa"/>
          </w:tcPr>
          <w:p w:rsidR="00161C4B" w:rsidRPr="004774E6" w:rsidRDefault="000545F4" w:rsidP="00C1035B">
            <w:pPr>
              <w:rPr>
                <w:sz w:val="18"/>
                <w:szCs w:val="18"/>
              </w:rPr>
            </w:pPr>
            <w:r>
              <w:rPr>
                <w:sz w:val="18"/>
                <w:szCs w:val="18"/>
              </w:rPr>
              <w:t>Contractors qualified for Davis County Kaysville Library bids</w:t>
            </w:r>
          </w:p>
        </w:tc>
        <w:tc>
          <w:tcPr>
            <w:tcW w:w="9984" w:type="dxa"/>
          </w:tcPr>
          <w:p w:rsidR="00C1642E" w:rsidRPr="00C1642E" w:rsidRDefault="008046C9" w:rsidP="00C1642E">
            <w:pPr>
              <w:spacing w:line="360" w:lineRule="auto"/>
              <w:rPr>
                <w:sz w:val="22"/>
                <w:szCs w:val="22"/>
              </w:rPr>
            </w:pPr>
            <w:r>
              <w:rPr>
                <w:sz w:val="22"/>
                <w:szCs w:val="22"/>
              </w:rPr>
              <w:t xml:space="preserve">     </w:t>
            </w:r>
            <w:r w:rsidR="00BF5444">
              <w:rPr>
                <w:sz w:val="22"/>
                <w:szCs w:val="22"/>
              </w:rPr>
              <w:t xml:space="preserve">        </w:t>
            </w:r>
            <w:r w:rsidR="00754D95">
              <w:rPr>
                <w:sz w:val="22"/>
                <w:szCs w:val="22"/>
              </w:rPr>
              <w:t xml:space="preserve">After reviewing </w:t>
            </w:r>
            <w:r w:rsidR="006772D8">
              <w:rPr>
                <w:sz w:val="22"/>
                <w:szCs w:val="22"/>
              </w:rPr>
              <w:t xml:space="preserve">the </w:t>
            </w:r>
            <w:r w:rsidR="006772D8" w:rsidRPr="006772D8">
              <w:rPr>
                <w:sz w:val="22"/>
                <w:szCs w:val="22"/>
              </w:rPr>
              <w:t>Contractor Prequal</w:t>
            </w:r>
            <w:r w:rsidR="006772D8">
              <w:rPr>
                <w:sz w:val="22"/>
                <w:szCs w:val="22"/>
              </w:rPr>
              <w:t>ification Request for Proposals</w:t>
            </w:r>
            <w:r w:rsidR="00C1642E" w:rsidRPr="00C1642E">
              <w:rPr>
                <w:sz w:val="22"/>
                <w:szCs w:val="22"/>
              </w:rPr>
              <w:t xml:space="preserve"> for the Davis County Kaysville Branch Library</w:t>
            </w:r>
            <w:r w:rsidR="006772D8">
              <w:t xml:space="preserve"> opened on </w:t>
            </w:r>
            <w:r w:rsidR="00754D95" w:rsidRPr="00754D95">
              <w:rPr>
                <w:sz w:val="22"/>
                <w:szCs w:val="22"/>
              </w:rPr>
              <w:t xml:space="preserve">February 18, </w:t>
            </w:r>
            <w:r w:rsidR="00754D95">
              <w:rPr>
                <w:sz w:val="22"/>
                <w:szCs w:val="22"/>
              </w:rPr>
              <w:t xml:space="preserve">2014 </w:t>
            </w:r>
            <w:r w:rsidR="006772D8">
              <w:rPr>
                <w:sz w:val="22"/>
                <w:szCs w:val="22"/>
              </w:rPr>
              <w:t xml:space="preserve">in the Davis County </w:t>
            </w:r>
            <w:r w:rsidR="00754D95">
              <w:rPr>
                <w:sz w:val="22"/>
                <w:szCs w:val="22"/>
              </w:rPr>
              <w:t>Commission Meeting</w:t>
            </w:r>
            <w:r w:rsidR="006772D8">
              <w:rPr>
                <w:sz w:val="22"/>
                <w:szCs w:val="22"/>
              </w:rPr>
              <w:t>,</w:t>
            </w:r>
            <w:r w:rsidR="00754D95">
              <w:rPr>
                <w:sz w:val="22"/>
                <w:szCs w:val="22"/>
              </w:rPr>
              <w:t xml:space="preserve"> </w:t>
            </w:r>
            <w:r w:rsidR="005A7804">
              <w:rPr>
                <w:sz w:val="22"/>
                <w:szCs w:val="22"/>
              </w:rPr>
              <w:t>each of the 16 contractors submitting proposals have qualified to s</w:t>
            </w:r>
            <w:r w:rsidR="00754D95">
              <w:rPr>
                <w:sz w:val="22"/>
                <w:szCs w:val="22"/>
              </w:rPr>
              <w:t>ubm</w:t>
            </w:r>
            <w:r w:rsidR="006772D8">
              <w:rPr>
                <w:sz w:val="22"/>
                <w:szCs w:val="22"/>
              </w:rPr>
              <w:t>it bid</w:t>
            </w:r>
            <w:r w:rsidR="00413C3B">
              <w:rPr>
                <w:sz w:val="22"/>
                <w:szCs w:val="22"/>
              </w:rPr>
              <w:t>s.  In the order opened, qualified contractors</w:t>
            </w:r>
            <w:r w:rsidR="00754D95">
              <w:rPr>
                <w:sz w:val="22"/>
                <w:szCs w:val="22"/>
              </w:rPr>
              <w:t xml:space="preserve"> are</w:t>
            </w:r>
            <w:r w:rsidR="005A7804">
              <w:rPr>
                <w:sz w:val="22"/>
                <w:szCs w:val="22"/>
              </w:rPr>
              <w:t xml:space="preserve">: </w:t>
            </w:r>
          </w:p>
          <w:p w:rsidR="00C1642E" w:rsidRPr="00C1642E" w:rsidRDefault="00C1642E" w:rsidP="00C1642E">
            <w:pPr>
              <w:rPr>
                <w:sz w:val="22"/>
                <w:szCs w:val="22"/>
              </w:rPr>
            </w:pPr>
            <w:r w:rsidRPr="00C1642E">
              <w:rPr>
                <w:sz w:val="22"/>
                <w:szCs w:val="22"/>
              </w:rPr>
              <w:t xml:space="preserve">  1.</w:t>
            </w:r>
            <w:r w:rsidRPr="00C1642E">
              <w:rPr>
                <w:sz w:val="22"/>
                <w:szCs w:val="22"/>
              </w:rPr>
              <w:tab/>
              <w:t>Hughes General Contractors</w:t>
            </w:r>
          </w:p>
          <w:p w:rsidR="00C1642E" w:rsidRPr="00C1642E" w:rsidRDefault="00C1642E" w:rsidP="00C1642E">
            <w:pPr>
              <w:rPr>
                <w:sz w:val="22"/>
                <w:szCs w:val="22"/>
              </w:rPr>
            </w:pPr>
            <w:r w:rsidRPr="00C1642E">
              <w:rPr>
                <w:sz w:val="22"/>
                <w:szCs w:val="22"/>
              </w:rPr>
              <w:t xml:space="preserve">  2.</w:t>
            </w:r>
            <w:r w:rsidRPr="00C1642E">
              <w:rPr>
                <w:sz w:val="22"/>
                <w:szCs w:val="22"/>
              </w:rPr>
              <w:tab/>
            </w:r>
            <w:proofErr w:type="spellStart"/>
            <w:r w:rsidRPr="00C1642E">
              <w:rPr>
                <w:sz w:val="22"/>
                <w:szCs w:val="22"/>
              </w:rPr>
              <w:t>Interwest</w:t>
            </w:r>
            <w:proofErr w:type="spellEnd"/>
            <w:r w:rsidRPr="00C1642E">
              <w:rPr>
                <w:sz w:val="22"/>
                <w:szCs w:val="22"/>
              </w:rPr>
              <w:t xml:space="preserve"> Construction</w:t>
            </w:r>
          </w:p>
          <w:p w:rsidR="00C1642E" w:rsidRPr="00C1642E" w:rsidRDefault="00C1642E" w:rsidP="00C1642E">
            <w:pPr>
              <w:rPr>
                <w:sz w:val="22"/>
                <w:szCs w:val="22"/>
              </w:rPr>
            </w:pPr>
            <w:r w:rsidRPr="00C1642E">
              <w:rPr>
                <w:sz w:val="22"/>
                <w:szCs w:val="22"/>
              </w:rPr>
              <w:t xml:space="preserve">  3.</w:t>
            </w:r>
            <w:r w:rsidRPr="00C1642E">
              <w:rPr>
                <w:sz w:val="22"/>
                <w:szCs w:val="22"/>
              </w:rPr>
              <w:tab/>
              <w:t>HHI Corporation</w:t>
            </w:r>
          </w:p>
          <w:p w:rsidR="00C1642E" w:rsidRPr="00C1642E" w:rsidRDefault="00C1642E" w:rsidP="00C1642E">
            <w:pPr>
              <w:rPr>
                <w:sz w:val="22"/>
                <w:szCs w:val="22"/>
              </w:rPr>
            </w:pPr>
            <w:r w:rsidRPr="00C1642E">
              <w:rPr>
                <w:sz w:val="22"/>
                <w:szCs w:val="22"/>
              </w:rPr>
              <w:t xml:space="preserve">  4.</w:t>
            </w:r>
            <w:r w:rsidRPr="00C1642E">
              <w:rPr>
                <w:sz w:val="22"/>
                <w:szCs w:val="22"/>
              </w:rPr>
              <w:tab/>
              <w:t>Hogan &amp; Associates Construction</w:t>
            </w:r>
          </w:p>
          <w:p w:rsidR="00C1642E" w:rsidRPr="00C1642E" w:rsidRDefault="005A7804" w:rsidP="00C1642E">
            <w:pPr>
              <w:rPr>
                <w:sz w:val="22"/>
                <w:szCs w:val="22"/>
              </w:rPr>
            </w:pPr>
            <w:r>
              <w:rPr>
                <w:sz w:val="22"/>
                <w:szCs w:val="22"/>
              </w:rPr>
              <w:t xml:space="preserve">  </w:t>
            </w:r>
            <w:r w:rsidR="00C1642E" w:rsidRPr="00C1642E">
              <w:rPr>
                <w:sz w:val="22"/>
                <w:szCs w:val="22"/>
              </w:rPr>
              <w:t>5.</w:t>
            </w:r>
            <w:r w:rsidR="00C1642E" w:rsidRPr="00C1642E">
              <w:rPr>
                <w:sz w:val="22"/>
                <w:szCs w:val="22"/>
              </w:rPr>
              <w:tab/>
            </w:r>
            <w:proofErr w:type="spellStart"/>
            <w:r w:rsidR="00C1642E" w:rsidRPr="00C1642E">
              <w:rPr>
                <w:sz w:val="22"/>
                <w:szCs w:val="22"/>
              </w:rPr>
              <w:t>Comtrol</w:t>
            </w:r>
            <w:proofErr w:type="spellEnd"/>
            <w:r w:rsidR="00C1642E" w:rsidRPr="00C1642E">
              <w:rPr>
                <w:sz w:val="22"/>
                <w:szCs w:val="22"/>
              </w:rPr>
              <w:t>, Inc.</w:t>
            </w:r>
          </w:p>
          <w:p w:rsidR="00C1642E" w:rsidRPr="00C1642E" w:rsidRDefault="005A7804" w:rsidP="00C1642E">
            <w:pPr>
              <w:rPr>
                <w:sz w:val="22"/>
                <w:szCs w:val="22"/>
              </w:rPr>
            </w:pPr>
            <w:r>
              <w:rPr>
                <w:sz w:val="22"/>
                <w:szCs w:val="22"/>
              </w:rPr>
              <w:t xml:space="preserve">  </w:t>
            </w:r>
            <w:r w:rsidR="00C1642E" w:rsidRPr="00C1642E">
              <w:rPr>
                <w:sz w:val="22"/>
                <w:szCs w:val="22"/>
              </w:rPr>
              <w:t>6.</w:t>
            </w:r>
            <w:r w:rsidR="00C1642E" w:rsidRPr="00C1642E">
              <w:rPr>
                <w:sz w:val="22"/>
                <w:szCs w:val="22"/>
              </w:rPr>
              <w:tab/>
              <w:t xml:space="preserve">Peck </w:t>
            </w:r>
            <w:proofErr w:type="spellStart"/>
            <w:r w:rsidR="00C1642E" w:rsidRPr="00C1642E">
              <w:rPr>
                <w:sz w:val="22"/>
                <w:szCs w:val="22"/>
              </w:rPr>
              <w:t>Ormsby</w:t>
            </w:r>
            <w:proofErr w:type="spellEnd"/>
            <w:r w:rsidR="00C1642E" w:rsidRPr="00C1642E">
              <w:rPr>
                <w:sz w:val="22"/>
                <w:szCs w:val="22"/>
              </w:rPr>
              <w:t xml:space="preserve"> Construction Company</w:t>
            </w:r>
          </w:p>
          <w:p w:rsidR="00C1642E" w:rsidRPr="00C1642E" w:rsidRDefault="005A7804" w:rsidP="00C1642E">
            <w:pPr>
              <w:rPr>
                <w:sz w:val="22"/>
                <w:szCs w:val="22"/>
              </w:rPr>
            </w:pPr>
            <w:r>
              <w:rPr>
                <w:sz w:val="22"/>
                <w:szCs w:val="22"/>
              </w:rPr>
              <w:t xml:space="preserve">  </w:t>
            </w:r>
            <w:r w:rsidR="00C1642E" w:rsidRPr="00C1642E">
              <w:rPr>
                <w:sz w:val="22"/>
                <w:szCs w:val="22"/>
              </w:rPr>
              <w:t>7.</w:t>
            </w:r>
            <w:r w:rsidR="00C1642E" w:rsidRPr="00C1642E">
              <w:rPr>
                <w:sz w:val="22"/>
                <w:szCs w:val="22"/>
              </w:rPr>
              <w:tab/>
            </w:r>
            <w:proofErr w:type="spellStart"/>
            <w:r w:rsidR="00C1642E" w:rsidRPr="00C1642E">
              <w:rPr>
                <w:sz w:val="22"/>
                <w:szCs w:val="22"/>
              </w:rPr>
              <w:t>Wadman</w:t>
            </w:r>
            <w:proofErr w:type="spellEnd"/>
            <w:r w:rsidR="00C1642E" w:rsidRPr="00C1642E">
              <w:rPr>
                <w:sz w:val="22"/>
                <w:szCs w:val="22"/>
              </w:rPr>
              <w:t xml:space="preserve"> Corporation</w:t>
            </w:r>
          </w:p>
          <w:p w:rsidR="00C1642E" w:rsidRPr="00C1642E" w:rsidRDefault="005A7804" w:rsidP="00C1642E">
            <w:pPr>
              <w:rPr>
                <w:sz w:val="22"/>
                <w:szCs w:val="22"/>
              </w:rPr>
            </w:pPr>
            <w:r>
              <w:rPr>
                <w:sz w:val="22"/>
                <w:szCs w:val="22"/>
              </w:rPr>
              <w:t xml:space="preserve">  </w:t>
            </w:r>
            <w:r w:rsidR="00C1642E" w:rsidRPr="00C1642E">
              <w:rPr>
                <w:sz w:val="22"/>
                <w:szCs w:val="22"/>
              </w:rPr>
              <w:t>8.</w:t>
            </w:r>
            <w:r w:rsidR="00C1642E" w:rsidRPr="00C1642E">
              <w:rPr>
                <w:sz w:val="22"/>
                <w:szCs w:val="22"/>
              </w:rPr>
              <w:tab/>
              <w:t>Saunders Construction, Inc.</w:t>
            </w:r>
          </w:p>
          <w:p w:rsidR="00C1642E" w:rsidRPr="00C1642E" w:rsidRDefault="005A7804" w:rsidP="00C1642E">
            <w:pPr>
              <w:rPr>
                <w:sz w:val="22"/>
                <w:szCs w:val="22"/>
              </w:rPr>
            </w:pPr>
            <w:r>
              <w:rPr>
                <w:sz w:val="22"/>
                <w:szCs w:val="22"/>
              </w:rPr>
              <w:t xml:space="preserve">  </w:t>
            </w:r>
            <w:r w:rsidR="00C1642E" w:rsidRPr="00C1642E">
              <w:rPr>
                <w:sz w:val="22"/>
                <w:szCs w:val="22"/>
              </w:rPr>
              <w:t>9.</w:t>
            </w:r>
            <w:r w:rsidR="00C1642E" w:rsidRPr="00C1642E">
              <w:rPr>
                <w:sz w:val="22"/>
                <w:szCs w:val="22"/>
              </w:rPr>
              <w:tab/>
              <w:t xml:space="preserve">Bud </w:t>
            </w:r>
            <w:proofErr w:type="spellStart"/>
            <w:r w:rsidR="00C1642E" w:rsidRPr="00C1642E">
              <w:rPr>
                <w:sz w:val="22"/>
                <w:szCs w:val="22"/>
              </w:rPr>
              <w:t>Mahas</w:t>
            </w:r>
            <w:proofErr w:type="spellEnd"/>
            <w:r w:rsidR="00C1642E" w:rsidRPr="00C1642E">
              <w:rPr>
                <w:sz w:val="22"/>
                <w:szCs w:val="22"/>
              </w:rPr>
              <w:t xml:space="preserve"> Construction Inc.</w:t>
            </w:r>
          </w:p>
          <w:p w:rsidR="00C1642E" w:rsidRPr="00C1642E" w:rsidRDefault="00C1642E" w:rsidP="00C1642E">
            <w:pPr>
              <w:rPr>
                <w:sz w:val="22"/>
                <w:szCs w:val="22"/>
              </w:rPr>
            </w:pPr>
            <w:r w:rsidRPr="00C1642E">
              <w:rPr>
                <w:sz w:val="22"/>
                <w:szCs w:val="22"/>
              </w:rPr>
              <w:t>10.</w:t>
            </w:r>
            <w:r w:rsidRPr="00C1642E">
              <w:rPr>
                <w:sz w:val="22"/>
                <w:szCs w:val="22"/>
              </w:rPr>
              <w:tab/>
              <w:t>CRC Construction, Inc.</w:t>
            </w:r>
          </w:p>
          <w:p w:rsidR="00C1642E" w:rsidRPr="00C1642E" w:rsidRDefault="00C1642E" w:rsidP="00C1642E">
            <w:pPr>
              <w:rPr>
                <w:sz w:val="22"/>
                <w:szCs w:val="22"/>
              </w:rPr>
            </w:pPr>
            <w:r w:rsidRPr="00C1642E">
              <w:rPr>
                <w:sz w:val="22"/>
                <w:szCs w:val="22"/>
              </w:rPr>
              <w:t>11.</w:t>
            </w:r>
            <w:r w:rsidRPr="00C1642E">
              <w:rPr>
                <w:sz w:val="22"/>
                <w:szCs w:val="22"/>
              </w:rPr>
              <w:tab/>
              <w:t>Valley Design &amp; Construction</w:t>
            </w:r>
          </w:p>
          <w:p w:rsidR="00C1642E" w:rsidRPr="00C1642E" w:rsidRDefault="00C1642E" w:rsidP="00C1642E">
            <w:pPr>
              <w:rPr>
                <w:sz w:val="22"/>
                <w:szCs w:val="22"/>
              </w:rPr>
            </w:pPr>
            <w:r w:rsidRPr="00C1642E">
              <w:rPr>
                <w:sz w:val="22"/>
                <w:szCs w:val="22"/>
              </w:rPr>
              <w:t>12.</w:t>
            </w:r>
            <w:r w:rsidRPr="00C1642E">
              <w:rPr>
                <w:sz w:val="22"/>
                <w:szCs w:val="22"/>
              </w:rPr>
              <w:tab/>
            </w:r>
            <w:proofErr w:type="spellStart"/>
            <w:r w:rsidRPr="00C1642E">
              <w:rPr>
                <w:sz w:val="22"/>
                <w:szCs w:val="22"/>
              </w:rPr>
              <w:t>Lundahl</w:t>
            </w:r>
            <w:proofErr w:type="spellEnd"/>
            <w:r w:rsidRPr="00C1642E">
              <w:rPr>
                <w:sz w:val="22"/>
                <w:szCs w:val="22"/>
              </w:rPr>
              <w:t xml:space="preserve"> Building</w:t>
            </w:r>
            <w:r w:rsidR="00C0747F">
              <w:rPr>
                <w:sz w:val="22"/>
                <w:szCs w:val="22"/>
              </w:rPr>
              <w:t xml:space="preserve"> Systems</w:t>
            </w:r>
          </w:p>
          <w:p w:rsidR="00C1642E" w:rsidRPr="00C1642E" w:rsidRDefault="00C1642E" w:rsidP="00C1642E">
            <w:pPr>
              <w:rPr>
                <w:sz w:val="22"/>
                <w:szCs w:val="22"/>
              </w:rPr>
            </w:pPr>
            <w:r w:rsidRPr="00C1642E">
              <w:rPr>
                <w:sz w:val="22"/>
                <w:szCs w:val="22"/>
              </w:rPr>
              <w:t>13.</w:t>
            </w:r>
            <w:r w:rsidRPr="00C1642E">
              <w:rPr>
                <w:sz w:val="22"/>
                <w:szCs w:val="22"/>
              </w:rPr>
              <w:tab/>
            </w:r>
            <w:proofErr w:type="spellStart"/>
            <w:r w:rsidRPr="00C1642E">
              <w:rPr>
                <w:sz w:val="22"/>
                <w:szCs w:val="22"/>
              </w:rPr>
              <w:t>Zwick</w:t>
            </w:r>
            <w:proofErr w:type="spellEnd"/>
            <w:r w:rsidRPr="00C1642E">
              <w:rPr>
                <w:sz w:val="22"/>
                <w:szCs w:val="22"/>
              </w:rPr>
              <w:t xml:space="preserve"> Construction</w:t>
            </w:r>
          </w:p>
          <w:p w:rsidR="00C1642E" w:rsidRPr="00C1642E" w:rsidRDefault="00C1642E" w:rsidP="00C1642E">
            <w:pPr>
              <w:rPr>
                <w:sz w:val="22"/>
                <w:szCs w:val="22"/>
              </w:rPr>
            </w:pPr>
            <w:r w:rsidRPr="00C1642E">
              <w:rPr>
                <w:sz w:val="22"/>
                <w:szCs w:val="22"/>
              </w:rPr>
              <w:t>14.</w:t>
            </w:r>
            <w:r w:rsidRPr="00C1642E">
              <w:rPr>
                <w:sz w:val="22"/>
                <w:szCs w:val="22"/>
              </w:rPr>
              <w:tab/>
              <w:t>Big-D Construction</w:t>
            </w:r>
          </w:p>
          <w:p w:rsidR="00C1642E" w:rsidRPr="00C1642E" w:rsidRDefault="00C1642E" w:rsidP="00C1642E">
            <w:pPr>
              <w:rPr>
                <w:sz w:val="22"/>
                <w:szCs w:val="22"/>
              </w:rPr>
            </w:pPr>
            <w:r w:rsidRPr="00C1642E">
              <w:rPr>
                <w:sz w:val="22"/>
                <w:szCs w:val="22"/>
              </w:rPr>
              <w:t>15.</w:t>
            </w:r>
            <w:r w:rsidRPr="00C1642E">
              <w:rPr>
                <w:sz w:val="22"/>
                <w:szCs w:val="22"/>
              </w:rPr>
              <w:tab/>
              <w:t>Ascent Construction</w:t>
            </w:r>
          </w:p>
          <w:p w:rsidR="00754D95" w:rsidRDefault="00C1642E" w:rsidP="00754D95">
            <w:pPr>
              <w:spacing w:line="360" w:lineRule="auto"/>
              <w:rPr>
                <w:sz w:val="22"/>
                <w:szCs w:val="22"/>
              </w:rPr>
            </w:pPr>
            <w:r w:rsidRPr="00C1642E">
              <w:rPr>
                <w:sz w:val="22"/>
                <w:szCs w:val="22"/>
              </w:rPr>
              <w:t>16.</w:t>
            </w:r>
            <w:r w:rsidRPr="00C1642E">
              <w:rPr>
                <w:sz w:val="22"/>
                <w:szCs w:val="22"/>
              </w:rPr>
              <w:tab/>
              <w:t>R&amp;O Construction</w:t>
            </w:r>
          </w:p>
          <w:p w:rsidR="00161C4B" w:rsidRPr="00930245" w:rsidRDefault="00754D95" w:rsidP="00754D95">
            <w:pPr>
              <w:spacing w:line="360" w:lineRule="auto"/>
              <w:rPr>
                <w:sz w:val="22"/>
                <w:szCs w:val="22"/>
              </w:rPr>
            </w:pPr>
            <w:r>
              <w:rPr>
                <w:sz w:val="22"/>
                <w:szCs w:val="22"/>
              </w:rPr>
              <w:t>Barry explained t</w:t>
            </w:r>
            <w:r w:rsidR="005A7804">
              <w:rPr>
                <w:sz w:val="22"/>
                <w:szCs w:val="22"/>
              </w:rPr>
              <w:t xml:space="preserve">here are three areas that qualify bids: 1) </w:t>
            </w:r>
            <w:r w:rsidR="009D4380">
              <w:rPr>
                <w:sz w:val="22"/>
                <w:szCs w:val="22"/>
              </w:rPr>
              <w:t>safety p</w:t>
            </w:r>
            <w:r w:rsidR="005A7804">
              <w:rPr>
                <w:sz w:val="22"/>
                <w:szCs w:val="22"/>
              </w:rPr>
              <w:t>erformance records</w:t>
            </w:r>
            <w:r w:rsidR="009D4380">
              <w:rPr>
                <w:sz w:val="22"/>
                <w:szCs w:val="22"/>
              </w:rPr>
              <w:t>, i.e., OSHA violati</w:t>
            </w:r>
            <w:r w:rsidR="006772D8">
              <w:rPr>
                <w:sz w:val="22"/>
                <w:szCs w:val="22"/>
              </w:rPr>
              <w:t>ons; 2) cost overrun issues</w:t>
            </w:r>
            <w:r w:rsidR="009D4380">
              <w:rPr>
                <w:sz w:val="22"/>
                <w:szCs w:val="22"/>
              </w:rPr>
              <w:t xml:space="preserve">; 3) references.  </w:t>
            </w:r>
          </w:p>
        </w:tc>
      </w:tr>
      <w:tr w:rsidR="00161C4B" w:rsidTr="00C1035B">
        <w:trPr>
          <w:trHeight w:val="700"/>
          <w:tblCellSpacing w:w="50" w:type="dxa"/>
        </w:trPr>
        <w:tc>
          <w:tcPr>
            <w:tcW w:w="1380" w:type="dxa"/>
          </w:tcPr>
          <w:p w:rsidR="00161C4B" w:rsidRPr="004774E6" w:rsidRDefault="000545F4" w:rsidP="00C1035B">
            <w:pPr>
              <w:rPr>
                <w:sz w:val="18"/>
                <w:szCs w:val="18"/>
              </w:rPr>
            </w:pPr>
            <w:r>
              <w:rPr>
                <w:sz w:val="18"/>
                <w:szCs w:val="18"/>
              </w:rPr>
              <w:t>Third Annual Davis County Photography Exhibit and Photographer’s Reception</w:t>
            </w:r>
          </w:p>
        </w:tc>
        <w:tc>
          <w:tcPr>
            <w:tcW w:w="9984" w:type="dxa"/>
          </w:tcPr>
          <w:p w:rsidR="00161C4B" w:rsidRDefault="008046C9" w:rsidP="006772D8">
            <w:pPr>
              <w:spacing w:line="360" w:lineRule="auto"/>
              <w:rPr>
                <w:sz w:val="22"/>
                <w:szCs w:val="22"/>
              </w:rPr>
            </w:pPr>
            <w:r>
              <w:rPr>
                <w:sz w:val="22"/>
                <w:szCs w:val="22"/>
              </w:rPr>
              <w:t xml:space="preserve">     </w:t>
            </w:r>
            <w:r w:rsidR="00BF5444">
              <w:rPr>
                <w:sz w:val="22"/>
                <w:szCs w:val="22"/>
              </w:rPr>
              <w:t xml:space="preserve">      </w:t>
            </w:r>
            <w:r w:rsidR="006772D8">
              <w:rPr>
                <w:sz w:val="22"/>
                <w:szCs w:val="22"/>
              </w:rPr>
              <w:t>“Davis County S</w:t>
            </w:r>
            <w:r w:rsidR="006772D8" w:rsidRPr="006772D8">
              <w:rPr>
                <w:sz w:val="22"/>
                <w:szCs w:val="22"/>
              </w:rPr>
              <w:t xml:space="preserve">ince 2000” </w:t>
            </w:r>
            <w:r w:rsidR="006772D8">
              <w:rPr>
                <w:sz w:val="22"/>
                <w:szCs w:val="22"/>
              </w:rPr>
              <w:t xml:space="preserve">is the theme of the </w:t>
            </w:r>
            <w:r w:rsidR="00161C4B">
              <w:rPr>
                <w:sz w:val="22"/>
                <w:szCs w:val="22"/>
              </w:rPr>
              <w:t>Third Annual Davis County Photography Exhibit</w:t>
            </w:r>
            <w:r w:rsidR="006772D8">
              <w:rPr>
                <w:sz w:val="22"/>
                <w:szCs w:val="22"/>
              </w:rPr>
              <w:t xml:space="preserve">.  </w:t>
            </w:r>
            <w:r w:rsidR="006772D8" w:rsidRPr="006772D8">
              <w:rPr>
                <w:sz w:val="22"/>
                <w:szCs w:val="22"/>
              </w:rPr>
              <w:t>The Davis Count</w:t>
            </w:r>
            <w:r w:rsidR="006772D8">
              <w:rPr>
                <w:sz w:val="22"/>
                <w:szCs w:val="22"/>
              </w:rPr>
              <w:t xml:space="preserve">y Art Committee will host </w:t>
            </w:r>
            <w:r w:rsidR="001C2262">
              <w:rPr>
                <w:sz w:val="22"/>
                <w:szCs w:val="22"/>
              </w:rPr>
              <w:t>a Photograph</w:t>
            </w:r>
            <w:r w:rsidR="006772D8">
              <w:rPr>
                <w:sz w:val="22"/>
                <w:szCs w:val="22"/>
              </w:rPr>
              <w:t>er’s Reception on March 21</w:t>
            </w:r>
            <w:r w:rsidR="001C2262">
              <w:rPr>
                <w:sz w:val="22"/>
                <w:szCs w:val="22"/>
              </w:rPr>
              <w:t xml:space="preserve"> at 7 p.m. in the Administr</w:t>
            </w:r>
            <w:r w:rsidR="006772D8">
              <w:rPr>
                <w:sz w:val="22"/>
                <w:szCs w:val="22"/>
              </w:rPr>
              <w:t>ation Building, 61 South Main, r</w:t>
            </w:r>
            <w:r w:rsidR="001C2262">
              <w:rPr>
                <w:sz w:val="22"/>
                <w:szCs w:val="22"/>
              </w:rPr>
              <w:t xml:space="preserve">oom 131 in Farmington.  </w:t>
            </w:r>
            <w:r w:rsidR="006772D8">
              <w:rPr>
                <w:sz w:val="22"/>
                <w:szCs w:val="22"/>
              </w:rPr>
              <w:t xml:space="preserve">Entries </w:t>
            </w:r>
            <w:r w:rsidR="00FD008A" w:rsidRPr="00FD008A">
              <w:rPr>
                <w:sz w:val="22"/>
                <w:szCs w:val="22"/>
              </w:rPr>
              <w:t xml:space="preserve">will </w:t>
            </w:r>
            <w:r w:rsidR="00FD008A">
              <w:rPr>
                <w:sz w:val="22"/>
                <w:szCs w:val="22"/>
              </w:rPr>
              <w:t xml:space="preserve">be </w:t>
            </w:r>
            <w:r w:rsidR="006772D8">
              <w:rPr>
                <w:sz w:val="22"/>
                <w:szCs w:val="22"/>
              </w:rPr>
              <w:t xml:space="preserve">on exhibit </w:t>
            </w:r>
            <w:r w:rsidR="00FD008A" w:rsidRPr="00FD008A">
              <w:rPr>
                <w:sz w:val="22"/>
                <w:szCs w:val="22"/>
              </w:rPr>
              <w:t>March 21 – Sept</w:t>
            </w:r>
            <w:r w:rsidR="00FD008A">
              <w:rPr>
                <w:sz w:val="22"/>
                <w:szCs w:val="22"/>
              </w:rPr>
              <w:t>ember 3, 2014</w:t>
            </w:r>
            <w:r w:rsidR="006772D8">
              <w:rPr>
                <w:sz w:val="22"/>
                <w:szCs w:val="22"/>
              </w:rPr>
              <w:t xml:space="preserve"> on the second floor of the Administration Building</w:t>
            </w:r>
            <w:r w:rsidR="00FD008A" w:rsidRPr="00FD008A">
              <w:rPr>
                <w:sz w:val="22"/>
                <w:szCs w:val="22"/>
              </w:rPr>
              <w:t>.</w:t>
            </w:r>
            <w:r w:rsidR="00FD008A">
              <w:rPr>
                <w:sz w:val="22"/>
                <w:szCs w:val="22"/>
              </w:rPr>
              <w:t xml:space="preserve">  </w:t>
            </w:r>
            <w:r w:rsidR="006772D8">
              <w:rPr>
                <w:sz w:val="22"/>
                <w:szCs w:val="22"/>
              </w:rPr>
              <w:t>Three categories of exhibits include</w:t>
            </w:r>
            <w:r w:rsidR="001C2262">
              <w:rPr>
                <w:sz w:val="22"/>
                <w:szCs w:val="22"/>
              </w:rPr>
              <w:t xml:space="preserve"> youth up to age 17, amateur, and professional.</w:t>
            </w:r>
            <w:r w:rsidR="00D17CF3">
              <w:rPr>
                <w:sz w:val="22"/>
                <w:szCs w:val="22"/>
              </w:rPr>
              <w:t xml:space="preserve"> </w:t>
            </w:r>
            <w:r w:rsidR="006772D8">
              <w:rPr>
                <w:sz w:val="22"/>
                <w:szCs w:val="22"/>
              </w:rPr>
              <w:t xml:space="preserve"> </w:t>
            </w:r>
            <w:r w:rsidR="00D17CF3">
              <w:rPr>
                <w:sz w:val="22"/>
                <w:szCs w:val="22"/>
              </w:rPr>
              <w:t xml:space="preserve"> </w:t>
            </w:r>
            <w:r w:rsidR="006772D8" w:rsidRPr="006772D8">
              <w:rPr>
                <w:sz w:val="22"/>
                <w:szCs w:val="22"/>
              </w:rPr>
              <w:t xml:space="preserve">Entries are due March 17-19 and will be judged </w:t>
            </w:r>
            <w:r w:rsidR="006772D8">
              <w:rPr>
                <w:sz w:val="22"/>
                <w:szCs w:val="22"/>
              </w:rPr>
              <w:t xml:space="preserve">by professional photographers.  </w:t>
            </w:r>
            <w:r w:rsidR="006772D8" w:rsidRPr="006772D8">
              <w:rPr>
                <w:sz w:val="22"/>
                <w:szCs w:val="22"/>
              </w:rPr>
              <w:t xml:space="preserve">Information for entries has been disseminated through photography clubs, the County fair photography contact list, the Ogden Camera Club, and school district photography classes.  </w:t>
            </w:r>
          </w:p>
        </w:tc>
      </w:tr>
      <w:tr w:rsidR="00086C25" w:rsidTr="00C1035B">
        <w:trPr>
          <w:tblCellSpacing w:w="50" w:type="dxa"/>
        </w:trPr>
        <w:tc>
          <w:tcPr>
            <w:tcW w:w="1380" w:type="dxa"/>
          </w:tcPr>
          <w:p w:rsidR="00086C25" w:rsidRPr="004774E6" w:rsidRDefault="000545F4" w:rsidP="00C1035B">
            <w:pPr>
              <w:rPr>
                <w:sz w:val="18"/>
                <w:szCs w:val="18"/>
              </w:rPr>
            </w:pPr>
            <w:r>
              <w:rPr>
                <w:sz w:val="18"/>
                <w:szCs w:val="18"/>
              </w:rPr>
              <w:t xml:space="preserve">Agreement #2014-71 State of Utah Library Division for Community  Library </w:t>
            </w:r>
            <w:r>
              <w:rPr>
                <w:sz w:val="18"/>
                <w:szCs w:val="18"/>
              </w:rPr>
              <w:lastRenderedPageBreak/>
              <w:t>Enhancements Funds (CLEF) with budget change</w:t>
            </w:r>
          </w:p>
        </w:tc>
        <w:tc>
          <w:tcPr>
            <w:tcW w:w="9984" w:type="dxa"/>
          </w:tcPr>
          <w:p w:rsidR="00BF5444" w:rsidRDefault="00161C4B" w:rsidP="00C1035B">
            <w:pPr>
              <w:spacing w:line="360" w:lineRule="auto"/>
              <w:rPr>
                <w:sz w:val="22"/>
                <w:szCs w:val="22"/>
              </w:rPr>
            </w:pPr>
            <w:r>
              <w:rPr>
                <w:sz w:val="22"/>
                <w:szCs w:val="22"/>
              </w:rPr>
              <w:lastRenderedPageBreak/>
              <w:t xml:space="preserve">            Jerry Meyer, Davis County Assista</w:t>
            </w:r>
            <w:r w:rsidR="00724D17">
              <w:rPr>
                <w:sz w:val="22"/>
                <w:szCs w:val="22"/>
              </w:rPr>
              <w:t>nt Library Director, presented a</w:t>
            </w:r>
            <w:r>
              <w:rPr>
                <w:sz w:val="22"/>
                <w:szCs w:val="22"/>
              </w:rPr>
              <w:t>greement</w:t>
            </w:r>
            <w:r w:rsidR="00724D17">
              <w:rPr>
                <w:sz w:val="22"/>
                <w:szCs w:val="22"/>
              </w:rPr>
              <w:t xml:space="preserve"> #2014-71 with the </w:t>
            </w:r>
            <w:r w:rsidR="008046C9">
              <w:rPr>
                <w:sz w:val="22"/>
                <w:szCs w:val="22"/>
              </w:rPr>
              <w:t>State of Utah Library Division for</w:t>
            </w:r>
            <w:r w:rsidR="00724D17">
              <w:rPr>
                <w:sz w:val="22"/>
                <w:szCs w:val="22"/>
              </w:rPr>
              <w:t xml:space="preserve"> Community Library Enhancements</w:t>
            </w:r>
            <w:r w:rsidR="00B2514C">
              <w:rPr>
                <w:sz w:val="22"/>
                <w:szCs w:val="22"/>
              </w:rPr>
              <w:t xml:space="preserve"> Funds (CLEF)</w:t>
            </w:r>
            <w:r w:rsidR="00724D17">
              <w:rPr>
                <w:sz w:val="22"/>
                <w:szCs w:val="22"/>
              </w:rPr>
              <w:t xml:space="preserve">.  </w:t>
            </w:r>
            <w:r w:rsidR="00B2514C">
              <w:rPr>
                <w:sz w:val="22"/>
                <w:szCs w:val="22"/>
              </w:rPr>
              <w:t xml:space="preserve">CLEF funds will be used for 1) collection development; 2) technology that directly affects the public; 3) community outreach.  </w:t>
            </w:r>
            <w:r w:rsidR="00724D17">
              <w:rPr>
                <w:sz w:val="22"/>
                <w:szCs w:val="22"/>
              </w:rPr>
              <w:t xml:space="preserve">Receivable </w:t>
            </w:r>
            <w:r w:rsidR="00724D17">
              <w:rPr>
                <w:sz w:val="22"/>
                <w:szCs w:val="22"/>
              </w:rPr>
              <w:lastRenderedPageBreak/>
              <w:t xml:space="preserve">amount is $38,326.00.  Contract period is July 1, 2013 – June 30, 2014.  </w:t>
            </w:r>
          </w:p>
          <w:p w:rsidR="00BF5444" w:rsidRDefault="00BF5444" w:rsidP="00BF5444">
            <w:pPr>
              <w:spacing w:line="360" w:lineRule="auto"/>
              <w:jc w:val="center"/>
              <w:rPr>
                <w:sz w:val="22"/>
                <w:szCs w:val="22"/>
              </w:rPr>
            </w:pPr>
            <w:r>
              <w:rPr>
                <w:noProof/>
                <w:sz w:val="22"/>
                <w:szCs w:val="22"/>
              </w:rPr>
              <w:drawing>
                <wp:inline distT="0" distB="0" distL="0" distR="0">
                  <wp:extent cx="4552951" cy="40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3241" cy="404463"/>
                          </a:xfrm>
                          <a:prstGeom prst="rect">
                            <a:avLst/>
                          </a:prstGeom>
                          <a:noFill/>
                          <a:ln>
                            <a:noFill/>
                          </a:ln>
                        </pic:spPr>
                      </pic:pic>
                    </a:graphicData>
                  </a:graphic>
                </wp:inline>
              </w:drawing>
            </w:r>
          </w:p>
          <w:p w:rsidR="00086C25" w:rsidRPr="00D34449" w:rsidRDefault="00724D17" w:rsidP="00C1035B">
            <w:pPr>
              <w:spacing w:line="360" w:lineRule="auto"/>
              <w:rPr>
                <w:sz w:val="22"/>
                <w:szCs w:val="22"/>
              </w:rPr>
            </w:pPr>
            <w:r w:rsidRPr="00724D17">
              <w:rPr>
                <w:sz w:val="22"/>
                <w:szCs w:val="22"/>
              </w:rPr>
              <w:t>Commissioner Millburn made a motion to approve</w:t>
            </w:r>
            <w:r w:rsidR="00387146">
              <w:rPr>
                <w:sz w:val="22"/>
                <w:szCs w:val="22"/>
              </w:rPr>
              <w:t xml:space="preserve"> with budget change</w:t>
            </w:r>
            <w:r w:rsidRPr="00724D17">
              <w:rPr>
                <w:sz w:val="22"/>
                <w:szCs w:val="22"/>
              </w:rPr>
              <w:t>.  Commissioner Petroff seconded the motion.  All voted aye.  The document is on file in the office of the Davis County Clerk/Auditor.</w:t>
            </w:r>
            <w:r>
              <w:rPr>
                <w:sz w:val="22"/>
                <w:szCs w:val="22"/>
              </w:rPr>
              <w:t xml:space="preserve"> </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724D17">
            <w:pPr>
              <w:spacing w:line="360" w:lineRule="auto"/>
              <w:rPr>
                <w:sz w:val="22"/>
                <w:szCs w:val="22"/>
              </w:rPr>
            </w:pPr>
            <w:r>
              <w:rPr>
                <w:sz w:val="22"/>
                <w:szCs w:val="22"/>
              </w:rPr>
              <w:t xml:space="preserve">             </w:t>
            </w:r>
            <w:r w:rsidR="00724D17">
              <w:rPr>
                <w:sz w:val="22"/>
                <w:szCs w:val="22"/>
              </w:rPr>
              <w:t>Robin Kruger</w:t>
            </w:r>
            <w:r>
              <w:rPr>
                <w:sz w:val="22"/>
                <w:szCs w:val="22"/>
              </w:rPr>
              <w:t xml:space="preserve">, </w:t>
            </w:r>
            <w:r w:rsidR="00724D17">
              <w:rPr>
                <w:sz w:val="22"/>
                <w:szCs w:val="22"/>
              </w:rPr>
              <w:t>Davis County Payroll Benefits Coordinator</w:t>
            </w:r>
            <w:r>
              <w:rPr>
                <w:sz w:val="22"/>
                <w:szCs w:val="22"/>
              </w:rPr>
              <w:t xml:space="preserve">, presented </w:t>
            </w:r>
            <w:r w:rsidR="00724D17">
              <w:rPr>
                <w:sz w:val="22"/>
                <w:szCs w:val="22"/>
              </w:rPr>
              <w:t>the following:</w:t>
            </w:r>
          </w:p>
        </w:tc>
      </w:tr>
      <w:tr w:rsidR="00724D17" w:rsidTr="00C1035B">
        <w:trPr>
          <w:tblCellSpacing w:w="50" w:type="dxa"/>
        </w:trPr>
        <w:tc>
          <w:tcPr>
            <w:tcW w:w="1380" w:type="dxa"/>
          </w:tcPr>
          <w:p w:rsidR="00724D17" w:rsidRPr="004774E6" w:rsidRDefault="000545F4" w:rsidP="00C1035B">
            <w:pPr>
              <w:rPr>
                <w:sz w:val="18"/>
                <w:szCs w:val="18"/>
              </w:rPr>
            </w:pPr>
            <w:r>
              <w:rPr>
                <w:sz w:val="18"/>
                <w:szCs w:val="18"/>
              </w:rPr>
              <w:t>Amendment #2008-</w:t>
            </w:r>
            <w:r w:rsidR="00A832BD">
              <w:rPr>
                <w:sz w:val="18"/>
                <w:szCs w:val="18"/>
              </w:rPr>
              <w:t>168-A National Benefit Services allow up to $500 rollover in 125 accounts</w:t>
            </w:r>
          </w:p>
        </w:tc>
        <w:tc>
          <w:tcPr>
            <w:tcW w:w="9984" w:type="dxa"/>
          </w:tcPr>
          <w:p w:rsidR="00724D17" w:rsidRDefault="00FC6EEB" w:rsidP="00724D17">
            <w:pPr>
              <w:spacing w:line="360" w:lineRule="auto"/>
              <w:rPr>
                <w:sz w:val="22"/>
                <w:szCs w:val="22"/>
              </w:rPr>
            </w:pPr>
            <w:r>
              <w:rPr>
                <w:sz w:val="22"/>
                <w:szCs w:val="22"/>
              </w:rPr>
              <w:t xml:space="preserve">    </w:t>
            </w:r>
            <w:r w:rsidR="005525B4">
              <w:rPr>
                <w:sz w:val="22"/>
                <w:szCs w:val="22"/>
              </w:rPr>
              <w:t xml:space="preserve">  </w:t>
            </w:r>
            <w:r w:rsidR="00BF5444">
              <w:rPr>
                <w:sz w:val="22"/>
                <w:szCs w:val="22"/>
              </w:rPr>
              <w:t xml:space="preserve">       </w:t>
            </w:r>
            <w:r>
              <w:rPr>
                <w:sz w:val="22"/>
                <w:szCs w:val="22"/>
              </w:rPr>
              <w:t xml:space="preserve">Amendment #2008-168A with National Benefit Services to allow </w:t>
            </w:r>
            <w:r w:rsidR="00387146">
              <w:rPr>
                <w:sz w:val="22"/>
                <w:szCs w:val="22"/>
              </w:rPr>
              <w:t xml:space="preserve">employees to roll over </w:t>
            </w:r>
            <w:r>
              <w:rPr>
                <w:sz w:val="22"/>
                <w:szCs w:val="22"/>
              </w:rPr>
              <w:t>up to $500</w:t>
            </w:r>
            <w:r w:rsidR="00387146">
              <w:rPr>
                <w:sz w:val="22"/>
                <w:szCs w:val="22"/>
              </w:rPr>
              <w:t>.00 in their unspent 125 spending accounts from one plan year to the next</w:t>
            </w:r>
            <w:r>
              <w:rPr>
                <w:sz w:val="22"/>
                <w:szCs w:val="22"/>
              </w:rPr>
              <w:t>.  There is no contract amount.  Contract period is</w:t>
            </w:r>
            <w:r w:rsidR="002409B8">
              <w:rPr>
                <w:sz w:val="22"/>
                <w:szCs w:val="22"/>
              </w:rPr>
              <w:t xml:space="preserve"> July 1, 2014 – June 30, 2015.  </w:t>
            </w:r>
            <w:r w:rsidRPr="00FC6EEB">
              <w:rPr>
                <w:sz w:val="22"/>
                <w:szCs w:val="22"/>
              </w:rPr>
              <w:t>Commissioner Millburn made a motion to approve.  Commissioner Petroff seconded the motion.  All voted aye.  The document is on file in the office of the Davis County Clerk/Auditor.</w:t>
            </w:r>
          </w:p>
        </w:tc>
      </w:tr>
      <w:tr w:rsidR="00FC6EEB" w:rsidTr="00C1035B">
        <w:trPr>
          <w:tblCellSpacing w:w="50" w:type="dxa"/>
        </w:trPr>
        <w:tc>
          <w:tcPr>
            <w:tcW w:w="1380" w:type="dxa"/>
          </w:tcPr>
          <w:p w:rsidR="00FC6EEB" w:rsidRPr="004774E6" w:rsidRDefault="00A832BD" w:rsidP="00C1035B">
            <w:pPr>
              <w:rPr>
                <w:sz w:val="18"/>
                <w:szCs w:val="18"/>
              </w:rPr>
            </w:pPr>
            <w:r>
              <w:rPr>
                <w:sz w:val="18"/>
                <w:szCs w:val="18"/>
              </w:rPr>
              <w:t>Resolution #2008-168B to approve and adopt Amendment #2008-168A</w:t>
            </w:r>
          </w:p>
        </w:tc>
        <w:tc>
          <w:tcPr>
            <w:tcW w:w="9984" w:type="dxa"/>
          </w:tcPr>
          <w:p w:rsidR="00FC6EEB" w:rsidRDefault="00FC6EEB" w:rsidP="00724D17">
            <w:pPr>
              <w:spacing w:line="360" w:lineRule="auto"/>
              <w:rPr>
                <w:sz w:val="22"/>
                <w:szCs w:val="22"/>
              </w:rPr>
            </w:pPr>
            <w:r>
              <w:rPr>
                <w:sz w:val="22"/>
                <w:szCs w:val="22"/>
              </w:rPr>
              <w:t xml:space="preserve">    </w:t>
            </w:r>
            <w:r w:rsidR="005525B4">
              <w:rPr>
                <w:sz w:val="22"/>
                <w:szCs w:val="22"/>
              </w:rPr>
              <w:t xml:space="preserve"> </w:t>
            </w:r>
            <w:r w:rsidR="00BF5444">
              <w:rPr>
                <w:sz w:val="22"/>
                <w:szCs w:val="22"/>
              </w:rPr>
              <w:t xml:space="preserve">       </w:t>
            </w:r>
            <w:r w:rsidR="005525B4">
              <w:rPr>
                <w:sz w:val="22"/>
                <w:szCs w:val="22"/>
              </w:rPr>
              <w:t xml:space="preserve"> </w:t>
            </w:r>
            <w:r>
              <w:rPr>
                <w:sz w:val="22"/>
                <w:szCs w:val="22"/>
              </w:rPr>
              <w:t xml:space="preserve">Resolution #2008-168B to approve and adopt amendment #2008-168A </w:t>
            </w:r>
            <w:r w:rsidR="00387146">
              <w:rPr>
                <w:sz w:val="22"/>
                <w:szCs w:val="22"/>
              </w:rPr>
              <w:t xml:space="preserve">with National Benefit Services </w:t>
            </w:r>
            <w:r>
              <w:rPr>
                <w:sz w:val="22"/>
                <w:szCs w:val="22"/>
              </w:rPr>
              <w:t xml:space="preserve">to execute and deliver the amendment to the Plan Administrator.  </w:t>
            </w:r>
            <w:r w:rsidRPr="00FC6EEB">
              <w:rPr>
                <w:sz w:val="22"/>
                <w:szCs w:val="22"/>
              </w:rPr>
              <w:t>Commissioner Millburn made a motion to approve.  Commissioner Petroff seconded the motion.  All voted aye.  The document is on file in the office of the Davis County Clerk/Auditor.</w:t>
            </w:r>
          </w:p>
        </w:tc>
      </w:tr>
      <w:tr w:rsidR="00086C25" w:rsidTr="00C1035B">
        <w:trPr>
          <w:tblCellSpacing w:w="50" w:type="dxa"/>
        </w:trPr>
        <w:tc>
          <w:tcPr>
            <w:tcW w:w="1380" w:type="dxa"/>
          </w:tcPr>
          <w:p w:rsidR="00086C25" w:rsidRPr="004774E6" w:rsidRDefault="00A832BD" w:rsidP="00C1035B">
            <w:pPr>
              <w:rPr>
                <w:sz w:val="18"/>
                <w:szCs w:val="18"/>
              </w:rPr>
            </w:pPr>
            <w:r>
              <w:rPr>
                <w:sz w:val="18"/>
                <w:szCs w:val="18"/>
              </w:rPr>
              <w:t>Agreement #2014-72 Rocky Mountain Gun Show space rental at LEC</w:t>
            </w:r>
          </w:p>
        </w:tc>
        <w:tc>
          <w:tcPr>
            <w:tcW w:w="9984" w:type="dxa"/>
          </w:tcPr>
          <w:p w:rsidR="00086C25" w:rsidRPr="00D34449" w:rsidRDefault="00086C25" w:rsidP="00FC6EEB">
            <w:pPr>
              <w:spacing w:line="360" w:lineRule="auto"/>
              <w:rPr>
                <w:sz w:val="22"/>
                <w:szCs w:val="22"/>
              </w:rPr>
            </w:pPr>
            <w:r>
              <w:rPr>
                <w:sz w:val="22"/>
                <w:szCs w:val="22"/>
              </w:rPr>
              <w:t xml:space="preserve">             </w:t>
            </w:r>
            <w:r w:rsidR="00FC6EEB">
              <w:rPr>
                <w:sz w:val="22"/>
                <w:szCs w:val="22"/>
              </w:rPr>
              <w:t>Mike Moake, Davis County Legacy Events Center</w:t>
            </w:r>
            <w:r>
              <w:rPr>
                <w:sz w:val="22"/>
                <w:szCs w:val="22"/>
              </w:rPr>
              <w:t>, presented a</w:t>
            </w:r>
            <w:r w:rsidR="00FC6EEB">
              <w:rPr>
                <w:sz w:val="22"/>
                <w:szCs w:val="22"/>
              </w:rPr>
              <w:t>greement #2014-72</w:t>
            </w:r>
            <w:r>
              <w:rPr>
                <w:sz w:val="22"/>
                <w:szCs w:val="22"/>
              </w:rPr>
              <w:t xml:space="preserve"> with </w:t>
            </w:r>
            <w:r w:rsidR="00FC6EEB">
              <w:rPr>
                <w:sz w:val="22"/>
                <w:szCs w:val="22"/>
              </w:rPr>
              <w:t xml:space="preserve">the Rocky Mountain Gun Show for space rental.  </w:t>
            </w:r>
            <w:r w:rsidR="004F01E7">
              <w:rPr>
                <w:sz w:val="22"/>
                <w:szCs w:val="22"/>
              </w:rPr>
              <w:t>Receivable c</w:t>
            </w:r>
            <w:r w:rsidR="00FC6EEB">
              <w:rPr>
                <w:sz w:val="22"/>
                <w:szCs w:val="22"/>
              </w:rPr>
              <w:t xml:space="preserve">ontract amount is $12,300.00.  </w:t>
            </w:r>
            <w:r>
              <w:rPr>
                <w:sz w:val="22"/>
                <w:szCs w:val="22"/>
              </w:rPr>
              <w:t>Contract period</w:t>
            </w:r>
            <w:r w:rsidR="00FC6EEB">
              <w:rPr>
                <w:sz w:val="22"/>
                <w:szCs w:val="22"/>
              </w:rPr>
              <w:t>s are for May, September and Novem</w:t>
            </w:r>
            <w:r w:rsidR="00413C3B">
              <w:rPr>
                <w:sz w:val="22"/>
                <w:szCs w:val="22"/>
              </w:rPr>
              <w:t>ber, 2014.  Commissioner Millburn</w:t>
            </w:r>
            <w:r>
              <w:rPr>
                <w:sz w:val="22"/>
                <w:szCs w:val="22"/>
              </w:rPr>
              <w:t xml:space="preserve"> made a motion to approve. </w:t>
            </w:r>
            <w:r w:rsidR="00413C3B">
              <w:rPr>
                <w:sz w:val="22"/>
                <w:szCs w:val="22"/>
              </w:rPr>
              <w:t xml:space="preserve"> Commissioner Petroff</w:t>
            </w:r>
            <w:r w:rsidR="00FC6EEB">
              <w:rPr>
                <w:sz w:val="22"/>
                <w:szCs w:val="22"/>
              </w:rPr>
              <w:t xml:space="preserve"> </w:t>
            </w:r>
            <w:r>
              <w:rPr>
                <w:sz w:val="22"/>
                <w:szCs w:val="22"/>
              </w:rPr>
              <w:t>seconded the motion.  All voted aye.  The document is on file in the office of the Davis County Clerk/Auditor.</w:t>
            </w:r>
          </w:p>
        </w:tc>
      </w:tr>
      <w:tr w:rsidR="00086C25" w:rsidTr="00C1035B">
        <w:trPr>
          <w:tblCellSpacing w:w="50" w:type="dxa"/>
        </w:trPr>
        <w:tc>
          <w:tcPr>
            <w:tcW w:w="1380" w:type="dxa"/>
          </w:tcPr>
          <w:p w:rsidR="00086C25" w:rsidRPr="004774E6" w:rsidRDefault="00A832BD" w:rsidP="00C1035B">
            <w:pPr>
              <w:rPr>
                <w:sz w:val="18"/>
                <w:szCs w:val="18"/>
              </w:rPr>
            </w:pPr>
            <w:r>
              <w:rPr>
                <w:sz w:val="18"/>
                <w:szCs w:val="18"/>
              </w:rPr>
              <w:t xml:space="preserve">Agreement #2014-73 Utah </w:t>
            </w:r>
            <w:proofErr w:type="spellStart"/>
            <w:r>
              <w:rPr>
                <w:sz w:val="18"/>
                <w:szCs w:val="18"/>
              </w:rPr>
              <w:t>Trailways</w:t>
            </w:r>
            <w:proofErr w:type="spellEnd"/>
            <w:r>
              <w:rPr>
                <w:sz w:val="18"/>
                <w:szCs w:val="18"/>
              </w:rPr>
              <w:t xml:space="preserve"> to transport people at Great Salt Lake Bird Festival</w:t>
            </w:r>
          </w:p>
        </w:tc>
        <w:tc>
          <w:tcPr>
            <w:tcW w:w="9984" w:type="dxa"/>
          </w:tcPr>
          <w:p w:rsidR="00086C25" w:rsidRPr="00D34449" w:rsidRDefault="00086C25" w:rsidP="00C1035B">
            <w:pPr>
              <w:spacing w:line="360" w:lineRule="auto"/>
              <w:rPr>
                <w:sz w:val="22"/>
                <w:szCs w:val="22"/>
              </w:rPr>
            </w:pPr>
            <w:r>
              <w:rPr>
                <w:sz w:val="22"/>
                <w:szCs w:val="22"/>
              </w:rPr>
              <w:t xml:space="preserve">             </w:t>
            </w:r>
            <w:r w:rsidR="00FC6EEB">
              <w:rPr>
                <w:sz w:val="22"/>
                <w:szCs w:val="22"/>
              </w:rPr>
              <w:t>Neka Roundy</w:t>
            </w:r>
            <w:r>
              <w:rPr>
                <w:sz w:val="22"/>
                <w:szCs w:val="22"/>
              </w:rPr>
              <w:t>, Davis C</w:t>
            </w:r>
            <w:r w:rsidR="00FC6EEB">
              <w:rPr>
                <w:sz w:val="22"/>
                <w:szCs w:val="22"/>
              </w:rPr>
              <w:t xml:space="preserve">ounty Community and Economic Development presented agreement #2014-73 with Utah </w:t>
            </w:r>
            <w:proofErr w:type="spellStart"/>
            <w:r w:rsidR="00FC6EEB">
              <w:rPr>
                <w:sz w:val="22"/>
                <w:szCs w:val="22"/>
              </w:rPr>
              <w:t>Trailways</w:t>
            </w:r>
            <w:proofErr w:type="spellEnd"/>
            <w:r w:rsidR="00FC6EEB">
              <w:rPr>
                <w:sz w:val="22"/>
                <w:szCs w:val="22"/>
              </w:rPr>
              <w:t xml:space="preserve"> for buses </w:t>
            </w:r>
            <w:r w:rsidR="00431123">
              <w:rPr>
                <w:sz w:val="22"/>
                <w:szCs w:val="22"/>
              </w:rPr>
              <w:t xml:space="preserve">to transport </w:t>
            </w:r>
            <w:r w:rsidR="00A61A53">
              <w:rPr>
                <w:sz w:val="22"/>
                <w:szCs w:val="22"/>
              </w:rPr>
              <w:t>people</w:t>
            </w:r>
            <w:r w:rsidR="00387146">
              <w:rPr>
                <w:sz w:val="22"/>
                <w:szCs w:val="22"/>
              </w:rPr>
              <w:t xml:space="preserve"> to locations</w:t>
            </w:r>
            <w:r w:rsidR="00A61A53">
              <w:rPr>
                <w:sz w:val="22"/>
                <w:szCs w:val="22"/>
              </w:rPr>
              <w:t xml:space="preserve"> </w:t>
            </w:r>
            <w:r w:rsidR="00387146">
              <w:rPr>
                <w:sz w:val="22"/>
                <w:szCs w:val="22"/>
              </w:rPr>
              <w:t>during</w:t>
            </w:r>
            <w:r w:rsidR="00FC6EEB">
              <w:rPr>
                <w:sz w:val="22"/>
                <w:szCs w:val="22"/>
              </w:rPr>
              <w:t xml:space="preserve"> the Great Salt Lake Bird Festival</w:t>
            </w:r>
            <w:r w:rsidR="004F01E7">
              <w:rPr>
                <w:sz w:val="22"/>
                <w:szCs w:val="22"/>
              </w:rPr>
              <w:t xml:space="preserve">.  Payable amount is $5,729.00.  Contract period is May15-19, 2014.  </w:t>
            </w:r>
            <w:r w:rsidR="004F01E7" w:rsidRPr="004F01E7">
              <w:rPr>
                <w:sz w:val="22"/>
                <w:szCs w:val="22"/>
              </w:rPr>
              <w:t>Commissioner Petroff made a motion to approve.  Commissioner Millburn seconded the motion.  All voted aye.  The document is on file in the office of the Davis County Clerk/Auditor.</w:t>
            </w:r>
          </w:p>
        </w:tc>
      </w:tr>
      <w:tr w:rsidR="00086C25" w:rsidTr="00C1035B">
        <w:trPr>
          <w:tblCellSpacing w:w="50" w:type="dxa"/>
        </w:trPr>
        <w:tc>
          <w:tcPr>
            <w:tcW w:w="1380" w:type="dxa"/>
          </w:tcPr>
          <w:p w:rsidR="00086C25" w:rsidRPr="004774E6" w:rsidRDefault="00A832BD" w:rsidP="00C1035B">
            <w:pPr>
              <w:rPr>
                <w:sz w:val="18"/>
                <w:szCs w:val="18"/>
              </w:rPr>
            </w:pPr>
            <w:r>
              <w:rPr>
                <w:sz w:val="18"/>
                <w:szCs w:val="18"/>
              </w:rPr>
              <w:t>Request to Sell #2014-49A to sell surplus land and grant easement to Farmington City</w:t>
            </w:r>
          </w:p>
        </w:tc>
        <w:tc>
          <w:tcPr>
            <w:tcW w:w="9984" w:type="dxa"/>
          </w:tcPr>
          <w:p w:rsidR="00086C25" w:rsidRDefault="00086C25" w:rsidP="004F01E7">
            <w:pPr>
              <w:spacing w:line="360" w:lineRule="auto"/>
              <w:rPr>
                <w:sz w:val="22"/>
                <w:szCs w:val="22"/>
              </w:rPr>
            </w:pPr>
            <w:r>
              <w:rPr>
                <w:sz w:val="22"/>
                <w:szCs w:val="22"/>
              </w:rPr>
              <w:t xml:space="preserve">             </w:t>
            </w:r>
            <w:r w:rsidR="004F01E7">
              <w:rPr>
                <w:sz w:val="22"/>
                <w:szCs w:val="22"/>
              </w:rPr>
              <w:t>Tony Thompson, Davis County Planning Department, presented request to sell #2014-49A.  This is to sell a parcel of land as surplus and grant an easement (Part of Tax ID 08-076-0096) to Farmington City.  This property was declared surplus on February 18, 2014 (Agreement 2014-49).  The surpl</w:t>
            </w:r>
            <w:r w:rsidR="00A85C4D">
              <w:rPr>
                <w:sz w:val="22"/>
                <w:szCs w:val="22"/>
              </w:rPr>
              <w:t xml:space="preserve">us area is </w:t>
            </w:r>
            <w:r w:rsidR="00987E94">
              <w:rPr>
                <w:sz w:val="22"/>
                <w:szCs w:val="22"/>
              </w:rPr>
              <w:t xml:space="preserve">0.046 acre.  </w:t>
            </w:r>
            <w:r w:rsidR="004F01E7">
              <w:rPr>
                <w:sz w:val="22"/>
                <w:szCs w:val="22"/>
              </w:rPr>
              <w:t xml:space="preserve">In addition to this property, Farmington City is requesting a perpetual slope easement occupying an </w:t>
            </w:r>
            <w:r w:rsidR="00A85C4D">
              <w:rPr>
                <w:sz w:val="22"/>
                <w:szCs w:val="22"/>
              </w:rPr>
              <w:t xml:space="preserve">additional </w:t>
            </w:r>
            <w:r w:rsidR="004F01E7">
              <w:rPr>
                <w:sz w:val="22"/>
                <w:szCs w:val="22"/>
              </w:rPr>
              <w:t xml:space="preserve">0.043 acre.  </w:t>
            </w:r>
            <w:r>
              <w:rPr>
                <w:sz w:val="22"/>
                <w:szCs w:val="22"/>
              </w:rPr>
              <w:t xml:space="preserve">Commissioner Petroff made a motion to approve.  Commissioner Millburn seconded the motion.  All voted aye.  The document is on file in the office of the Davis County Clerk/Auditor.  </w:t>
            </w:r>
          </w:p>
        </w:tc>
      </w:tr>
      <w:tr w:rsidR="00086C25" w:rsidTr="00C1035B">
        <w:trPr>
          <w:tblCellSpacing w:w="50" w:type="dxa"/>
        </w:trPr>
        <w:tc>
          <w:tcPr>
            <w:tcW w:w="1380" w:type="dxa"/>
          </w:tcPr>
          <w:p w:rsidR="00086C25" w:rsidRPr="004774E6" w:rsidRDefault="00A832BD" w:rsidP="00C1035B">
            <w:pPr>
              <w:rPr>
                <w:sz w:val="18"/>
                <w:szCs w:val="18"/>
              </w:rPr>
            </w:pPr>
            <w:r>
              <w:rPr>
                <w:sz w:val="18"/>
                <w:szCs w:val="18"/>
              </w:rPr>
              <w:t xml:space="preserve">Improvement Agreement #2014-74 with Rock K Garner </w:t>
            </w:r>
            <w:r w:rsidR="00E47DC5">
              <w:rPr>
                <w:sz w:val="18"/>
                <w:szCs w:val="18"/>
              </w:rPr>
              <w:t>to postpone installation of sidewalk, curb &amp; gutter on lot 1 Rock Garner Subdivision</w:t>
            </w:r>
          </w:p>
        </w:tc>
        <w:tc>
          <w:tcPr>
            <w:tcW w:w="9984" w:type="dxa"/>
          </w:tcPr>
          <w:p w:rsidR="00086C25" w:rsidRPr="00D34449" w:rsidRDefault="00086C25" w:rsidP="00603D0D">
            <w:pPr>
              <w:spacing w:line="360" w:lineRule="auto"/>
              <w:rPr>
                <w:sz w:val="22"/>
                <w:szCs w:val="22"/>
              </w:rPr>
            </w:pPr>
            <w:r>
              <w:rPr>
                <w:sz w:val="22"/>
                <w:szCs w:val="22"/>
              </w:rPr>
              <w:t xml:space="preserve">             </w:t>
            </w:r>
            <w:r w:rsidR="00603D0D">
              <w:rPr>
                <w:sz w:val="22"/>
                <w:szCs w:val="22"/>
              </w:rPr>
              <w:t>Jeff Oyler, Davis County Planning Department, presented improvement agreement and grant of lien #2014-74</w:t>
            </w:r>
            <w:r>
              <w:rPr>
                <w:sz w:val="22"/>
                <w:szCs w:val="22"/>
              </w:rPr>
              <w:t xml:space="preserve"> with </w:t>
            </w:r>
            <w:r w:rsidR="00603D0D">
              <w:rPr>
                <w:sz w:val="22"/>
                <w:szCs w:val="22"/>
              </w:rPr>
              <w:t xml:space="preserve">Rock K. Garner for postponement of installation of public sidewalk, curb and gutter improvements on lot 1 Rock Garner Subdivision.  The agreement runs with the land and is binding to all future successors.  There is no contract amount.  </w:t>
            </w:r>
            <w:r>
              <w:rPr>
                <w:sz w:val="22"/>
                <w:szCs w:val="22"/>
              </w:rPr>
              <w:t xml:space="preserve">Commissioner Petroff made a motion to approve.  Commissioner Millburn seconded the motion.  All voted aye.  The document is on file in the office of the Davis County Clerk/Auditor.    </w:t>
            </w:r>
          </w:p>
        </w:tc>
      </w:tr>
      <w:tr w:rsidR="00086C25" w:rsidTr="00C1035B">
        <w:trPr>
          <w:tblCellSpacing w:w="50" w:type="dxa"/>
        </w:trPr>
        <w:tc>
          <w:tcPr>
            <w:tcW w:w="1380" w:type="dxa"/>
          </w:tcPr>
          <w:p w:rsidR="00086C25" w:rsidRPr="004774E6" w:rsidRDefault="00E47DC5" w:rsidP="00C1035B">
            <w:pPr>
              <w:rPr>
                <w:sz w:val="18"/>
                <w:szCs w:val="18"/>
              </w:rPr>
            </w:pPr>
            <w:r>
              <w:rPr>
                <w:sz w:val="18"/>
                <w:szCs w:val="18"/>
              </w:rPr>
              <w:t>#2014-75 Utah Division of Emergency Management for FY2014 HMEP</w:t>
            </w:r>
          </w:p>
        </w:tc>
        <w:tc>
          <w:tcPr>
            <w:tcW w:w="9984" w:type="dxa"/>
          </w:tcPr>
          <w:p w:rsidR="00086C25" w:rsidRPr="00D34449" w:rsidRDefault="00086C25" w:rsidP="00603D0D">
            <w:pPr>
              <w:spacing w:line="360" w:lineRule="auto"/>
              <w:rPr>
                <w:sz w:val="22"/>
                <w:szCs w:val="22"/>
              </w:rPr>
            </w:pPr>
            <w:r>
              <w:rPr>
                <w:sz w:val="22"/>
                <w:szCs w:val="22"/>
              </w:rPr>
              <w:t xml:space="preserve">             Chief Deputy Kevin Fielding, Davis Coun</w:t>
            </w:r>
            <w:r w:rsidR="00603D0D">
              <w:rPr>
                <w:sz w:val="22"/>
                <w:szCs w:val="22"/>
              </w:rPr>
              <w:t>ty Sheriff’s Office, presented grant application #2014-75 with the Utah Division of Emergency Management for FY 2014 Hazardous Materials Emergency Preparedness (HMEP).  Receivable contract amount is $3,200.00</w:t>
            </w:r>
            <w:r w:rsidR="00B2514C">
              <w:rPr>
                <w:sz w:val="22"/>
                <w:szCs w:val="22"/>
              </w:rPr>
              <w:t xml:space="preserve"> and will be used for Local Emergency Planning Committees (LEPCs) for the purpose of conducting specific projects related to hazardous materials emergency planning needs</w:t>
            </w:r>
            <w:r w:rsidR="00603D0D">
              <w:rPr>
                <w:sz w:val="22"/>
                <w:szCs w:val="22"/>
              </w:rPr>
              <w:t xml:space="preserve">.  Contract period is October 1, 2013 – September 30, 2014.  </w:t>
            </w:r>
            <w:r>
              <w:rPr>
                <w:sz w:val="22"/>
                <w:szCs w:val="22"/>
              </w:rPr>
              <w:t xml:space="preserve">Commissioner </w:t>
            </w:r>
            <w:r>
              <w:rPr>
                <w:sz w:val="22"/>
                <w:szCs w:val="22"/>
              </w:rPr>
              <w:lastRenderedPageBreak/>
              <w:t>Millburn made a motion t</w:t>
            </w:r>
            <w:r w:rsidR="00603D0D">
              <w:rPr>
                <w:sz w:val="22"/>
                <w:szCs w:val="22"/>
              </w:rPr>
              <w:t xml:space="preserve">o approve.  </w:t>
            </w:r>
            <w:r>
              <w:rPr>
                <w:sz w:val="22"/>
                <w:szCs w:val="22"/>
              </w:rPr>
              <w:t>Commissioner Petroff seconded the motion.  All voted aye.  The document is on file in the office of the Davis County Clerk/Auditor.</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C1035B">
            <w:pPr>
              <w:spacing w:line="360" w:lineRule="auto"/>
              <w:rPr>
                <w:sz w:val="22"/>
                <w:szCs w:val="22"/>
              </w:rPr>
            </w:pPr>
            <w:r>
              <w:rPr>
                <w:sz w:val="22"/>
                <w:szCs w:val="22"/>
              </w:rPr>
              <w:t xml:space="preserve">              </w:t>
            </w:r>
            <w:r w:rsidR="00C10DF4">
              <w:rPr>
                <w:sz w:val="22"/>
                <w:szCs w:val="22"/>
              </w:rPr>
              <w:t xml:space="preserve">Commissioner Millburn </w:t>
            </w:r>
            <w:r>
              <w:rPr>
                <w:sz w:val="22"/>
                <w:szCs w:val="22"/>
              </w:rPr>
              <w:t>made a motion to convene as the Board of Equa</w:t>
            </w:r>
            <w:r w:rsidR="00C10DF4">
              <w:rPr>
                <w:sz w:val="22"/>
                <w:szCs w:val="22"/>
              </w:rPr>
              <w:t>lization.  Commissioner Petroff</w:t>
            </w:r>
            <w:r>
              <w:rPr>
                <w:sz w:val="22"/>
                <w:szCs w:val="22"/>
              </w:rPr>
              <w:t xml:space="preserve"> seconded the motion.  All voted aye.</w:t>
            </w:r>
          </w:p>
        </w:tc>
      </w:tr>
      <w:tr w:rsidR="00086C25" w:rsidTr="00C1035B">
        <w:trPr>
          <w:tblCellSpacing w:w="50" w:type="dxa"/>
        </w:trPr>
        <w:tc>
          <w:tcPr>
            <w:tcW w:w="1380" w:type="dxa"/>
          </w:tcPr>
          <w:p w:rsidR="00086C25" w:rsidRPr="004774E6" w:rsidRDefault="00E47DC5" w:rsidP="00C1035B">
            <w:pPr>
              <w:rPr>
                <w:sz w:val="18"/>
                <w:szCs w:val="18"/>
              </w:rPr>
            </w:pPr>
            <w:r>
              <w:rPr>
                <w:sz w:val="18"/>
                <w:szCs w:val="18"/>
              </w:rPr>
              <w:t>Approve Property Tax Register</w:t>
            </w:r>
          </w:p>
        </w:tc>
        <w:tc>
          <w:tcPr>
            <w:tcW w:w="9984" w:type="dxa"/>
          </w:tcPr>
          <w:p w:rsidR="00086C25" w:rsidRPr="00D34449" w:rsidRDefault="00086C25" w:rsidP="00C10DF4">
            <w:pPr>
              <w:spacing w:line="360" w:lineRule="auto"/>
              <w:rPr>
                <w:sz w:val="22"/>
                <w:szCs w:val="22"/>
              </w:rPr>
            </w:pPr>
            <w:r>
              <w:rPr>
                <w:sz w:val="22"/>
                <w:szCs w:val="22"/>
              </w:rPr>
              <w:t xml:space="preserve">              Dale Peterson, Davis County Tax Administration Director, presented the Property</w:t>
            </w:r>
            <w:r w:rsidR="00431123">
              <w:rPr>
                <w:sz w:val="22"/>
                <w:szCs w:val="22"/>
              </w:rPr>
              <w:t xml:space="preserve"> Tax Register which reflects</w:t>
            </w:r>
            <w:r w:rsidR="00C10DF4">
              <w:rPr>
                <w:sz w:val="22"/>
                <w:szCs w:val="22"/>
              </w:rPr>
              <w:t xml:space="preserve"> 6</w:t>
            </w:r>
            <w:r>
              <w:rPr>
                <w:sz w:val="22"/>
                <w:szCs w:val="22"/>
              </w:rPr>
              <w:t xml:space="preserve"> appeals for </w:t>
            </w:r>
            <w:r w:rsidR="00C10DF4">
              <w:rPr>
                <w:sz w:val="22"/>
                <w:szCs w:val="22"/>
              </w:rPr>
              <w:t>correction</w:t>
            </w:r>
            <w:r>
              <w:rPr>
                <w:sz w:val="22"/>
                <w:szCs w:val="22"/>
              </w:rPr>
              <w:t xml:space="preserve"> and </w:t>
            </w:r>
            <w:r w:rsidR="00C10DF4">
              <w:rPr>
                <w:sz w:val="22"/>
                <w:szCs w:val="22"/>
              </w:rPr>
              <w:t>adjustment</w:t>
            </w:r>
            <w:r>
              <w:rPr>
                <w:sz w:val="22"/>
                <w:szCs w:val="22"/>
              </w:rPr>
              <w:t xml:space="preserve">.  Commissioner Millburn made a motion to approve.  Commissioner Petroff seconded the motion.  All voted aye.  </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Default="00086C25" w:rsidP="00C1035B">
            <w:pPr>
              <w:spacing w:line="360" w:lineRule="auto"/>
              <w:rPr>
                <w:sz w:val="22"/>
                <w:szCs w:val="22"/>
              </w:rPr>
            </w:pPr>
            <w:r>
              <w:rPr>
                <w:sz w:val="22"/>
                <w:szCs w:val="22"/>
              </w:rPr>
              <w:t xml:space="preserve">              </w:t>
            </w:r>
            <w:r w:rsidR="00C10DF4">
              <w:rPr>
                <w:sz w:val="22"/>
                <w:szCs w:val="22"/>
              </w:rPr>
              <w:t>Commissioner Petroff</w:t>
            </w:r>
            <w:r>
              <w:rPr>
                <w:sz w:val="22"/>
                <w:szCs w:val="22"/>
              </w:rPr>
              <w:t xml:space="preserve"> made a motion to reconvene Commissio</w:t>
            </w:r>
            <w:r w:rsidR="00C10DF4">
              <w:rPr>
                <w:sz w:val="22"/>
                <w:szCs w:val="22"/>
              </w:rPr>
              <w:t xml:space="preserve">n Meeting.  Commissioner Millburn </w:t>
            </w:r>
            <w:r>
              <w:rPr>
                <w:sz w:val="22"/>
                <w:szCs w:val="22"/>
              </w:rPr>
              <w:t>seconded the motion.  All voted aye.</w:t>
            </w:r>
          </w:p>
        </w:tc>
      </w:tr>
      <w:tr w:rsidR="00086C25" w:rsidTr="00C1035B">
        <w:trPr>
          <w:tblCellSpacing w:w="50" w:type="dxa"/>
        </w:trPr>
        <w:tc>
          <w:tcPr>
            <w:tcW w:w="1380" w:type="dxa"/>
          </w:tcPr>
          <w:p w:rsidR="00086C25" w:rsidRPr="004774E6" w:rsidRDefault="00B42FAF" w:rsidP="00C1035B">
            <w:pPr>
              <w:rPr>
                <w:sz w:val="18"/>
                <w:szCs w:val="18"/>
              </w:rPr>
            </w:pPr>
            <w:r>
              <w:rPr>
                <w:sz w:val="18"/>
                <w:szCs w:val="18"/>
              </w:rPr>
              <w:t xml:space="preserve">Approve Commission </w:t>
            </w:r>
            <w:proofErr w:type="spellStart"/>
            <w:r>
              <w:rPr>
                <w:sz w:val="18"/>
                <w:szCs w:val="18"/>
              </w:rPr>
              <w:t>Mtg</w:t>
            </w:r>
            <w:proofErr w:type="spellEnd"/>
            <w:r>
              <w:rPr>
                <w:sz w:val="18"/>
                <w:szCs w:val="18"/>
              </w:rPr>
              <w:t xml:space="preserve"> M</w:t>
            </w:r>
            <w:bookmarkStart w:id="0" w:name="_GoBack"/>
            <w:bookmarkEnd w:id="0"/>
            <w:r w:rsidR="00E47DC5">
              <w:rPr>
                <w:sz w:val="18"/>
                <w:szCs w:val="18"/>
              </w:rPr>
              <w:t>inutes</w:t>
            </w:r>
          </w:p>
        </w:tc>
        <w:tc>
          <w:tcPr>
            <w:tcW w:w="9984" w:type="dxa"/>
          </w:tcPr>
          <w:p w:rsidR="00086C25" w:rsidRDefault="00086C25" w:rsidP="00C1035B">
            <w:pPr>
              <w:spacing w:line="360" w:lineRule="auto"/>
              <w:rPr>
                <w:sz w:val="22"/>
                <w:szCs w:val="22"/>
              </w:rPr>
            </w:pPr>
            <w:r>
              <w:rPr>
                <w:sz w:val="22"/>
                <w:szCs w:val="22"/>
              </w:rPr>
              <w:t xml:space="preserve">              </w:t>
            </w:r>
            <w:r w:rsidR="00C10DF4">
              <w:rPr>
                <w:sz w:val="22"/>
                <w:szCs w:val="22"/>
              </w:rPr>
              <w:t>Commissioner Petroff</w:t>
            </w:r>
            <w:r>
              <w:rPr>
                <w:sz w:val="22"/>
                <w:szCs w:val="22"/>
              </w:rPr>
              <w:t xml:space="preserve"> made a motion to approve the Commission Meeting minutes of </w:t>
            </w:r>
          </w:p>
          <w:p w:rsidR="00086C25" w:rsidRPr="00D34449" w:rsidRDefault="00C10DF4" w:rsidP="00C1035B">
            <w:pPr>
              <w:spacing w:line="360" w:lineRule="auto"/>
              <w:rPr>
                <w:sz w:val="22"/>
                <w:szCs w:val="22"/>
              </w:rPr>
            </w:pPr>
            <w:r>
              <w:rPr>
                <w:sz w:val="22"/>
                <w:szCs w:val="22"/>
              </w:rPr>
              <w:t>March 4</w:t>
            </w:r>
            <w:r w:rsidR="00086C25">
              <w:rPr>
                <w:sz w:val="22"/>
                <w:szCs w:val="22"/>
              </w:rPr>
              <w:t xml:space="preserve">, 2014.  </w:t>
            </w:r>
            <w:r>
              <w:rPr>
                <w:sz w:val="22"/>
                <w:szCs w:val="22"/>
              </w:rPr>
              <w:t>Commissioner Millburn</w:t>
            </w:r>
            <w:r w:rsidR="00086C25">
              <w:rPr>
                <w:sz w:val="22"/>
                <w:szCs w:val="22"/>
              </w:rPr>
              <w:t xml:space="preserve"> seconded the motion.  All voted aye.</w:t>
            </w:r>
          </w:p>
        </w:tc>
      </w:tr>
      <w:tr w:rsidR="00086C25" w:rsidTr="00C1035B">
        <w:trPr>
          <w:tblCellSpacing w:w="50" w:type="dxa"/>
        </w:trPr>
        <w:tc>
          <w:tcPr>
            <w:tcW w:w="1380" w:type="dxa"/>
          </w:tcPr>
          <w:p w:rsidR="00086C25" w:rsidRPr="004774E6" w:rsidRDefault="00E47DC5" w:rsidP="00C1035B">
            <w:pPr>
              <w:rPr>
                <w:sz w:val="18"/>
                <w:szCs w:val="18"/>
              </w:rPr>
            </w:pPr>
            <w:r>
              <w:rPr>
                <w:sz w:val="18"/>
                <w:szCs w:val="18"/>
              </w:rPr>
              <w:t>Approve Check Registers</w:t>
            </w:r>
          </w:p>
        </w:tc>
        <w:tc>
          <w:tcPr>
            <w:tcW w:w="9984" w:type="dxa"/>
          </w:tcPr>
          <w:p w:rsidR="00086C25" w:rsidRPr="00D34449" w:rsidRDefault="00086C25" w:rsidP="00C1035B">
            <w:pPr>
              <w:spacing w:line="360" w:lineRule="auto"/>
              <w:rPr>
                <w:sz w:val="22"/>
                <w:szCs w:val="22"/>
              </w:rPr>
            </w:pPr>
            <w:r>
              <w:rPr>
                <w:sz w:val="22"/>
                <w:szCs w:val="22"/>
              </w:rPr>
              <w:t xml:space="preserve">             Check registers as prepared by the Davis County Clerk/Auditor’s Office were approved by a m</w:t>
            </w:r>
            <w:r w:rsidR="00C10DF4">
              <w:rPr>
                <w:sz w:val="22"/>
                <w:szCs w:val="22"/>
              </w:rPr>
              <w:t>otion from Commissioner Millburn.  Commissioner Petroff</w:t>
            </w:r>
            <w:r>
              <w:rPr>
                <w:sz w:val="22"/>
                <w:szCs w:val="22"/>
              </w:rPr>
              <w:t xml:space="preserve"> seconded the motion.  All voted aye.  The documents are on file in the office of the Davis County Clerk/Auditor.</w:t>
            </w:r>
          </w:p>
        </w:tc>
      </w:tr>
      <w:tr w:rsidR="00086C25" w:rsidTr="00C1035B">
        <w:trPr>
          <w:tblCellSpacing w:w="50" w:type="dxa"/>
        </w:trPr>
        <w:tc>
          <w:tcPr>
            <w:tcW w:w="1380" w:type="dxa"/>
          </w:tcPr>
          <w:p w:rsidR="00086C25" w:rsidRPr="004774E6" w:rsidRDefault="00E47DC5" w:rsidP="00C1035B">
            <w:pPr>
              <w:rPr>
                <w:sz w:val="18"/>
                <w:szCs w:val="18"/>
              </w:rPr>
            </w:pPr>
            <w:r>
              <w:rPr>
                <w:sz w:val="18"/>
                <w:szCs w:val="18"/>
              </w:rPr>
              <w:t>Commissioner Comments</w:t>
            </w:r>
          </w:p>
        </w:tc>
        <w:tc>
          <w:tcPr>
            <w:tcW w:w="9984" w:type="dxa"/>
          </w:tcPr>
          <w:p w:rsidR="00086C25" w:rsidRDefault="00086C25" w:rsidP="00C1035B">
            <w:pPr>
              <w:spacing w:line="360" w:lineRule="auto"/>
              <w:rPr>
                <w:sz w:val="22"/>
                <w:szCs w:val="22"/>
              </w:rPr>
            </w:pPr>
            <w:r>
              <w:rPr>
                <w:sz w:val="22"/>
                <w:szCs w:val="22"/>
              </w:rPr>
              <w:t>Commissioner Comments</w:t>
            </w:r>
            <w:r w:rsidR="003737C7">
              <w:rPr>
                <w:sz w:val="22"/>
                <w:szCs w:val="22"/>
              </w:rPr>
              <w:t>:</w:t>
            </w:r>
          </w:p>
          <w:p w:rsidR="003737C7" w:rsidRDefault="003737C7" w:rsidP="006772D8">
            <w:pPr>
              <w:spacing w:line="360" w:lineRule="auto"/>
              <w:rPr>
                <w:sz w:val="22"/>
                <w:szCs w:val="22"/>
              </w:rPr>
            </w:pPr>
            <w:r>
              <w:rPr>
                <w:sz w:val="22"/>
                <w:szCs w:val="22"/>
              </w:rPr>
              <w:t xml:space="preserve">             </w:t>
            </w:r>
            <w:r w:rsidR="000A607A" w:rsidRPr="000A607A">
              <w:rPr>
                <w:sz w:val="22"/>
                <w:szCs w:val="22"/>
              </w:rPr>
              <w:t>Commi</w:t>
            </w:r>
            <w:r w:rsidR="000C2ABD">
              <w:rPr>
                <w:sz w:val="22"/>
                <w:szCs w:val="22"/>
              </w:rPr>
              <w:t>ssioner Petroff reported</w:t>
            </w:r>
            <w:r w:rsidR="000A607A" w:rsidRPr="000A607A">
              <w:rPr>
                <w:sz w:val="22"/>
                <w:szCs w:val="22"/>
              </w:rPr>
              <w:t xml:space="preserve"> </w:t>
            </w:r>
            <w:r w:rsidR="000C2ABD">
              <w:rPr>
                <w:sz w:val="22"/>
                <w:szCs w:val="22"/>
              </w:rPr>
              <w:t xml:space="preserve">on </w:t>
            </w:r>
            <w:r w:rsidR="000A607A" w:rsidRPr="000A607A">
              <w:rPr>
                <w:sz w:val="22"/>
                <w:szCs w:val="22"/>
              </w:rPr>
              <w:t>the Utah Weed Control Association</w:t>
            </w:r>
            <w:r w:rsidR="002409B8">
              <w:rPr>
                <w:sz w:val="22"/>
                <w:szCs w:val="22"/>
              </w:rPr>
              <w:t xml:space="preserve"> C</w:t>
            </w:r>
            <w:r w:rsidR="000C2ABD">
              <w:rPr>
                <w:sz w:val="22"/>
                <w:szCs w:val="22"/>
              </w:rPr>
              <w:t>onference he recently attended</w:t>
            </w:r>
            <w:r w:rsidR="000A607A" w:rsidRPr="000A607A">
              <w:rPr>
                <w:sz w:val="22"/>
                <w:szCs w:val="22"/>
              </w:rPr>
              <w:t>.  He explained that s</w:t>
            </w:r>
            <w:r w:rsidR="000C2ABD">
              <w:rPr>
                <w:sz w:val="22"/>
                <w:szCs w:val="22"/>
              </w:rPr>
              <w:t xml:space="preserve">ome plants </w:t>
            </w:r>
            <w:r w:rsidR="000A607A" w:rsidRPr="000A607A">
              <w:rPr>
                <w:sz w:val="22"/>
                <w:szCs w:val="22"/>
              </w:rPr>
              <w:t xml:space="preserve">we see as weeds are considered flowers elsewhere.  </w:t>
            </w:r>
            <w:r w:rsidR="000C2ABD">
              <w:rPr>
                <w:sz w:val="22"/>
                <w:szCs w:val="22"/>
              </w:rPr>
              <w:t xml:space="preserve">He gave an example of </w:t>
            </w:r>
            <w:r w:rsidR="00B216D6">
              <w:rPr>
                <w:sz w:val="22"/>
                <w:szCs w:val="22"/>
              </w:rPr>
              <w:t xml:space="preserve">Purple Loosestrife, </w:t>
            </w:r>
            <w:r w:rsidR="000C2ABD">
              <w:rPr>
                <w:sz w:val="22"/>
                <w:szCs w:val="22"/>
              </w:rPr>
              <w:t xml:space="preserve">a weed </w:t>
            </w:r>
            <w:r w:rsidR="000A607A" w:rsidRPr="000A607A">
              <w:rPr>
                <w:sz w:val="22"/>
                <w:szCs w:val="22"/>
              </w:rPr>
              <w:t xml:space="preserve">controlled </w:t>
            </w:r>
            <w:r w:rsidR="000C2ABD">
              <w:rPr>
                <w:sz w:val="22"/>
                <w:szCs w:val="22"/>
              </w:rPr>
              <w:t xml:space="preserve">in other areas because it is a </w:t>
            </w:r>
            <w:r w:rsidR="000A607A" w:rsidRPr="000A607A">
              <w:rPr>
                <w:sz w:val="22"/>
                <w:szCs w:val="22"/>
              </w:rPr>
              <w:t xml:space="preserve">food source for </w:t>
            </w:r>
            <w:r w:rsidR="000C2ABD">
              <w:rPr>
                <w:sz w:val="22"/>
                <w:szCs w:val="22"/>
              </w:rPr>
              <w:t>a certain insect.  To be controlled in Utah, the insects also have to be brought into the state</w:t>
            </w:r>
            <w:r w:rsidR="000A607A" w:rsidRPr="000A607A">
              <w:rPr>
                <w:sz w:val="22"/>
                <w:szCs w:val="22"/>
              </w:rPr>
              <w:t>.  Utah State University and others in the country use biomechanics to create the right mix of bug to plant</w:t>
            </w:r>
            <w:r w:rsidR="000C2ABD">
              <w:rPr>
                <w:sz w:val="22"/>
                <w:szCs w:val="22"/>
              </w:rPr>
              <w:t xml:space="preserve"> in order to control weeds</w:t>
            </w:r>
            <w:r w:rsidR="000A607A" w:rsidRPr="000A607A">
              <w:rPr>
                <w:sz w:val="22"/>
                <w:szCs w:val="22"/>
              </w:rPr>
              <w:t xml:space="preserve">. </w:t>
            </w:r>
            <w:r w:rsidR="000C2ABD">
              <w:rPr>
                <w:sz w:val="22"/>
                <w:szCs w:val="22"/>
              </w:rPr>
              <w:t xml:space="preserve"> Commissioner Petroff credited </w:t>
            </w:r>
            <w:r w:rsidR="000A607A" w:rsidRPr="000A607A">
              <w:rPr>
                <w:sz w:val="22"/>
                <w:szCs w:val="22"/>
              </w:rPr>
              <w:t>Brandon Hunt, Davis County Public Works</w:t>
            </w:r>
            <w:r w:rsidR="000C2ABD">
              <w:rPr>
                <w:sz w:val="22"/>
                <w:szCs w:val="22"/>
              </w:rPr>
              <w:t xml:space="preserve">, as one who keeps weeds at bay </w:t>
            </w:r>
            <w:r w:rsidR="003D43D5">
              <w:rPr>
                <w:sz w:val="22"/>
                <w:szCs w:val="22"/>
              </w:rPr>
              <w:t>in our County</w:t>
            </w:r>
            <w:r w:rsidR="000A607A" w:rsidRPr="000A607A">
              <w:rPr>
                <w:sz w:val="22"/>
                <w:szCs w:val="22"/>
              </w:rPr>
              <w:t>.</w:t>
            </w:r>
          </w:p>
          <w:p w:rsidR="00F1020C" w:rsidRDefault="00F1020C" w:rsidP="006772D8">
            <w:pPr>
              <w:spacing w:line="360" w:lineRule="auto"/>
              <w:rPr>
                <w:sz w:val="22"/>
                <w:szCs w:val="22"/>
              </w:rPr>
            </w:pPr>
            <w:r>
              <w:rPr>
                <w:sz w:val="22"/>
                <w:szCs w:val="22"/>
              </w:rPr>
              <w:t xml:space="preserve">             </w:t>
            </w:r>
            <w:r w:rsidR="00603EEA" w:rsidRPr="00603EEA">
              <w:rPr>
                <w:sz w:val="22"/>
                <w:szCs w:val="22"/>
              </w:rPr>
              <w:t>Commissioner Petroff also commented on water usage in the county noting that homes now stand where corn fields use to grow.  In most areas in Utah, 80% of water is agricultural, 20% is human consumption.  However, in Davis County those percentages are reversed.  He noted that urban and rural counties in Utah respect each other’s different needs and work well with each other.</w:t>
            </w:r>
          </w:p>
          <w:p w:rsidR="00BD32FA" w:rsidRDefault="00BD32FA" w:rsidP="006772D8">
            <w:pPr>
              <w:spacing w:line="360" w:lineRule="auto"/>
              <w:rPr>
                <w:sz w:val="22"/>
                <w:szCs w:val="22"/>
              </w:rPr>
            </w:pPr>
            <w:r>
              <w:rPr>
                <w:sz w:val="22"/>
                <w:szCs w:val="22"/>
              </w:rPr>
              <w:t xml:space="preserve">             </w:t>
            </w:r>
            <w:r w:rsidRPr="00BD32FA">
              <w:rPr>
                <w:sz w:val="22"/>
                <w:szCs w:val="22"/>
              </w:rPr>
              <w:t>Commissioner Downs commented that although Davis County was built on an agricultural fou</w:t>
            </w:r>
            <w:r>
              <w:rPr>
                <w:sz w:val="22"/>
                <w:szCs w:val="22"/>
              </w:rPr>
              <w:t>ndation, there is not much left and</w:t>
            </w:r>
            <w:r w:rsidRPr="00BD32FA">
              <w:rPr>
                <w:sz w:val="22"/>
                <w:szCs w:val="22"/>
              </w:rPr>
              <w:t xml:space="preserve"> farms are dwindling, but the future of agricult</w:t>
            </w:r>
            <w:r>
              <w:rPr>
                <w:sz w:val="22"/>
                <w:szCs w:val="22"/>
              </w:rPr>
              <w:t>ure still means a lot to folks.  The county continues to cover a broad spectrum of needs, such as tourism.  When asked why the commissioners serve on so many boards, it is because they need to represent the county in so many different areas.</w:t>
            </w:r>
          </w:p>
          <w:p w:rsidR="00BD32FA" w:rsidRDefault="00BD32FA" w:rsidP="006772D8">
            <w:pPr>
              <w:spacing w:line="360" w:lineRule="auto"/>
              <w:rPr>
                <w:sz w:val="22"/>
                <w:szCs w:val="22"/>
              </w:rPr>
            </w:pPr>
            <w:r w:rsidRPr="00BD32FA">
              <w:rPr>
                <w:sz w:val="22"/>
                <w:szCs w:val="22"/>
              </w:rPr>
              <w:t xml:space="preserve">  </w:t>
            </w:r>
            <w:r>
              <w:rPr>
                <w:sz w:val="22"/>
                <w:szCs w:val="22"/>
              </w:rPr>
              <w:t xml:space="preserve">           Commissioner Millburn said it is important to note</w:t>
            </w:r>
            <w:r w:rsidR="00DE0D52">
              <w:rPr>
                <w:sz w:val="22"/>
                <w:szCs w:val="22"/>
              </w:rPr>
              <w:t xml:space="preserve"> they are not just looking at Davis County.  The commissioners </w:t>
            </w:r>
            <w:r w:rsidR="00DE0D52" w:rsidRPr="00DE0D52">
              <w:rPr>
                <w:sz w:val="22"/>
                <w:szCs w:val="22"/>
              </w:rPr>
              <w:t xml:space="preserve">interact with </w:t>
            </w:r>
            <w:r w:rsidR="00621153">
              <w:rPr>
                <w:sz w:val="22"/>
                <w:szCs w:val="22"/>
              </w:rPr>
              <w:t>other counties</w:t>
            </w:r>
            <w:r w:rsidR="00DE0D52">
              <w:rPr>
                <w:sz w:val="22"/>
                <w:szCs w:val="22"/>
              </w:rPr>
              <w:t xml:space="preserve"> </w:t>
            </w:r>
            <w:r w:rsidR="00DE0D52" w:rsidRPr="00DE0D52">
              <w:rPr>
                <w:sz w:val="22"/>
                <w:szCs w:val="22"/>
              </w:rPr>
              <w:t xml:space="preserve">across </w:t>
            </w:r>
            <w:r w:rsidR="00DE0D52">
              <w:rPr>
                <w:sz w:val="22"/>
                <w:szCs w:val="22"/>
              </w:rPr>
              <w:t>the state concerning their needs.  A</w:t>
            </w:r>
            <w:r w:rsidR="00DE0D52" w:rsidRPr="00DE0D52">
              <w:rPr>
                <w:sz w:val="22"/>
                <w:szCs w:val="22"/>
              </w:rPr>
              <w:t xml:space="preserve"> unified voice goes a lo</w:t>
            </w:r>
            <w:r w:rsidR="00DE0D52">
              <w:rPr>
                <w:sz w:val="22"/>
                <w:szCs w:val="22"/>
              </w:rPr>
              <w:t>n</w:t>
            </w:r>
            <w:r w:rsidR="00DE0D52" w:rsidRPr="00DE0D52">
              <w:rPr>
                <w:sz w:val="22"/>
                <w:szCs w:val="22"/>
              </w:rPr>
              <w:t xml:space="preserve">g way </w:t>
            </w:r>
            <w:r w:rsidR="00DE0D52">
              <w:rPr>
                <w:sz w:val="22"/>
                <w:szCs w:val="22"/>
              </w:rPr>
              <w:t>in addressing issues.</w:t>
            </w:r>
          </w:p>
          <w:p w:rsidR="00F1020C" w:rsidRPr="00D34449" w:rsidRDefault="00F1020C" w:rsidP="006772D8">
            <w:pPr>
              <w:spacing w:line="360" w:lineRule="auto"/>
              <w:rPr>
                <w:sz w:val="22"/>
                <w:szCs w:val="22"/>
              </w:rPr>
            </w:pP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C1035B">
            <w:pPr>
              <w:spacing w:line="360" w:lineRule="auto"/>
              <w:rPr>
                <w:sz w:val="22"/>
                <w:szCs w:val="22"/>
              </w:rPr>
            </w:pPr>
            <w:r>
              <w:rPr>
                <w:sz w:val="22"/>
                <w:szCs w:val="22"/>
              </w:rPr>
              <w:t>No Public Comments</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Default="00086C25" w:rsidP="00C1035B">
            <w:pPr>
              <w:spacing w:line="360" w:lineRule="auto"/>
              <w:rPr>
                <w:sz w:val="22"/>
                <w:szCs w:val="22"/>
              </w:rPr>
            </w:pPr>
            <w:r>
              <w:rPr>
                <w:sz w:val="22"/>
                <w:szCs w:val="22"/>
              </w:rPr>
              <w:t>Meeting adjourned.</w:t>
            </w:r>
          </w:p>
          <w:p w:rsidR="00086C25" w:rsidRDefault="00086C25" w:rsidP="00C1035B">
            <w:pPr>
              <w:spacing w:line="360" w:lineRule="auto"/>
              <w:rPr>
                <w:sz w:val="22"/>
                <w:szCs w:val="22"/>
              </w:rPr>
            </w:pPr>
          </w:p>
          <w:p w:rsidR="00086C25" w:rsidRDefault="00086C25" w:rsidP="00C1035B">
            <w:pPr>
              <w:spacing w:line="360" w:lineRule="auto"/>
              <w:rPr>
                <w:sz w:val="22"/>
                <w:szCs w:val="22"/>
              </w:rPr>
            </w:pPr>
          </w:p>
          <w:p w:rsidR="00086C25" w:rsidRDefault="00086C25" w:rsidP="00C1035B">
            <w:pPr>
              <w:rPr>
                <w:sz w:val="22"/>
                <w:szCs w:val="22"/>
              </w:rPr>
            </w:pPr>
            <w:r>
              <w:rPr>
                <w:sz w:val="22"/>
                <w:szCs w:val="22"/>
              </w:rPr>
              <w:t xml:space="preserve">          _________________________________                ______________________________</w:t>
            </w:r>
          </w:p>
          <w:p w:rsidR="00086C25" w:rsidRPr="00D34449" w:rsidRDefault="00086C25" w:rsidP="00C1035B">
            <w:pPr>
              <w:spacing w:line="360" w:lineRule="auto"/>
              <w:rPr>
                <w:sz w:val="22"/>
                <w:szCs w:val="22"/>
              </w:rPr>
            </w:pPr>
            <w:r>
              <w:rPr>
                <w:sz w:val="22"/>
                <w:szCs w:val="22"/>
              </w:rPr>
              <w:t xml:space="preserve">                              Clerk/Audit                                                                   Chair</w:t>
            </w:r>
          </w:p>
        </w:tc>
      </w:tr>
      <w:tr w:rsidR="00086C25" w:rsidTr="00C1035B">
        <w:trPr>
          <w:tblCellSpacing w:w="50" w:type="dxa"/>
        </w:trPr>
        <w:tc>
          <w:tcPr>
            <w:tcW w:w="1380" w:type="dxa"/>
          </w:tcPr>
          <w:p w:rsidR="00086C25" w:rsidRPr="004774E6" w:rsidRDefault="00086C25" w:rsidP="00C1035B">
            <w:pPr>
              <w:rPr>
                <w:sz w:val="18"/>
                <w:szCs w:val="18"/>
              </w:rPr>
            </w:pPr>
          </w:p>
        </w:tc>
        <w:tc>
          <w:tcPr>
            <w:tcW w:w="9984" w:type="dxa"/>
          </w:tcPr>
          <w:p w:rsidR="00086C25" w:rsidRPr="00D34449" w:rsidRDefault="00086C25" w:rsidP="00C1035B">
            <w:pPr>
              <w:spacing w:line="360" w:lineRule="auto"/>
              <w:rPr>
                <w:sz w:val="22"/>
                <w:szCs w:val="22"/>
              </w:rPr>
            </w:pPr>
          </w:p>
        </w:tc>
      </w:tr>
    </w:tbl>
    <w:p w:rsidR="00086C25" w:rsidRDefault="00086C25" w:rsidP="00086C25">
      <w:pPr>
        <w:rPr>
          <w:sz w:val="22"/>
        </w:rPr>
      </w:pPr>
    </w:p>
    <w:p w:rsidR="005737C9" w:rsidRDefault="00E33DC5"/>
    <w:sectPr w:rsidR="005737C9" w:rsidSect="00064E33">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25"/>
    <w:rsid w:val="000545F4"/>
    <w:rsid w:val="00086C25"/>
    <w:rsid w:val="000A607A"/>
    <w:rsid w:val="000C2ABD"/>
    <w:rsid w:val="00161C4B"/>
    <w:rsid w:val="001C2262"/>
    <w:rsid w:val="002409B8"/>
    <w:rsid w:val="002A45A2"/>
    <w:rsid w:val="003737C7"/>
    <w:rsid w:val="00383CE9"/>
    <w:rsid w:val="003853AC"/>
    <w:rsid w:val="00387146"/>
    <w:rsid w:val="003D43D5"/>
    <w:rsid w:val="00413C3B"/>
    <w:rsid w:val="00431123"/>
    <w:rsid w:val="004F01E7"/>
    <w:rsid w:val="005525B4"/>
    <w:rsid w:val="005A7804"/>
    <w:rsid w:val="00603D0D"/>
    <w:rsid w:val="00603EEA"/>
    <w:rsid w:val="00621153"/>
    <w:rsid w:val="006772D8"/>
    <w:rsid w:val="00724D17"/>
    <w:rsid w:val="00754D95"/>
    <w:rsid w:val="008046C9"/>
    <w:rsid w:val="008221B8"/>
    <w:rsid w:val="00987E94"/>
    <w:rsid w:val="009D4380"/>
    <w:rsid w:val="00A61A53"/>
    <w:rsid w:val="00A832BD"/>
    <w:rsid w:val="00A85C4D"/>
    <w:rsid w:val="00B216D6"/>
    <w:rsid w:val="00B2514C"/>
    <w:rsid w:val="00B42FAF"/>
    <w:rsid w:val="00B700B1"/>
    <w:rsid w:val="00BD32FA"/>
    <w:rsid w:val="00BF5444"/>
    <w:rsid w:val="00C0747F"/>
    <w:rsid w:val="00C10DF4"/>
    <w:rsid w:val="00C1642E"/>
    <w:rsid w:val="00C44CC8"/>
    <w:rsid w:val="00C86162"/>
    <w:rsid w:val="00D17CF3"/>
    <w:rsid w:val="00DE0D52"/>
    <w:rsid w:val="00E40CCA"/>
    <w:rsid w:val="00E47DC5"/>
    <w:rsid w:val="00ED67D4"/>
    <w:rsid w:val="00F1020C"/>
    <w:rsid w:val="00FC6EEB"/>
    <w:rsid w:val="00FD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6C25"/>
    <w:pPr>
      <w:spacing w:line="360" w:lineRule="auto"/>
    </w:pPr>
    <w:rPr>
      <w:sz w:val="22"/>
    </w:rPr>
  </w:style>
  <w:style w:type="character" w:customStyle="1" w:styleId="BodyText2Char">
    <w:name w:val="Body Text 2 Char"/>
    <w:basedOn w:val="DefaultParagraphFont"/>
    <w:link w:val="BodyText2"/>
    <w:rsid w:val="00086C25"/>
    <w:rPr>
      <w:rFonts w:ascii="Times New Roman" w:eastAsia="Times New Roman" w:hAnsi="Times New Roman" w:cs="Times New Roman"/>
      <w:szCs w:val="20"/>
    </w:rPr>
  </w:style>
  <w:style w:type="table" w:styleId="TableGrid">
    <w:name w:val="Table Grid"/>
    <w:basedOn w:val="TableNormal"/>
    <w:rsid w:val="00086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25"/>
    <w:rPr>
      <w:rFonts w:ascii="Tahoma" w:hAnsi="Tahoma" w:cs="Tahoma"/>
      <w:sz w:val="16"/>
      <w:szCs w:val="16"/>
    </w:rPr>
  </w:style>
  <w:style w:type="character" w:customStyle="1" w:styleId="BalloonTextChar">
    <w:name w:val="Balloon Text Char"/>
    <w:basedOn w:val="DefaultParagraphFont"/>
    <w:link w:val="BalloonText"/>
    <w:uiPriority w:val="99"/>
    <w:semiHidden/>
    <w:rsid w:val="00086C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6C25"/>
    <w:pPr>
      <w:spacing w:line="360" w:lineRule="auto"/>
    </w:pPr>
    <w:rPr>
      <w:sz w:val="22"/>
    </w:rPr>
  </w:style>
  <w:style w:type="character" w:customStyle="1" w:styleId="BodyText2Char">
    <w:name w:val="Body Text 2 Char"/>
    <w:basedOn w:val="DefaultParagraphFont"/>
    <w:link w:val="BodyText2"/>
    <w:rsid w:val="00086C25"/>
    <w:rPr>
      <w:rFonts w:ascii="Times New Roman" w:eastAsia="Times New Roman" w:hAnsi="Times New Roman" w:cs="Times New Roman"/>
      <w:szCs w:val="20"/>
    </w:rPr>
  </w:style>
  <w:style w:type="table" w:styleId="TableGrid">
    <w:name w:val="Table Grid"/>
    <w:basedOn w:val="TableNormal"/>
    <w:rsid w:val="00086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25"/>
    <w:rPr>
      <w:rFonts w:ascii="Tahoma" w:hAnsi="Tahoma" w:cs="Tahoma"/>
      <w:sz w:val="16"/>
      <w:szCs w:val="16"/>
    </w:rPr>
  </w:style>
  <w:style w:type="character" w:customStyle="1" w:styleId="BalloonTextChar">
    <w:name w:val="Balloon Text Char"/>
    <w:basedOn w:val="DefaultParagraphFont"/>
    <w:link w:val="BalloonText"/>
    <w:uiPriority w:val="99"/>
    <w:semiHidden/>
    <w:rsid w:val="00086C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sbrady</dc:creator>
  <cp:lastModifiedBy>sbrady</cp:lastModifiedBy>
  <cp:revision>2</cp:revision>
  <cp:lastPrinted>2014-03-13T22:17:00Z</cp:lastPrinted>
  <dcterms:created xsi:type="dcterms:W3CDTF">2014-03-18T22:01:00Z</dcterms:created>
  <dcterms:modified xsi:type="dcterms:W3CDTF">2014-03-18T22:01:00Z</dcterms:modified>
</cp:coreProperties>
</file>