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145" w:rsidRPr="006A0CCD" w:rsidRDefault="002F1145">
      <w:pPr>
        <w:rPr>
          <w:rFonts w:ascii="Times New Roman" w:hAnsi="Times New Roman" w:cs="Times New Roman"/>
          <w:b/>
          <w:sz w:val="36"/>
          <w:szCs w:val="36"/>
        </w:rPr>
      </w:pPr>
      <w:r w:rsidRPr="006A0CCD">
        <w:rPr>
          <w:rFonts w:ascii="Times New Roman" w:hAnsi="Times New Roman" w:cs="Times New Roman"/>
          <w:b/>
          <w:sz w:val="36"/>
          <w:szCs w:val="36"/>
        </w:rPr>
        <w:t>Interoffice Memorandum</w:t>
      </w:r>
    </w:p>
    <w:p w:rsidR="002F1145" w:rsidRPr="006A0CCD" w:rsidRDefault="002F1145">
      <w:pPr>
        <w:rPr>
          <w:rFonts w:ascii="Times New Roman" w:hAnsi="Times New Roman" w:cs="Times New Roman"/>
          <w:sz w:val="24"/>
          <w:szCs w:val="24"/>
        </w:rPr>
      </w:pPr>
      <w:r w:rsidRPr="006A0CCD">
        <w:rPr>
          <w:rFonts w:ascii="Times New Roman" w:hAnsi="Times New Roman" w:cs="Times New Roman"/>
          <w:sz w:val="24"/>
          <w:szCs w:val="24"/>
        </w:rPr>
        <w:t>Subject to Attorney Client Privilege</w:t>
      </w:r>
    </w:p>
    <w:p w:rsidR="002F1145" w:rsidRPr="006A0CCD" w:rsidRDefault="002F1145" w:rsidP="002F1145">
      <w:pPr>
        <w:spacing w:after="0" w:line="240" w:lineRule="auto"/>
        <w:rPr>
          <w:rFonts w:ascii="Times New Roman" w:hAnsi="Times New Roman" w:cs="Times New Roman"/>
          <w:sz w:val="24"/>
          <w:szCs w:val="24"/>
        </w:rPr>
      </w:pPr>
      <w:r w:rsidRPr="006A0CCD">
        <w:rPr>
          <w:rFonts w:ascii="Times New Roman" w:hAnsi="Times New Roman" w:cs="Times New Roman"/>
          <w:sz w:val="24"/>
          <w:szCs w:val="24"/>
        </w:rPr>
        <w:t>Date:  June 1, 2015</w:t>
      </w:r>
    </w:p>
    <w:p w:rsidR="002F1145" w:rsidRPr="006A0CCD" w:rsidRDefault="002F1145" w:rsidP="002F1145">
      <w:pPr>
        <w:spacing w:after="0" w:line="240" w:lineRule="auto"/>
        <w:rPr>
          <w:rFonts w:ascii="Times New Roman" w:hAnsi="Times New Roman" w:cs="Times New Roman"/>
          <w:sz w:val="24"/>
          <w:szCs w:val="24"/>
        </w:rPr>
      </w:pPr>
      <w:r w:rsidRPr="006A0CCD">
        <w:rPr>
          <w:rFonts w:ascii="Times New Roman" w:hAnsi="Times New Roman" w:cs="Times New Roman"/>
          <w:sz w:val="24"/>
          <w:szCs w:val="24"/>
        </w:rPr>
        <w:t>To:  Mayor and City Council</w:t>
      </w:r>
    </w:p>
    <w:p w:rsidR="002F1145" w:rsidRPr="006A0CCD" w:rsidRDefault="002F1145" w:rsidP="002F1145">
      <w:pPr>
        <w:spacing w:after="0" w:line="240" w:lineRule="auto"/>
        <w:rPr>
          <w:rFonts w:ascii="Times New Roman" w:hAnsi="Times New Roman" w:cs="Times New Roman"/>
          <w:sz w:val="24"/>
          <w:szCs w:val="24"/>
        </w:rPr>
      </w:pPr>
      <w:r w:rsidRPr="006A0CCD">
        <w:rPr>
          <w:rFonts w:ascii="Times New Roman" w:hAnsi="Times New Roman" w:cs="Times New Roman"/>
          <w:sz w:val="24"/>
          <w:szCs w:val="24"/>
        </w:rPr>
        <w:t>Cc: Scott Darrington</w:t>
      </w:r>
    </w:p>
    <w:p w:rsidR="002F1145" w:rsidRPr="006A0CCD" w:rsidRDefault="002F1145">
      <w:pPr>
        <w:rPr>
          <w:rFonts w:ascii="Times New Roman" w:hAnsi="Times New Roman" w:cs="Times New Roman"/>
          <w:sz w:val="24"/>
          <w:szCs w:val="24"/>
        </w:rPr>
      </w:pPr>
    </w:p>
    <w:p w:rsidR="002F1145" w:rsidRPr="006A0CCD" w:rsidRDefault="002F1145">
      <w:pPr>
        <w:rPr>
          <w:rFonts w:ascii="Times New Roman" w:hAnsi="Times New Roman" w:cs="Times New Roman"/>
          <w:sz w:val="24"/>
          <w:szCs w:val="24"/>
        </w:rPr>
      </w:pPr>
      <w:r w:rsidRPr="006A0CCD">
        <w:rPr>
          <w:rFonts w:ascii="Times New Roman" w:hAnsi="Times New Roman" w:cs="Times New Roman"/>
          <w:sz w:val="24"/>
          <w:szCs w:val="24"/>
        </w:rPr>
        <w:t xml:space="preserve">In an attempt to answer some of the questions that arose during last week’s city council meeting regarding the status of the golf course and our commitment I have reviewed the City’s files and found the following: </w:t>
      </w:r>
    </w:p>
    <w:p w:rsidR="004E577A" w:rsidRDefault="002F1145" w:rsidP="004E577A">
      <w:pPr>
        <w:ind w:firstLine="720"/>
      </w:pPr>
      <w:r w:rsidRPr="006A0CCD">
        <w:rPr>
          <w:rFonts w:ascii="Times New Roman" w:hAnsi="Times New Roman" w:cs="Times New Roman"/>
          <w:sz w:val="24"/>
          <w:szCs w:val="24"/>
        </w:rPr>
        <w:t>The G</w:t>
      </w:r>
      <w:r w:rsidR="004E577A" w:rsidRPr="006A0CCD">
        <w:rPr>
          <w:rFonts w:ascii="Times New Roman" w:hAnsi="Times New Roman" w:cs="Times New Roman"/>
          <w:sz w:val="24"/>
          <w:szCs w:val="24"/>
        </w:rPr>
        <w:t>olf Course was established in 1969. The land used to build the golf course was owned by American Fork City and some was owned by the State of Utah.  All 3 cities agreed to be responsible for 1/3 of the operating and maintenance costs and the costs of acquiring land from the State. See paragraph below:</w:t>
      </w:r>
      <w:r w:rsidR="004E577A">
        <w:rPr>
          <w:noProof/>
        </w:rPr>
        <w:drawing>
          <wp:inline distT="0" distB="0" distL="0" distR="0">
            <wp:extent cx="5943600" cy="164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44090"/>
                    </a:xfrm>
                    <a:prstGeom prst="rect">
                      <a:avLst/>
                    </a:prstGeom>
                    <a:noFill/>
                    <a:ln>
                      <a:noFill/>
                    </a:ln>
                  </pic:spPr>
                </pic:pic>
              </a:graphicData>
            </a:graphic>
          </wp:inline>
        </w:drawing>
      </w:r>
      <w:r w:rsidR="004E577A">
        <w:t xml:space="preserve">        </w:t>
      </w:r>
    </w:p>
    <w:p w:rsidR="009F4A49" w:rsidRPr="006A0CCD" w:rsidRDefault="009F4A49" w:rsidP="004E577A">
      <w:pPr>
        <w:ind w:firstLine="720"/>
        <w:rPr>
          <w:rFonts w:ascii="Times New Roman" w:hAnsi="Times New Roman" w:cs="Times New Roman"/>
          <w:sz w:val="24"/>
          <w:szCs w:val="24"/>
        </w:rPr>
      </w:pPr>
      <w:r w:rsidRPr="006A0CCD">
        <w:rPr>
          <w:rFonts w:ascii="Times New Roman" w:hAnsi="Times New Roman" w:cs="Times New Roman"/>
          <w:sz w:val="24"/>
          <w:szCs w:val="24"/>
        </w:rPr>
        <w:t>That agreement did have a termination clause. It read as follows:</w:t>
      </w:r>
    </w:p>
    <w:p w:rsidR="009F4A49" w:rsidRDefault="009F4A49" w:rsidP="004E577A">
      <w:pPr>
        <w:ind w:firstLine="720"/>
      </w:pPr>
      <w:r>
        <w:rPr>
          <w:noProof/>
        </w:rPr>
        <w:drawing>
          <wp:inline distT="0" distB="0" distL="0" distR="0">
            <wp:extent cx="5943600" cy="1909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09922"/>
                    </a:xfrm>
                    <a:prstGeom prst="rect">
                      <a:avLst/>
                    </a:prstGeom>
                    <a:noFill/>
                    <a:ln>
                      <a:noFill/>
                    </a:ln>
                  </pic:spPr>
                </pic:pic>
              </a:graphicData>
            </a:graphic>
          </wp:inline>
        </w:drawing>
      </w:r>
    </w:p>
    <w:p w:rsidR="009F4A49" w:rsidRPr="006A0CCD" w:rsidRDefault="009F4A49" w:rsidP="004E577A">
      <w:pPr>
        <w:ind w:firstLine="720"/>
        <w:rPr>
          <w:rFonts w:ascii="Times New Roman" w:hAnsi="Times New Roman" w:cs="Times New Roman"/>
          <w:sz w:val="24"/>
          <w:szCs w:val="24"/>
        </w:rPr>
      </w:pPr>
      <w:r w:rsidRPr="006A0CCD">
        <w:rPr>
          <w:rFonts w:ascii="Times New Roman" w:hAnsi="Times New Roman" w:cs="Times New Roman"/>
          <w:sz w:val="24"/>
          <w:szCs w:val="24"/>
        </w:rPr>
        <w:t>Even in this first agreement the real property used to construct the golf course was designated to remain in American Fork City’s ownership.</w:t>
      </w:r>
      <w:r w:rsidR="00C91464" w:rsidRPr="006A0CCD">
        <w:rPr>
          <w:rFonts w:ascii="Times New Roman" w:hAnsi="Times New Roman" w:cs="Times New Roman"/>
          <w:sz w:val="24"/>
          <w:szCs w:val="24"/>
        </w:rPr>
        <w:t xml:space="preserve"> Also, the documents I found concerning the construction of the golf course and the funds received from the Federal </w:t>
      </w:r>
      <w:r w:rsidR="00C91464" w:rsidRPr="006A0CCD">
        <w:rPr>
          <w:rFonts w:ascii="Times New Roman" w:hAnsi="Times New Roman" w:cs="Times New Roman"/>
          <w:sz w:val="24"/>
          <w:szCs w:val="24"/>
        </w:rPr>
        <w:lastRenderedPageBreak/>
        <w:t xml:space="preserve">Government to assist in covering the costs also declared that: “Future maintenance and operations shall be shared equally between the three cities.” </w:t>
      </w:r>
    </w:p>
    <w:p w:rsidR="002F1145" w:rsidRPr="006A0CCD" w:rsidRDefault="004E007E" w:rsidP="004E577A">
      <w:pPr>
        <w:ind w:firstLine="720"/>
        <w:rPr>
          <w:rFonts w:ascii="Times New Roman" w:hAnsi="Times New Roman" w:cs="Times New Roman"/>
          <w:sz w:val="24"/>
          <w:szCs w:val="24"/>
        </w:rPr>
      </w:pPr>
      <w:r w:rsidRPr="006A0CCD">
        <w:rPr>
          <w:rFonts w:ascii="Times New Roman" w:hAnsi="Times New Roman" w:cs="Times New Roman"/>
          <w:sz w:val="24"/>
          <w:szCs w:val="24"/>
        </w:rPr>
        <w:t xml:space="preserve">Interestingly enough, I found a letter from American Fork City dated April 10, 1991 wherein they offered to purchase Pleasant Grove’s share in the golf course for $226,863.00 plus 1/3 of the accumulated surplus at the end of the 1991 fiscal year. AF would then assume possession and responsibility for operation of Pleasant Grove’s interest in the golf course. </w:t>
      </w:r>
      <w:r w:rsidR="002F1145" w:rsidRPr="006A0CCD">
        <w:rPr>
          <w:rFonts w:ascii="Times New Roman" w:hAnsi="Times New Roman" w:cs="Times New Roman"/>
          <w:sz w:val="24"/>
          <w:szCs w:val="24"/>
        </w:rPr>
        <w:t xml:space="preserve"> The minutes of the City Council for April 2, 1991 indicate a discussion on the TriCity golf course. American Fork had requested that Pleasant Grove pay approximately $11,000.00 in past due assessments for the golf course. During the meeting Mayor Holdaway asked the AF mayor if he was aware that there had been some discussion on AF City’s part about purchasing Pleasant Grove’s share in the golf course. Mayor Hutchins said that he was not, but that there were newspaper reports to that effect.  (I don’t have copies of those newspaper articles). The council stated that they were interested in considering an offer, but stated that they felt it was worth more than $280,000.  The plan was to sell and put the proceeds back into the parks and recreation fund. The council mentioned the idea that they could create an “endowment” of sorts for the parks and rec department with the interest generated off the principal amount.  A formal offer to purchase our share was made in the letter dated April 10</w:t>
      </w:r>
      <w:r w:rsidR="002F1145" w:rsidRPr="006A0CCD">
        <w:rPr>
          <w:rFonts w:ascii="Times New Roman" w:hAnsi="Times New Roman" w:cs="Times New Roman"/>
          <w:sz w:val="24"/>
          <w:szCs w:val="24"/>
          <w:vertAlign w:val="superscript"/>
        </w:rPr>
        <w:t xml:space="preserve">th </w:t>
      </w:r>
      <w:r w:rsidR="002F1145" w:rsidRPr="006A0CCD">
        <w:rPr>
          <w:rFonts w:ascii="Times New Roman" w:hAnsi="Times New Roman" w:cs="Times New Roman"/>
          <w:sz w:val="24"/>
          <w:szCs w:val="24"/>
        </w:rPr>
        <w:t xml:space="preserve">1991.  The minutes of the Pleasant Grove City Council dated </w:t>
      </w:r>
      <w:r w:rsidR="00B94F26" w:rsidRPr="006A0CCD">
        <w:rPr>
          <w:rFonts w:ascii="Times New Roman" w:hAnsi="Times New Roman" w:cs="Times New Roman"/>
          <w:sz w:val="24"/>
          <w:szCs w:val="24"/>
        </w:rPr>
        <w:t xml:space="preserve">April 16, 1991 state that Mayor Holdaway presented the offer to the council and recommended that it not be accepted.  The reasoning seemed to hinge on the fact that they were concerned that AF would purchase our share, then place the golf course on the market and get much more for it than what they had paid us. Also, “many citizens were present and expressed their concerns at Pleasant grove selling out.” Mayor Holdaway stated that he felt that the council had 2 options: (1) to dismiss the letter outright; or (2) to make a counter offer. The Council decided to dismiss the offer and asked Mayor Holdaway to write a letter to American Fork City.  There is no record in the minutes of the votes cast, but Bill West was on the council at the time. </w:t>
      </w:r>
    </w:p>
    <w:p w:rsidR="00853B46" w:rsidRPr="006A0CCD" w:rsidRDefault="00853B46" w:rsidP="004E577A">
      <w:pPr>
        <w:ind w:firstLine="720"/>
        <w:rPr>
          <w:rFonts w:ascii="Times New Roman" w:hAnsi="Times New Roman" w:cs="Times New Roman"/>
          <w:sz w:val="24"/>
          <w:szCs w:val="24"/>
        </w:rPr>
      </w:pPr>
      <w:r w:rsidRPr="006A0CCD">
        <w:rPr>
          <w:rFonts w:ascii="Times New Roman" w:hAnsi="Times New Roman" w:cs="Times New Roman"/>
          <w:sz w:val="24"/>
          <w:szCs w:val="24"/>
        </w:rPr>
        <w:t xml:space="preserve">There were approximately 84 acres that were owned by the State of Utah necessary for the creation of the golf course.  A 99 year lease agreement was entered into with the State for that property. In October of 2001 the 3 cities purchased those 84 acres and a few more (95.168 total) from the State for $450,000.00.  The repayment contract was for 15 years at 6% interest. Dean informs me that our annual portion of the payment is about $15,000.00. The contract shows that the payments end in November of 2016. There is a reversionary clause in the contract that says that if the property is ever used for anything other than a golf course, the property reverts back to the State of Utah. </w:t>
      </w:r>
      <w:r w:rsidR="009F3B5E" w:rsidRPr="006A0CCD">
        <w:rPr>
          <w:rFonts w:ascii="Times New Roman" w:hAnsi="Times New Roman" w:cs="Times New Roman"/>
          <w:sz w:val="24"/>
          <w:szCs w:val="24"/>
        </w:rPr>
        <w:t>(</w:t>
      </w:r>
      <w:r w:rsidR="00B94F26" w:rsidRPr="006A0CCD">
        <w:rPr>
          <w:rFonts w:ascii="Times New Roman" w:hAnsi="Times New Roman" w:cs="Times New Roman"/>
          <w:sz w:val="24"/>
          <w:szCs w:val="24"/>
        </w:rPr>
        <w:t>Thus</w:t>
      </w:r>
      <w:r w:rsidR="009F3B5E" w:rsidRPr="006A0CCD">
        <w:rPr>
          <w:rFonts w:ascii="Times New Roman" w:hAnsi="Times New Roman" w:cs="Times New Roman"/>
          <w:sz w:val="24"/>
          <w:szCs w:val="24"/>
        </w:rPr>
        <w:t xml:space="preserve"> negating the option of selling the golf course for housing development)</w:t>
      </w:r>
    </w:p>
    <w:p w:rsidR="00BB7631" w:rsidRPr="006A0CCD" w:rsidRDefault="009F4A49" w:rsidP="004E577A">
      <w:pPr>
        <w:ind w:firstLine="720"/>
        <w:rPr>
          <w:rFonts w:ascii="Times New Roman" w:hAnsi="Times New Roman" w:cs="Times New Roman"/>
          <w:sz w:val="24"/>
          <w:szCs w:val="24"/>
        </w:rPr>
      </w:pPr>
      <w:r w:rsidRPr="006A0CCD">
        <w:rPr>
          <w:rFonts w:ascii="Times New Roman" w:hAnsi="Times New Roman" w:cs="Times New Roman"/>
          <w:sz w:val="24"/>
          <w:szCs w:val="24"/>
        </w:rPr>
        <w:t xml:space="preserve">In </w:t>
      </w:r>
      <w:r w:rsidR="00E547C7" w:rsidRPr="006A0CCD">
        <w:rPr>
          <w:rFonts w:ascii="Times New Roman" w:hAnsi="Times New Roman" w:cs="Times New Roman"/>
          <w:sz w:val="24"/>
          <w:szCs w:val="24"/>
        </w:rPr>
        <w:t xml:space="preserve">March of </w:t>
      </w:r>
      <w:r w:rsidRPr="006A0CCD">
        <w:rPr>
          <w:rFonts w:ascii="Times New Roman" w:hAnsi="Times New Roman" w:cs="Times New Roman"/>
          <w:sz w:val="24"/>
          <w:szCs w:val="24"/>
        </w:rPr>
        <w:t xml:space="preserve">2006 a new Operating Agreement was executed between the 3 cities. A Golf Course Committee was established with representation from each city.  </w:t>
      </w:r>
      <w:r w:rsidR="00BB7631" w:rsidRPr="006A0CCD">
        <w:rPr>
          <w:rFonts w:ascii="Times New Roman" w:hAnsi="Times New Roman" w:cs="Times New Roman"/>
          <w:sz w:val="24"/>
          <w:szCs w:val="24"/>
        </w:rPr>
        <w:t xml:space="preserve">The </w:t>
      </w:r>
      <w:r w:rsidRPr="006A0CCD">
        <w:rPr>
          <w:rFonts w:ascii="Times New Roman" w:hAnsi="Times New Roman" w:cs="Times New Roman"/>
          <w:sz w:val="24"/>
          <w:szCs w:val="24"/>
        </w:rPr>
        <w:t>relevant provisions of that agreement</w:t>
      </w:r>
      <w:r w:rsidR="00BB7631" w:rsidRPr="006A0CCD">
        <w:rPr>
          <w:rFonts w:ascii="Times New Roman" w:hAnsi="Times New Roman" w:cs="Times New Roman"/>
          <w:sz w:val="24"/>
          <w:szCs w:val="24"/>
        </w:rPr>
        <w:t xml:space="preserve"> state</w:t>
      </w:r>
      <w:r w:rsidRPr="006A0CCD">
        <w:rPr>
          <w:rFonts w:ascii="Times New Roman" w:hAnsi="Times New Roman" w:cs="Times New Roman"/>
          <w:sz w:val="24"/>
          <w:szCs w:val="24"/>
        </w:rPr>
        <w:t>:</w:t>
      </w:r>
    </w:p>
    <w:p w:rsidR="00BB7631" w:rsidRPr="006A0CCD" w:rsidRDefault="00BB7631" w:rsidP="00BB7631">
      <w:pPr>
        <w:pStyle w:val="ListParagraph"/>
        <w:numPr>
          <w:ilvl w:val="0"/>
          <w:numId w:val="2"/>
        </w:numPr>
        <w:rPr>
          <w:rFonts w:ascii="Times New Roman" w:hAnsi="Times New Roman" w:cs="Times New Roman"/>
          <w:sz w:val="24"/>
          <w:szCs w:val="24"/>
        </w:rPr>
      </w:pPr>
      <w:r w:rsidRPr="006A0CCD">
        <w:rPr>
          <w:rFonts w:ascii="Times New Roman" w:hAnsi="Times New Roman" w:cs="Times New Roman"/>
          <w:sz w:val="24"/>
          <w:szCs w:val="24"/>
        </w:rPr>
        <w:lastRenderedPageBreak/>
        <w:t xml:space="preserve"> That all proposals for major capital improvement costs will be presented to the Cities and shared equally between the 3 cities.</w:t>
      </w:r>
    </w:p>
    <w:p w:rsidR="00BB7631" w:rsidRPr="006A0CCD" w:rsidRDefault="00BB7631" w:rsidP="00BB7631">
      <w:pPr>
        <w:pStyle w:val="ListParagraph"/>
        <w:numPr>
          <w:ilvl w:val="0"/>
          <w:numId w:val="2"/>
        </w:numPr>
        <w:rPr>
          <w:rFonts w:ascii="Times New Roman" w:hAnsi="Times New Roman" w:cs="Times New Roman"/>
          <w:sz w:val="24"/>
          <w:szCs w:val="24"/>
        </w:rPr>
      </w:pPr>
      <w:r w:rsidRPr="006A0CCD">
        <w:rPr>
          <w:rFonts w:ascii="Times New Roman" w:hAnsi="Times New Roman" w:cs="Times New Roman"/>
          <w:sz w:val="24"/>
          <w:szCs w:val="24"/>
        </w:rPr>
        <w:t>The land purchased from the State of Utah has a condition of purchase – the land may not be used for any other purpose than a golf course, or it will revert back to the State of Utah.</w:t>
      </w:r>
    </w:p>
    <w:p w:rsidR="00BB7631" w:rsidRPr="006A0CCD" w:rsidRDefault="00BB7631" w:rsidP="00BB7631">
      <w:pPr>
        <w:pStyle w:val="ListParagraph"/>
        <w:numPr>
          <w:ilvl w:val="0"/>
          <w:numId w:val="2"/>
        </w:numPr>
        <w:rPr>
          <w:rFonts w:ascii="Times New Roman" w:hAnsi="Times New Roman" w:cs="Times New Roman"/>
          <w:sz w:val="24"/>
          <w:szCs w:val="24"/>
        </w:rPr>
      </w:pPr>
      <w:r w:rsidRPr="006A0CCD">
        <w:rPr>
          <w:rFonts w:ascii="Times New Roman" w:hAnsi="Times New Roman" w:cs="Times New Roman"/>
          <w:sz w:val="24"/>
          <w:szCs w:val="24"/>
        </w:rPr>
        <w:t xml:space="preserve">At the conclusion of each year’s operation, an audit of the books will be made. Any loss from the operations of the course will be shared on an equal basis by all 3 cities. Any net profits shall be used to meet capital needs and upgrade the facilities. </w:t>
      </w:r>
    </w:p>
    <w:p w:rsidR="00BB7631" w:rsidRPr="006A0CCD" w:rsidRDefault="00BB7631" w:rsidP="00BB7631">
      <w:pPr>
        <w:pStyle w:val="ListParagraph"/>
        <w:numPr>
          <w:ilvl w:val="0"/>
          <w:numId w:val="2"/>
        </w:numPr>
        <w:rPr>
          <w:rFonts w:ascii="Times New Roman" w:hAnsi="Times New Roman" w:cs="Times New Roman"/>
          <w:sz w:val="24"/>
          <w:szCs w:val="24"/>
        </w:rPr>
      </w:pPr>
      <w:r w:rsidRPr="006A0CCD">
        <w:rPr>
          <w:rFonts w:ascii="Times New Roman" w:hAnsi="Times New Roman" w:cs="Times New Roman"/>
          <w:sz w:val="24"/>
          <w:szCs w:val="24"/>
        </w:rPr>
        <w:t xml:space="preserve">The Golf Course Committee </w:t>
      </w:r>
      <w:r w:rsidR="00924783">
        <w:rPr>
          <w:rFonts w:ascii="Times New Roman" w:hAnsi="Times New Roman" w:cs="Times New Roman"/>
          <w:sz w:val="24"/>
          <w:szCs w:val="24"/>
        </w:rPr>
        <w:t>is</w:t>
      </w:r>
      <w:r w:rsidR="00E72089" w:rsidRPr="006A0CCD">
        <w:rPr>
          <w:rFonts w:ascii="Times New Roman" w:hAnsi="Times New Roman" w:cs="Times New Roman"/>
          <w:sz w:val="24"/>
          <w:szCs w:val="24"/>
        </w:rPr>
        <w:t xml:space="preserve"> responsible for setting the annual budget and the Chairman and city finance officer of the city in charge for that year are responsible for reviewing the approved budget. </w:t>
      </w:r>
    </w:p>
    <w:p w:rsidR="00346B1C" w:rsidRDefault="00E547C7" w:rsidP="004E577A">
      <w:pPr>
        <w:ind w:firstLine="720"/>
      </w:pPr>
      <w:r w:rsidRPr="006A0CCD">
        <w:rPr>
          <w:rFonts w:ascii="Times New Roman" w:hAnsi="Times New Roman" w:cs="Times New Roman"/>
          <w:sz w:val="24"/>
          <w:szCs w:val="24"/>
        </w:rPr>
        <w:t xml:space="preserve">In </w:t>
      </w:r>
      <w:r w:rsidR="00346B1C" w:rsidRPr="006A0CCD">
        <w:rPr>
          <w:rFonts w:ascii="Times New Roman" w:hAnsi="Times New Roman" w:cs="Times New Roman"/>
          <w:sz w:val="24"/>
          <w:szCs w:val="24"/>
        </w:rPr>
        <w:t>September of 2006 the following article appeared in the Daily Herald regarding the decision to issue bonds and mak</w:t>
      </w:r>
      <w:bookmarkStart w:id="0" w:name="_GoBack"/>
      <w:bookmarkEnd w:id="0"/>
      <w:r w:rsidR="00346B1C" w:rsidRPr="006A0CCD">
        <w:rPr>
          <w:rFonts w:ascii="Times New Roman" w:hAnsi="Times New Roman" w:cs="Times New Roman"/>
          <w:sz w:val="24"/>
          <w:szCs w:val="24"/>
        </w:rPr>
        <w:t>e improvements to the golf course and club house.</w:t>
      </w:r>
      <w:r w:rsidR="00346B1C">
        <w:t xml:space="preserve"> </w:t>
      </w:r>
      <w:r w:rsidR="00346B1C">
        <w:rPr>
          <w:noProof/>
        </w:rPr>
        <w:drawing>
          <wp:inline distT="0" distB="0" distL="0" distR="0">
            <wp:extent cx="5943600" cy="387839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78399"/>
                    </a:xfrm>
                    <a:prstGeom prst="rect">
                      <a:avLst/>
                    </a:prstGeom>
                    <a:noFill/>
                    <a:ln>
                      <a:noFill/>
                    </a:ln>
                  </pic:spPr>
                </pic:pic>
              </a:graphicData>
            </a:graphic>
          </wp:inline>
        </w:drawing>
      </w:r>
    </w:p>
    <w:p w:rsidR="00C91464" w:rsidRPr="006A0CCD" w:rsidRDefault="00C91464" w:rsidP="004E577A">
      <w:pPr>
        <w:ind w:firstLine="720"/>
        <w:rPr>
          <w:rFonts w:ascii="Times New Roman" w:hAnsi="Times New Roman" w:cs="Times New Roman"/>
          <w:sz w:val="24"/>
          <w:szCs w:val="24"/>
        </w:rPr>
      </w:pPr>
      <w:r w:rsidRPr="006A0CCD">
        <w:rPr>
          <w:rFonts w:ascii="Times New Roman" w:hAnsi="Times New Roman" w:cs="Times New Roman"/>
          <w:sz w:val="24"/>
          <w:szCs w:val="24"/>
        </w:rPr>
        <w:t xml:space="preserve">The bonds were issued in </w:t>
      </w:r>
      <w:r w:rsidR="00650340" w:rsidRPr="006A0CCD">
        <w:rPr>
          <w:rFonts w:ascii="Times New Roman" w:hAnsi="Times New Roman" w:cs="Times New Roman"/>
          <w:sz w:val="24"/>
          <w:szCs w:val="24"/>
        </w:rPr>
        <w:t xml:space="preserve">November of </w:t>
      </w:r>
      <w:r w:rsidRPr="006A0CCD">
        <w:rPr>
          <w:rFonts w:ascii="Times New Roman" w:hAnsi="Times New Roman" w:cs="Times New Roman"/>
          <w:sz w:val="24"/>
          <w:szCs w:val="24"/>
        </w:rPr>
        <w:t xml:space="preserve">2007 and as part of that bond issuance </w:t>
      </w:r>
      <w:r w:rsidR="00D9247F" w:rsidRPr="006A0CCD">
        <w:rPr>
          <w:rFonts w:ascii="Times New Roman" w:hAnsi="Times New Roman" w:cs="Times New Roman"/>
          <w:sz w:val="24"/>
          <w:szCs w:val="24"/>
        </w:rPr>
        <w:t>four</w:t>
      </w:r>
      <w:r w:rsidRPr="006A0CCD">
        <w:rPr>
          <w:rFonts w:ascii="Times New Roman" w:hAnsi="Times New Roman" w:cs="Times New Roman"/>
          <w:sz w:val="24"/>
          <w:szCs w:val="24"/>
        </w:rPr>
        <w:t xml:space="preserve"> things occurred: (1) a new entity called the TriCity Interlocal Agency was created in order to provide for a separate entity to be the bond issuer; (2) a </w:t>
      </w:r>
      <w:r w:rsidRPr="006A0CCD">
        <w:rPr>
          <w:rFonts w:ascii="Times New Roman" w:hAnsi="Times New Roman" w:cs="Times New Roman"/>
          <w:sz w:val="24"/>
          <w:szCs w:val="24"/>
          <w:u w:val="single"/>
        </w:rPr>
        <w:t>new</w:t>
      </w:r>
      <w:r w:rsidRPr="006A0CCD">
        <w:rPr>
          <w:rFonts w:ascii="Times New Roman" w:hAnsi="Times New Roman" w:cs="Times New Roman"/>
          <w:sz w:val="24"/>
          <w:szCs w:val="24"/>
        </w:rPr>
        <w:t xml:space="preserve"> </w:t>
      </w:r>
      <w:r w:rsidR="00924783">
        <w:rPr>
          <w:rFonts w:ascii="Times New Roman" w:hAnsi="Times New Roman" w:cs="Times New Roman"/>
          <w:sz w:val="24"/>
          <w:szCs w:val="24"/>
        </w:rPr>
        <w:t>Interlocal A</w:t>
      </w:r>
      <w:r w:rsidRPr="006A0CCD">
        <w:rPr>
          <w:rFonts w:ascii="Times New Roman" w:hAnsi="Times New Roman" w:cs="Times New Roman"/>
          <w:sz w:val="24"/>
          <w:szCs w:val="24"/>
        </w:rPr>
        <w:t>greement was executed</w:t>
      </w:r>
      <w:r w:rsidR="009F3B5E" w:rsidRPr="006A0CCD">
        <w:rPr>
          <w:rFonts w:ascii="Times New Roman" w:hAnsi="Times New Roman" w:cs="Times New Roman"/>
          <w:sz w:val="24"/>
          <w:szCs w:val="24"/>
        </w:rPr>
        <w:t xml:space="preserve"> </w:t>
      </w:r>
      <w:r w:rsidR="00924783">
        <w:rPr>
          <w:rFonts w:ascii="Times New Roman" w:hAnsi="Times New Roman" w:cs="Times New Roman"/>
          <w:sz w:val="24"/>
          <w:szCs w:val="24"/>
        </w:rPr>
        <w:t xml:space="preserve">which provided for the operation and management of the course </w:t>
      </w:r>
      <w:r w:rsidR="009F3B5E" w:rsidRPr="006A0CCD">
        <w:rPr>
          <w:rFonts w:ascii="Times New Roman" w:hAnsi="Times New Roman" w:cs="Times New Roman"/>
          <w:sz w:val="24"/>
          <w:szCs w:val="24"/>
        </w:rPr>
        <w:t xml:space="preserve">and the 2006 Agreement was </w:t>
      </w:r>
      <w:r w:rsidR="00B94F26" w:rsidRPr="006A0CCD">
        <w:rPr>
          <w:rFonts w:ascii="Times New Roman" w:hAnsi="Times New Roman" w:cs="Times New Roman"/>
          <w:sz w:val="24"/>
          <w:szCs w:val="24"/>
        </w:rPr>
        <w:t>superseded</w:t>
      </w:r>
      <w:r w:rsidRPr="006A0CCD">
        <w:rPr>
          <w:rFonts w:ascii="Times New Roman" w:hAnsi="Times New Roman" w:cs="Times New Roman"/>
          <w:sz w:val="24"/>
          <w:szCs w:val="24"/>
        </w:rPr>
        <w:t xml:space="preserve">; </w:t>
      </w:r>
      <w:r w:rsidR="00D9247F" w:rsidRPr="006A0CCD">
        <w:rPr>
          <w:rFonts w:ascii="Times New Roman" w:hAnsi="Times New Roman" w:cs="Times New Roman"/>
          <w:sz w:val="24"/>
          <w:szCs w:val="24"/>
        </w:rPr>
        <w:t xml:space="preserve">(3) the City approved an Assessment Agreement; </w:t>
      </w:r>
      <w:r w:rsidRPr="006A0CCD">
        <w:rPr>
          <w:rFonts w:ascii="Times New Roman" w:hAnsi="Times New Roman" w:cs="Times New Roman"/>
          <w:sz w:val="24"/>
          <w:szCs w:val="24"/>
        </w:rPr>
        <w:t>and (</w:t>
      </w:r>
      <w:r w:rsidR="00D9247F" w:rsidRPr="006A0CCD">
        <w:rPr>
          <w:rFonts w:ascii="Times New Roman" w:hAnsi="Times New Roman" w:cs="Times New Roman"/>
          <w:sz w:val="24"/>
          <w:szCs w:val="24"/>
        </w:rPr>
        <w:t>4</w:t>
      </w:r>
      <w:r w:rsidRPr="006A0CCD">
        <w:rPr>
          <w:rFonts w:ascii="Times New Roman" w:hAnsi="Times New Roman" w:cs="Times New Roman"/>
          <w:sz w:val="24"/>
          <w:szCs w:val="24"/>
        </w:rPr>
        <w:t xml:space="preserve">) the bonds were issued with certain commitments from each City regarding responsibility for the debt and the operating costs.  Relevant provisions from those documents are found below: </w:t>
      </w:r>
    </w:p>
    <w:p w:rsidR="00E547C7" w:rsidRDefault="00237A1C" w:rsidP="004E577A">
      <w:pPr>
        <w:ind w:firstLine="720"/>
        <w:rPr>
          <w:noProof/>
        </w:rPr>
      </w:pPr>
      <w:r w:rsidRPr="006A0CCD">
        <w:rPr>
          <w:rFonts w:ascii="Times New Roman" w:hAnsi="Times New Roman" w:cs="Times New Roman"/>
          <w:sz w:val="24"/>
          <w:szCs w:val="24"/>
        </w:rPr>
        <w:lastRenderedPageBreak/>
        <w:t>Terms of the new Operating Agreement were as follows:</w:t>
      </w:r>
      <w:r w:rsidR="00D9247F">
        <w:rPr>
          <w:noProof/>
        </w:rPr>
        <w:drawing>
          <wp:inline distT="0" distB="0" distL="0" distR="0">
            <wp:extent cx="5941514" cy="16840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84611"/>
                    </a:xfrm>
                    <a:prstGeom prst="rect">
                      <a:avLst/>
                    </a:prstGeom>
                    <a:noFill/>
                    <a:ln>
                      <a:noFill/>
                    </a:ln>
                  </pic:spPr>
                </pic:pic>
              </a:graphicData>
            </a:graphic>
          </wp:inline>
        </w:drawing>
      </w:r>
    </w:p>
    <w:p w:rsidR="00D9247F" w:rsidRDefault="00D9247F" w:rsidP="004E577A">
      <w:pPr>
        <w:ind w:firstLine="720"/>
        <w:rPr>
          <w:noProof/>
        </w:rPr>
      </w:pPr>
      <w:r>
        <w:rPr>
          <w:noProof/>
        </w:rPr>
        <w:drawing>
          <wp:inline distT="0" distB="0" distL="0" distR="0">
            <wp:extent cx="6352868" cy="1653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2700" cy="1656099"/>
                    </a:xfrm>
                    <a:prstGeom prst="rect">
                      <a:avLst/>
                    </a:prstGeom>
                    <a:noFill/>
                    <a:ln>
                      <a:noFill/>
                    </a:ln>
                  </pic:spPr>
                </pic:pic>
              </a:graphicData>
            </a:graphic>
          </wp:inline>
        </w:drawing>
      </w:r>
    </w:p>
    <w:p w:rsidR="00D9247F" w:rsidRDefault="00D9247F" w:rsidP="004E577A">
      <w:pPr>
        <w:ind w:firstLine="720"/>
        <w:rPr>
          <w:noProof/>
        </w:rPr>
      </w:pPr>
      <w:r>
        <w:rPr>
          <w:noProof/>
        </w:rPr>
        <w:drawing>
          <wp:inline distT="0" distB="0" distL="0" distR="0">
            <wp:extent cx="5943600" cy="397652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76526"/>
                    </a:xfrm>
                    <a:prstGeom prst="rect">
                      <a:avLst/>
                    </a:prstGeom>
                    <a:noFill/>
                    <a:ln>
                      <a:noFill/>
                    </a:ln>
                  </pic:spPr>
                </pic:pic>
              </a:graphicData>
            </a:graphic>
          </wp:inline>
        </w:drawing>
      </w:r>
    </w:p>
    <w:p w:rsidR="00E547C7" w:rsidRPr="006A0CCD" w:rsidRDefault="00D9247F" w:rsidP="004E577A">
      <w:pPr>
        <w:ind w:firstLine="720"/>
        <w:rPr>
          <w:rFonts w:ascii="Times New Roman" w:hAnsi="Times New Roman" w:cs="Times New Roman"/>
          <w:noProof/>
          <w:sz w:val="24"/>
          <w:szCs w:val="24"/>
        </w:rPr>
      </w:pPr>
      <w:r w:rsidRPr="006A0CCD">
        <w:rPr>
          <w:rFonts w:ascii="Times New Roman" w:hAnsi="Times New Roman" w:cs="Times New Roman"/>
          <w:noProof/>
          <w:sz w:val="24"/>
          <w:szCs w:val="24"/>
        </w:rPr>
        <w:lastRenderedPageBreak/>
        <w:t>Resolution 2007-036 dated April, 2007 approved the Assessment Agreement. The Assessment Agreement provided the following:</w:t>
      </w:r>
    </w:p>
    <w:p w:rsidR="00D9247F" w:rsidRDefault="00D9247F" w:rsidP="004E577A">
      <w:pPr>
        <w:ind w:firstLine="720"/>
        <w:rPr>
          <w:noProof/>
        </w:rPr>
      </w:pPr>
      <w:r>
        <w:rPr>
          <w:noProof/>
        </w:rPr>
        <w:drawing>
          <wp:inline distT="0" distB="0" distL="0" distR="0">
            <wp:extent cx="5943600" cy="9943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94379"/>
                    </a:xfrm>
                    <a:prstGeom prst="rect">
                      <a:avLst/>
                    </a:prstGeom>
                    <a:noFill/>
                    <a:ln>
                      <a:noFill/>
                    </a:ln>
                  </pic:spPr>
                </pic:pic>
              </a:graphicData>
            </a:graphic>
          </wp:inline>
        </w:drawing>
      </w:r>
      <w:r w:rsidR="006A0CCD">
        <w:rPr>
          <w:noProof/>
        </w:rPr>
        <w:drawing>
          <wp:inline distT="0" distB="0" distL="0" distR="0" wp14:anchorId="020A4725" wp14:editId="5F57F9E2">
            <wp:extent cx="5943600" cy="40874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87495"/>
                    </a:xfrm>
                    <a:prstGeom prst="rect">
                      <a:avLst/>
                    </a:prstGeom>
                    <a:noFill/>
                    <a:ln>
                      <a:noFill/>
                    </a:ln>
                  </pic:spPr>
                </pic:pic>
              </a:graphicData>
            </a:graphic>
          </wp:inline>
        </w:drawing>
      </w:r>
      <w:r>
        <w:rPr>
          <w:noProof/>
        </w:rPr>
        <w:lastRenderedPageBreak/>
        <w:drawing>
          <wp:inline distT="0" distB="0" distL="0" distR="0" wp14:anchorId="20EAD7C8" wp14:editId="6C64DF2E">
            <wp:extent cx="5943600" cy="265839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58399"/>
                    </a:xfrm>
                    <a:prstGeom prst="rect">
                      <a:avLst/>
                    </a:prstGeom>
                    <a:noFill/>
                    <a:ln>
                      <a:noFill/>
                    </a:ln>
                  </pic:spPr>
                </pic:pic>
              </a:graphicData>
            </a:graphic>
          </wp:inline>
        </w:drawing>
      </w:r>
      <w:r>
        <w:rPr>
          <w:noProof/>
        </w:rPr>
        <w:drawing>
          <wp:inline distT="0" distB="0" distL="0" distR="0">
            <wp:extent cx="5943600" cy="1054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54762"/>
                    </a:xfrm>
                    <a:prstGeom prst="rect">
                      <a:avLst/>
                    </a:prstGeom>
                    <a:noFill/>
                    <a:ln>
                      <a:noFill/>
                    </a:ln>
                  </pic:spPr>
                </pic:pic>
              </a:graphicData>
            </a:graphic>
          </wp:inline>
        </w:drawing>
      </w:r>
      <w:r>
        <w:rPr>
          <w:noProof/>
        </w:rPr>
        <w:drawing>
          <wp:inline distT="0" distB="0" distL="0" distR="0">
            <wp:extent cx="5943600" cy="497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97693"/>
                    </a:xfrm>
                    <a:prstGeom prst="rect">
                      <a:avLst/>
                    </a:prstGeom>
                    <a:noFill/>
                    <a:ln>
                      <a:noFill/>
                    </a:ln>
                  </pic:spPr>
                </pic:pic>
              </a:graphicData>
            </a:graphic>
          </wp:inline>
        </w:drawing>
      </w:r>
      <w:r>
        <w:rPr>
          <w:noProof/>
        </w:rPr>
        <w:drawing>
          <wp:inline distT="0" distB="0" distL="0" distR="0">
            <wp:extent cx="5943600" cy="201716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17167"/>
                    </a:xfrm>
                    <a:prstGeom prst="rect">
                      <a:avLst/>
                    </a:prstGeom>
                    <a:noFill/>
                    <a:ln>
                      <a:noFill/>
                    </a:ln>
                  </pic:spPr>
                </pic:pic>
              </a:graphicData>
            </a:graphic>
          </wp:inline>
        </w:drawing>
      </w:r>
    </w:p>
    <w:p w:rsidR="00E547C7" w:rsidRPr="006A0CCD" w:rsidRDefault="009F3B5E" w:rsidP="004E577A">
      <w:pPr>
        <w:ind w:firstLine="720"/>
        <w:rPr>
          <w:rFonts w:ascii="Times New Roman" w:hAnsi="Times New Roman" w:cs="Times New Roman"/>
          <w:sz w:val="24"/>
          <w:szCs w:val="24"/>
        </w:rPr>
      </w:pPr>
      <w:r w:rsidRPr="006A0CCD">
        <w:rPr>
          <w:rFonts w:ascii="Times New Roman" w:hAnsi="Times New Roman" w:cs="Times New Roman"/>
          <w:sz w:val="24"/>
          <w:szCs w:val="24"/>
        </w:rPr>
        <w:t>The short answer to all of this history is that:</w:t>
      </w:r>
    </w:p>
    <w:p w:rsidR="009F3B5E" w:rsidRPr="006A0CCD" w:rsidRDefault="009F3B5E" w:rsidP="009F3B5E">
      <w:pPr>
        <w:pStyle w:val="ListParagraph"/>
        <w:numPr>
          <w:ilvl w:val="0"/>
          <w:numId w:val="1"/>
        </w:numPr>
        <w:rPr>
          <w:rFonts w:ascii="Times New Roman" w:hAnsi="Times New Roman" w:cs="Times New Roman"/>
          <w:sz w:val="24"/>
          <w:szCs w:val="24"/>
        </w:rPr>
      </w:pPr>
      <w:r w:rsidRPr="006A0CCD">
        <w:rPr>
          <w:rFonts w:ascii="Times New Roman" w:hAnsi="Times New Roman" w:cs="Times New Roman"/>
          <w:sz w:val="24"/>
          <w:szCs w:val="24"/>
        </w:rPr>
        <w:t xml:space="preserve">Pleasant Grove City has entered into several different contracts that bind us to paying our share of the bond payments </w:t>
      </w:r>
      <w:r w:rsidRPr="006A0CCD">
        <w:rPr>
          <w:rFonts w:ascii="Times New Roman" w:hAnsi="Times New Roman" w:cs="Times New Roman"/>
          <w:sz w:val="24"/>
          <w:szCs w:val="24"/>
          <w:u w:val="single"/>
        </w:rPr>
        <w:t>and</w:t>
      </w:r>
      <w:r w:rsidRPr="006A0CCD">
        <w:rPr>
          <w:rFonts w:ascii="Times New Roman" w:hAnsi="Times New Roman" w:cs="Times New Roman"/>
          <w:sz w:val="24"/>
          <w:szCs w:val="24"/>
        </w:rPr>
        <w:t xml:space="preserve"> the operating and maintenance costs of the golf course.</w:t>
      </w:r>
    </w:p>
    <w:p w:rsidR="009F3B5E" w:rsidRPr="006A0CCD" w:rsidRDefault="009F3B5E" w:rsidP="009F3B5E">
      <w:pPr>
        <w:pStyle w:val="ListParagraph"/>
        <w:numPr>
          <w:ilvl w:val="0"/>
          <w:numId w:val="1"/>
        </w:numPr>
        <w:rPr>
          <w:rFonts w:ascii="Times New Roman" w:hAnsi="Times New Roman" w:cs="Times New Roman"/>
          <w:sz w:val="24"/>
          <w:szCs w:val="24"/>
        </w:rPr>
      </w:pPr>
      <w:r w:rsidRPr="006A0CCD">
        <w:rPr>
          <w:rFonts w:ascii="Times New Roman" w:hAnsi="Times New Roman" w:cs="Times New Roman"/>
          <w:sz w:val="24"/>
          <w:szCs w:val="24"/>
        </w:rPr>
        <w:t>The contracts do not provide for a way for us to withdraw until the termination date(s)</w:t>
      </w:r>
      <w:r w:rsidR="00BB7631" w:rsidRPr="006A0CCD">
        <w:rPr>
          <w:rFonts w:ascii="Times New Roman" w:hAnsi="Times New Roman" w:cs="Times New Roman"/>
          <w:sz w:val="24"/>
          <w:szCs w:val="24"/>
        </w:rPr>
        <w:t xml:space="preserve"> (30 years at the earliest)</w:t>
      </w:r>
      <w:r w:rsidRPr="006A0CCD">
        <w:rPr>
          <w:rFonts w:ascii="Times New Roman" w:hAnsi="Times New Roman" w:cs="Times New Roman"/>
          <w:sz w:val="24"/>
          <w:szCs w:val="24"/>
        </w:rPr>
        <w:t xml:space="preserve"> or the bonds are paid off. </w:t>
      </w:r>
      <w:r w:rsidR="004D6536" w:rsidRPr="006A0CCD">
        <w:rPr>
          <w:rFonts w:ascii="Times New Roman" w:hAnsi="Times New Roman" w:cs="Times New Roman"/>
          <w:sz w:val="24"/>
          <w:szCs w:val="24"/>
        </w:rPr>
        <w:t xml:space="preserve">While earlier agreements between the 3 cities had provided for withdrawal from the group, when the decision was made to approve the bonds, that withdrawal option became limited until the </w:t>
      </w:r>
      <w:r w:rsidR="004D6536" w:rsidRPr="006A0CCD">
        <w:rPr>
          <w:rFonts w:ascii="Times New Roman" w:hAnsi="Times New Roman" w:cs="Times New Roman"/>
          <w:sz w:val="24"/>
          <w:szCs w:val="24"/>
        </w:rPr>
        <w:lastRenderedPageBreak/>
        <w:t xml:space="preserve">financial obligation of the outstanding bond amounts are satisfied. </w:t>
      </w:r>
      <w:r w:rsidR="00BB7631" w:rsidRPr="006A0CCD">
        <w:rPr>
          <w:rFonts w:ascii="Times New Roman" w:hAnsi="Times New Roman" w:cs="Times New Roman"/>
          <w:sz w:val="24"/>
          <w:szCs w:val="24"/>
        </w:rPr>
        <w:t>The bonds will not be paid off until 2027.</w:t>
      </w:r>
    </w:p>
    <w:p w:rsidR="009F3B5E" w:rsidRDefault="009F3B5E" w:rsidP="009F3B5E">
      <w:pPr>
        <w:pStyle w:val="ListParagraph"/>
        <w:numPr>
          <w:ilvl w:val="0"/>
          <w:numId w:val="1"/>
        </w:numPr>
        <w:rPr>
          <w:rFonts w:ascii="Times New Roman" w:hAnsi="Times New Roman" w:cs="Times New Roman"/>
          <w:sz w:val="24"/>
          <w:szCs w:val="24"/>
        </w:rPr>
      </w:pPr>
      <w:r w:rsidRPr="006A0CCD">
        <w:rPr>
          <w:rFonts w:ascii="Times New Roman" w:hAnsi="Times New Roman" w:cs="Times New Roman"/>
          <w:sz w:val="24"/>
          <w:szCs w:val="24"/>
        </w:rPr>
        <w:t>We h</w:t>
      </w:r>
      <w:r w:rsidR="001F2326" w:rsidRPr="006A0CCD">
        <w:rPr>
          <w:rFonts w:ascii="Times New Roman" w:hAnsi="Times New Roman" w:cs="Times New Roman"/>
          <w:sz w:val="24"/>
          <w:szCs w:val="24"/>
        </w:rPr>
        <w:t xml:space="preserve">ave pledged certain tax revenue, i.e. our Municipal Sales and Energy tax, </w:t>
      </w:r>
      <w:r w:rsidRPr="006A0CCD">
        <w:rPr>
          <w:rFonts w:ascii="Times New Roman" w:hAnsi="Times New Roman" w:cs="Times New Roman"/>
          <w:sz w:val="24"/>
          <w:szCs w:val="24"/>
        </w:rPr>
        <w:t>to pay the bond payments and any shortfall in the operating and maintenance costs of the golf course.</w:t>
      </w:r>
    </w:p>
    <w:p w:rsidR="00924783" w:rsidRDefault="00924783" w:rsidP="009F3B5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We do not have ultimate control over the new entity’s budget process.  The Tri </w:t>
      </w:r>
      <w:proofErr w:type="gramStart"/>
      <w:r>
        <w:rPr>
          <w:rFonts w:ascii="Times New Roman" w:hAnsi="Times New Roman" w:cs="Times New Roman"/>
          <w:sz w:val="24"/>
          <w:szCs w:val="24"/>
        </w:rPr>
        <w:t>City  Interlocal</w:t>
      </w:r>
      <w:proofErr w:type="gramEnd"/>
      <w:r>
        <w:rPr>
          <w:rFonts w:ascii="Times New Roman" w:hAnsi="Times New Roman" w:cs="Times New Roman"/>
          <w:sz w:val="24"/>
          <w:szCs w:val="24"/>
        </w:rPr>
        <w:t xml:space="preserve"> Agency is an independent entity with </w:t>
      </w:r>
      <w:r w:rsidR="002C7C6B">
        <w:rPr>
          <w:rFonts w:ascii="Times New Roman" w:hAnsi="Times New Roman" w:cs="Times New Roman"/>
          <w:sz w:val="24"/>
          <w:szCs w:val="24"/>
        </w:rPr>
        <w:t xml:space="preserve">a governing board that is responsible to adopt an annual budget in compliance with the state Uniform Fiscal Procedures Act for Cities. </w:t>
      </w:r>
      <w:r>
        <w:rPr>
          <w:rFonts w:ascii="Times New Roman" w:hAnsi="Times New Roman" w:cs="Times New Roman"/>
          <w:sz w:val="24"/>
          <w:szCs w:val="24"/>
        </w:rPr>
        <w:t xml:space="preserve"> 3 members of the governing body are to be appointed by Pleasant Grove City</w:t>
      </w:r>
      <w:r w:rsidR="002C7C6B">
        <w:rPr>
          <w:rFonts w:ascii="Times New Roman" w:hAnsi="Times New Roman" w:cs="Times New Roman"/>
          <w:sz w:val="24"/>
          <w:szCs w:val="24"/>
        </w:rPr>
        <w:t xml:space="preserve"> each person has 1 vote</w:t>
      </w:r>
      <w:r>
        <w:rPr>
          <w:rFonts w:ascii="Times New Roman" w:hAnsi="Times New Roman" w:cs="Times New Roman"/>
          <w:sz w:val="24"/>
          <w:szCs w:val="24"/>
        </w:rPr>
        <w:t>.</w:t>
      </w:r>
      <w:r w:rsidR="002C7C6B">
        <w:rPr>
          <w:rFonts w:ascii="Times New Roman" w:hAnsi="Times New Roman" w:cs="Times New Roman"/>
          <w:sz w:val="24"/>
          <w:szCs w:val="24"/>
        </w:rPr>
        <w:t xml:space="preserve"> However, the budget should be approved by each city each year per section 7.1 of the Interlocal Agreement creating the TCIA. I do not believe that this has been happening. </w:t>
      </w:r>
      <w:r>
        <w:rPr>
          <w:rFonts w:ascii="Times New Roman" w:hAnsi="Times New Roman" w:cs="Times New Roman"/>
          <w:sz w:val="24"/>
          <w:szCs w:val="24"/>
        </w:rPr>
        <w:t xml:space="preserve">  </w:t>
      </w:r>
    </w:p>
    <w:p w:rsidR="006A0CCD" w:rsidRDefault="006A0CCD" w:rsidP="00924783">
      <w:pPr>
        <w:pStyle w:val="ListParagraph"/>
        <w:ind w:left="1080"/>
        <w:rPr>
          <w:rFonts w:ascii="Times New Roman" w:hAnsi="Times New Roman" w:cs="Times New Roman"/>
          <w:sz w:val="24"/>
          <w:szCs w:val="24"/>
        </w:rPr>
      </w:pPr>
    </w:p>
    <w:p w:rsidR="00924783" w:rsidRDefault="00924783" w:rsidP="00924783">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Please let me know if you have any further questions or concerns that I can research regarding this matter.  </w:t>
      </w:r>
    </w:p>
    <w:p w:rsidR="00924783" w:rsidRPr="006A0CCD" w:rsidRDefault="00924783" w:rsidP="00924783">
      <w:pPr>
        <w:pStyle w:val="ListParagraph"/>
        <w:ind w:left="1080"/>
        <w:rPr>
          <w:rFonts w:ascii="Times New Roman" w:hAnsi="Times New Roman" w:cs="Times New Roman"/>
          <w:sz w:val="24"/>
          <w:szCs w:val="24"/>
        </w:rPr>
      </w:pPr>
    </w:p>
    <w:p w:rsidR="00E547C7" w:rsidRPr="006A0CCD" w:rsidRDefault="00E547C7" w:rsidP="004E577A">
      <w:pPr>
        <w:ind w:firstLine="720"/>
        <w:rPr>
          <w:rFonts w:ascii="Times New Roman" w:hAnsi="Times New Roman" w:cs="Times New Roman"/>
          <w:sz w:val="24"/>
          <w:szCs w:val="24"/>
        </w:rPr>
      </w:pPr>
    </w:p>
    <w:p w:rsidR="00E547C7" w:rsidRDefault="00E547C7" w:rsidP="004E577A">
      <w:pPr>
        <w:ind w:firstLine="720"/>
      </w:pPr>
    </w:p>
    <w:p w:rsidR="009F4A49" w:rsidRDefault="009F4A49" w:rsidP="004E577A">
      <w:pPr>
        <w:ind w:firstLine="720"/>
      </w:pPr>
    </w:p>
    <w:p w:rsidR="009F4A49" w:rsidRDefault="009F4A49" w:rsidP="004E577A">
      <w:pPr>
        <w:ind w:firstLine="720"/>
      </w:pPr>
    </w:p>
    <w:p w:rsidR="009F4A49" w:rsidRDefault="009F4A49" w:rsidP="004E577A">
      <w:pPr>
        <w:ind w:firstLine="720"/>
      </w:pPr>
    </w:p>
    <w:p w:rsidR="009F4A49" w:rsidRDefault="009F4A49" w:rsidP="004E577A">
      <w:pPr>
        <w:ind w:firstLine="720"/>
      </w:pPr>
    </w:p>
    <w:sectPr w:rsidR="009F4A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2AD4"/>
    <w:multiLevelType w:val="hybridMultilevel"/>
    <w:tmpl w:val="BA42E9F4"/>
    <w:lvl w:ilvl="0" w:tplc="57F6E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DBE3FA0"/>
    <w:multiLevelType w:val="hybridMultilevel"/>
    <w:tmpl w:val="ADAE8A6A"/>
    <w:lvl w:ilvl="0" w:tplc="6A26CB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7A"/>
    <w:rsid w:val="001F2326"/>
    <w:rsid w:val="00237A1C"/>
    <w:rsid w:val="002C7C6B"/>
    <w:rsid w:val="002F1145"/>
    <w:rsid w:val="00346B1C"/>
    <w:rsid w:val="004D6536"/>
    <w:rsid w:val="004E007E"/>
    <w:rsid w:val="004E577A"/>
    <w:rsid w:val="005434BC"/>
    <w:rsid w:val="00650340"/>
    <w:rsid w:val="006A0CCD"/>
    <w:rsid w:val="00853B46"/>
    <w:rsid w:val="008B26D9"/>
    <w:rsid w:val="00924783"/>
    <w:rsid w:val="009F3B5E"/>
    <w:rsid w:val="009F4A49"/>
    <w:rsid w:val="00B94F26"/>
    <w:rsid w:val="00BB7631"/>
    <w:rsid w:val="00C91464"/>
    <w:rsid w:val="00D9247F"/>
    <w:rsid w:val="00E547C7"/>
    <w:rsid w:val="00E6138F"/>
    <w:rsid w:val="00E72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77A"/>
    <w:rPr>
      <w:rFonts w:ascii="Tahoma" w:hAnsi="Tahoma" w:cs="Tahoma"/>
      <w:sz w:val="16"/>
      <w:szCs w:val="16"/>
    </w:rPr>
  </w:style>
  <w:style w:type="paragraph" w:styleId="ListParagraph">
    <w:name w:val="List Paragraph"/>
    <w:basedOn w:val="Normal"/>
    <w:uiPriority w:val="34"/>
    <w:qFormat/>
    <w:rsid w:val="009F3B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77A"/>
    <w:rPr>
      <w:rFonts w:ascii="Tahoma" w:hAnsi="Tahoma" w:cs="Tahoma"/>
      <w:sz w:val="16"/>
      <w:szCs w:val="16"/>
    </w:rPr>
  </w:style>
  <w:style w:type="paragraph" w:styleId="ListParagraph">
    <w:name w:val="List Paragraph"/>
    <w:basedOn w:val="Normal"/>
    <w:uiPriority w:val="34"/>
    <w:qFormat/>
    <w:rsid w:val="009F3B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7</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Petersen</dc:creator>
  <cp:lastModifiedBy>Christine Petersen</cp:lastModifiedBy>
  <cp:revision>5</cp:revision>
  <dcterms:created xsi:type="dcterms:W3CDTF">2015-05-27T16:01:00Z</dcterms:created>
  <dcterms:modified xsi:type="dcterms:W3CDTF">2015-06-01T18:56:00Z</dcterms:modified>
</cp:coreProperties>
</file>